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590" w:type="dxa"/>
        <w:tblLayout w:type="fixed"/>
        <w:tblCellMar>
          <w:left w:w="70" w:type="dxa"/>
          <w:right w:w="70" w:type="dxa"/>
        </w:tblCellMar>
        <w:tblLook w:val="0000" w:firstRow="0" w:lastRow="0" w:firstColumn="0" w:lastColumn="0" w:noHBand="0" w:noVBand="0"/>
      </w:tblPr>
      <w:tblGrid>
        <w:gridCol w:w="6323"/>
        <w:gridCol w:w="3267"/>
      </w:tblGrid>
      <w:tr w:rsidR="008A7FD1" w:rsidRPr="008A7FD1" w14:paraId="06DE2001" w14:textId="77777777">
        <w:trPr>
          <w:cantSplit/>
        </w:trPr>
        <w:tc>
          <w:tcPr>
            <w:tcW w:w="4795" w:type="dxa"/>
          </w:tcPr>
          <w:p w14:paraId="2D68332F" w14:textId="20944693" w:rsidR="008A7FD1" w:rsidRPr="008A7FD1" w:rsidRDefault="008619A5" w:rsidP="008962E7">
            <w:pPr>
              <w:pStyle w:val="zSoquijdatRepertorie"/>
            </w:pPr>
            <w:bookmarkStart w:id="0" w:name="_GoBack"/>
            <w:bookmarkEnd w:id="0"/>
            <w:r w:rsidRPr="008619A5">
              <w:t>Dumais et Centre de services scolaire Marie-Victorin</w:t>
            </w:r>
          </w:p>
        </w:tc>
        <w:tc>
          <w:tcPr>
            <w:tcW w:w="2477" w:type="dxa"/>
          </w:tcPr>
          <w:p w14:paraId="11806CE4" w14:textId="773AF4F2" w:rsidR="008A7FD1" w:rsidRPr="008A7FD1" w:rsidRDefault="008619A5" w:rsidP="008962E7">
            <w:pPr>
              <w:pStyle w:val="zSoquijdatRefNeutre"/>
            </w:pPr>
            <w:r w:rsidRPr="008619A5">
              <w:t>2025 QCTAT 1632</w:t>
            </w:r>
          </w:p>
        </w:tc>
      </w:tr>
    </w:tbl>
    <w:p w14:paraId="127E6A2F" w14:textId="77777777" w:rsidR="008A7FD1" w:rsidRDefault="008A7FD1"/>
    <w:tbl>
      <w:tblPr>
        <w:tblW w:w="9568" w:type="dxa"/>
        <w:tblLayout w:type="fixed"/>
        <w:tblCellMar>
          <w:left w:w="70" w:type="dxa"/>
          <w:right w:w="70" w:type="dxa"/>
        </w:tblCellMar>
        <w:tblLook w:val="0000" w:firstRow="0" w:lastRow="0" w:firstColumn="0" w:lastColumn="0" w:noHBand="0" w:noVBand="0"/>
      </w:tblPr>
      <w:tblGrid>
        <w:gridCol w:w="3331"/>
        <w:gridCol w:w="1930"/>
        <w:gridCol w:w="567"/>
        <w:gridCol w:w="3740"/>
      </w:tblGrid>
      <w:tr w:rsidR="00C74B6F" w14:paraId="4E027E89" w14:textId="77777777" w:rsidTr="0086125A">
        <w:trPr>
          <w:cantSplit/>
        </w:trPr>
        <w:tc>
          <w:tcPr>
            <w:tcW w:w="9568" w:type="dxa"/>
            <w:gridSpan w:val="4"/>
          </w:tcPr>
          <w:p w14:paraId="16BC39CF" w14:textId="77777777" w:rsidR="00C74B6F" w:rsidRPr="00BE1981" w:rsidRDefault="00C74B6F">
            <w:pPr>
              <w:rPr>
                <w:szCs w:val="24"/>
              </w:rPr>
            </w:pPr>
          </w:p>
        </w:tc>
      </w:tr>
      <w:tr w:rsidR="00C74B6F" w14:paraId="01AB741C" w14:textId="77777777" w:rsidTr="0086125A">
        <w:trPr>
          <w:cantSplit/>
        </w:trPr>
        <w:tc>
          <w:tcPr>
            <w:tcW w:w="9568" w:type="dxa"/>
            <w:gridSpan w:val="4"/>
            <w:vAlign w:val="center"/>
          </w:tcPr>
          <w:p w14:paraId="50BD1A6C" w14:textId="77777777" w:rsidR="00C74B6F" w:rsidRPr="000E1320" w:rsidRDefault="000E1320">
            <w:pPr>
              <w:jc w:val="center"/>
              <w:rPr>
                <w:sz w:val="36"/>
                <w:szCs w:val="36"/>
              </w:rPr>
            </w:pPr>
            <w:r w:rsidRPr="000E1320">
              <w:rPr>
                <w:b/>
                <w:sz w:val="36"/>
                <w:szCs w:val="36"/>
              </w:rPr>
              <w:t>TRIBUNAL ADMINISTRATIF DU TRAVAIL</w:t>
            </w:r>
          </w:p>
        </w:tc>
      </w:tr>
      <w:tr w:rsidR="00C74B6F" w14:paraId="61EDBDF6" w14:textId="77777777" w:rsidTr="0086125A">
        <w:trPr>
          <w:cantSplit/>
        </w:trPr>
        <w:tc>
          <w:tcPr>
            <w:tcW w:w="9568" w:type="dxa"/>
            <w:gridSpan w:val="4"/>
          </w:tcPr>
          <w:p w14:paraId="2992059A" w14:textId="715298AB" w:rsidR="00C74B6F" w:rsidRPr="00BE7014" w:rsidRDefault="006F0154" w:rsidP="009A67E7">
            <w:pPr>
              <w:pStyle w:val="zSoquijdatDivision"/>
            </w:pPr>
            <w:r w:rsidRPr="00BE7014">
              <w:t>(</w:t>
            </w:r>
            <w:r w:rsidR="003B7664" w:rsidRPr="00441ADA">
              <w:t>Division de la santé et de la sécurité du travail</w:t>
            </w:r>
            <w:r w:rsidRPr="00BE7014">
              <w:t>)</w:t>
            </w:r>
          </w:p>
        </w:tc>
      </w:tr>
      <w:tr w:rsidR="00C74B6F" w14:paraId="4ABCA931" w14:textId="77777777" w:rsidTr="0086125A">
        <w:trPr>
          <w:cantSplit/>
        </w:trPr>
        <w:tc>
          <w:tcPr>
            <w:tcW w:w="9568" w:type="dxa"/>
            <w:gridSpan w:val="4"/>
          </w:tcPr>
          <w:p w14:paraId="789D6F1D" w14:textId="77777777" w:rsidR="002B2FC3" w:rsidRDefault="002B2FC3" w:rsidP="002B2FC3"/>
        </w:tc>
      </w:tr>
      <w:tr w:rsidR="00A84FC6" w14:paraId="7C6DBCDA" w14:textId="77777777" w:rsidTr="0086125A">
        <w:trPr>
          <w:cantSplit/>
        </w:trPr>
        <w:tc>
          <w:tcPr>
            <w:tcW w:w="9568" w:type="dxa"/>
            <w:gridSpan w:val="4"/>
          </w:tcPr>
          <w:p w14:paraId="42B387CE" w14:textId="77777777" w:rsidR="00A84FC6" w:rsidRDefault="00A84FC6" w:rsidP="002B2FC3"/>
        </w:tc>
      </w:tr>
      <w:tr w:rsidR="00C74B6F" w14:paraId="3CAA9366" w14:textId="77777777" w:rsidTr="0086125A">
        <w:tc>
          <w:tcPr>
            <w:tcW w:w="3331" w:type="dxa"/>
          </w:tcPr>
          <w:p w14:paraId="18F3014A" w14:textId="77777777" w:rsidR="00C74B6F" w:rsidRDefault="0084255F">
            <w:bookmarkStart w:id="1" w:name="region" w:colFirst="1" w:colLast="1"/>
            <w:r>
              <w:t>Région :</w:t>
            </w:r>
          </w:p>
        </w:tc>
        <w:tc>
          <w:tcPr>
            <w:tcW w:w="6237" w:type="dxa"/>
            <w:gridSpan w:val="3"/>
          </w:tcPr>
          <w:p w14:paraId="3D8544BB" w14:textId="500E123C" w:rsidR="00C74B6F" w:rsidRDefault="00546554" w:rsidP="00F4095A">
            <w:pPr>
              <w:pStyle w:val="zSoquijdatGreffe"/>
            </w:pPr>
            <w:r>
              <w:t>Montréal</w:t>
            </w:r>
          </w:p>
        </w:tc>
      </w:tr>
      <w:bookmarkEnd w:id="1"/>
      <w:tr w:rsidR="00C74B6F" w14:paraId="5E35AFE1" w14:textId="77777777" w:rsidTr="0086125A">
        <w:trPr>
          <w:cantSplit/>
        </w:trPr>
        <w:tc>
          <w:tcPr>
            <w:tcW w:w="9568" w:type="dxa"/>
            <w:gridSpan w:val="4"/>
          </w:tcPr>
          <w:p w14:paraId="76E5853F" w14:textId="77777777" w:rsidR="00C74B6F" w:rsidRDefault="00C74B6F"/>
        </w:tc>
      </w:tr>
      <w:tr w:rsidR="00C74B6F" w14:paraId="1860DCC8" w14:textId="77777777" w:rsidTr="0086125A">
        <w:tc>
          <w:tcPr>
            <w:tcW w:w="3331" w:type="dxa"/>
          </w:tcPr>
          <w:p w14:paraId="4CA93D74" w14:textId="46DE6203" w:rsidR="00C74B6F" w:rsidRDefault="0084255F">
            <w:bookmarkStart w:id="2" w:name="ref_dossier" w:colFirst="1" w:colLast="1"/>
            <w:r>
              <w:t>Dossier</w:t>
            </w:r>
            <w:bookmarkStart w:id="3" w:name="dossiers"/>
            <w:bookmarkEnd w:id="3"/>
            <w:r>
              <w:t> :</w:t>
            </w:r>
          </w:p>
        </w:tc>
        <w:tc>
          <w:tcPr>
            <w:tcW w:w="6237" w:type="dxa"/>
            <w:gridSpan w:val="3"/>
          </w:tcPr>
          <w:p w14:paraId="13A76881" w14:textId="19B14262" w:rsidR="00C74B6F" w:rsidRDefault="00546554" w:rsidP="00F4095A">
            <w:pPr>
              <w:pStyle w:val="zSoquijdatNoDossier"/>
            </w:pPr>
            <w:r w:rsidRPr="00627BDF">
              <w:t>1304674</w:t>
            </w:r>
            <w:r>
              <w:t>-71-2212</w:t>
            </w:r>
          </w:p>
        </w:tc>
      </w:tr>
      <w:bookmarkEnd w:id="2"/>
      <w:tr w:rsidR="00C74B6F" w14:paraId="193A0609" w14:textId="77777777" w:rsidTr="0086125A">
        <w:trPr>
          <w:cantSplit/>
        </w:trPr>
        <w:tc>
          <w:tcPr>
            <w:tcW w:w="9568" w:type="dxa"/>
            <w:gridSpan w:val="4"/>
          </w:tcPr>
          <w:p w14:paraId="570295CF" w14:textId="77777777" w:rsidR="00C74B6F" w:rsidRDefault="00D44BCF">
            <w:r>
              <w:fldChar w:fldCharType="begin"/>
            </w:r>
            <w:r>
              <w:instrText xml:space="preserve"> AUTOTEXTLIST  \* Upper  \* MERGEFORMAT </w:instrText>
            </w:r>
            <w:r>
              <w:fldChar w:fldCharType="end"/>
            </w:r>
          </w:p>
        </w:tc>
      </w:tr>
      <w:tr w:rsidR="00C74B6F" w14:paraId="2C6E1C05" w14:textId="77777777" w:rsidTr="0086125A">
        <w:tc>
          <w:tcPr>
            <w:tcW w:w="3331" w:type="dxa"/>
          </w:tcPr>
          <w:p w14:paraId="620646F5" w14:textId="72B95B70" w:rsidR="00C74B6F" w:rsidRDefault="008C79A7" w:rsidP="0045114F">
            <w:pPr>
              <w:ind w:right="46"/>
            </w:pPr>
            <w:r>
              <w:t>Dossier</w:t>
            </w:r>
            <w:r w:rsidR="00546554">
              <w:t xml:space="preserve"> CNESST</w:t>
            </w:r>
            <w:r w:rsidRPr="008C79A7">
              <w:rPr>
                <w:szCs w:val="24"/>
              </w:rPr>
              <w:t xml:space="preserve"> :</w:t>
            </w:r>
          </w:p>
        </w:tc>
        <w:tc>
          <w:tcPr>
            <w:tcW w:w="6237" w:type="dxa"/>
            <w:gridSpan w:val="3"/>
          </w:tcPr>
          <w:p w14:paraId="25DD0DFB" w14:textId="19C59B6D" w:rsidR="00C74B6F" w:rsidRDefault="00546554" w:rsidP="00F4095A">
            <w:pPr>
              <w:pStyle w:val="zSoquijdatNCSST"/>
            </w:pPr>
            <w:r w:rsidRPr="00627BDF">
              <w:t>512412883</w:t>
            </w:r>
          </w:p>
        </w:tc>
      </w:tr>
      <w:tr w:rsidR="00C74B6F" w14:paraId="1787E6B4" w14:textId="77777777" w:rsidTr="0086125A">
        <w:trPr>
          <w:cantSplit/>
        </w:trPr>
        <w:tc>
          <w:tcPr>
            <w:tcW w:w="9568" w:type="dxa"/>
            <w:gridSpan w:val="4"/>
          </w:tcPr>
          <w:p w14:paraId="67CBFBCD" w14:textId="77777777" w:rsidR="00C74B6F" w:rsidRPr="00DA4F84" w:rsidRDefault="00C74B6F">
            <w:pPr>
              <w:rPr>
                <w:szCs w:val="24"/>
              </w:rPr>
            </w:pPr>
          </w:p>
        </w:tc>
      </w:tr>
      <w:tr w:rsidR="00C74B6F" w14:paraId="4713CC21" w14:textId="77777777" w:rsidTr="0086125A">
        <w:trPr>
          <w:cantSplit/>
        </w:trPr>
        <w:tc>
          <w:tcPr>
            <w:tcW w:w="9568" w:type="dxa"/>
            <w:gridSpan w:val="4"/>
          </w:tcPr>
          <w:p w14:paraId="53AA4B33" w14:textId="77777777" w:rsidR="00C74B6F" w:rsidRPr="00DA4F84" w:rsidRDefault="00C74B6F">
            <w:pPr>
              <w:rPr>
                <w:szCs w:val="24"/>
              </w:rPr>
            </w:pPr>
          </w:p>
        </w:tc>
      </w:tr>
      <w:tr w:rsidR="006E3DD8" w14:paraId="2BB51662" w14:textId="77777777" w:rsidTr="0086125A">
        <w:trPr>
          <w:cantSplit/>
        </w:trPr>
        <w:tc>
          <w:tcPr>
            <w:tcW w:w="3331" w:type="dxa"/>
          </w:tcPr>
          <w:p w14:paraId="5D8AD757" w14:textId="5F838F7E" w:rsidR="006E3DD8" w:rsidRDefault="00546554" w:rsidP="007032E6">
            <w:r>
              <w:t>Montréal</w:t>
            </w:r>
            <w:r w:rsidR="00C04E32">
              <w:t>,</w:t>
            </w:r>
          </w:p>
        </w:tc>
        <w:tc>
          <w:tcPr>
            <w:tcW w:w="6237" w:type="dxa"/>
            <w:gridSpan w:val="3"/>
          </w:tcPr>
          <w:p w14:paraId="32741E24" w14:textId="3576BDA8" w:rsidR="006E3DD8" w:rsidRDefault="00C04E32" w:rsidP="005B5689">
            <w:pPr>
              <w:pStyle w:val="zSoquijdatDateJugement"/>
            </w:pPr>
            <w:r>
              <w:t xml:space="preserve">le </w:t>
            </w:r>
            <w:r w:rsidR="00546554">
              <w:t>28 avril 2025</w:t>
            </w:r>
          </w:p>
        </w:tc>
      </w:tr>
      <w:tr w:rsidR="00942AB8" w14:paraId="7448C998" w14:textId="77777777" w:rsidTr="0086125A">
        <w:trPr>
          <w:cantSplit/>
        </w:trPr>
        <w:tc>
          <w:tcPr>
            <w:tcW w:w="9568" w:type="dxa"/>
            <w:gridSpan w:val="4"/>
          </w:tcPr>
          <w:p w14:paraId="5D287621" w14:textId="77777777" w:rsidR="00942AB8" w:rsidRDefault="00942AB8" w:rsidP="00FA153F">
            <w:r>
              <w:t>______________________________________________________________________</w:t>
            </w:r>
          </w:p>
        </w:tc>
      </w:tr>
      <w:tr w:rsidR="00942AB8" w14:paraId="460ECA1E" w14:textId="77777777" w:rsidTr="0086125A">
        <w:trPr>
          <w:cantSplit/>
          <w:trHeight w:val="148"/>
        </w:trPr>
        <w:tc>
          <w:tcPr>
            <w:tcW w:w="9568" w:type="dxa"/>
            <w:gridSpan w:val="4"/>
          </w:tcPr>
          <w:p w14:paraId="276AC4DB" w14:textId="77777777" w:rsidR="00942AB8" w:rsidRDefault="00942AB8" w:rsidP="00FA153F"/>
        </w:tc>
      </w:tr>
      <w:tr w:rsidR="0035375B" w14:paraId="13684F02" w14:textId="77777777" w:rsidTr="0086125A">
        <w:trPr>
          <w:cantSplit/>
          <w:trHeight w:val="148"/>
        </w:trPr>
        <w:tc>
          <w:tcPr>
            <w:tcW w:w="5828" w:type="dxa"/>
            <w:gridSpan w:val="3"/>
          </w:tcPr>
          <w:p w14:paraId="406CC275" w14:textId="64FAEE2B" w:rsidR="0035375B" w:rsidRPr="00942AB8" w:rsidRDefault="0035375B">
            <w:pPr>
              <w:rPr>
                <w:b/>
                <w:bCs/>
              </w:rPr>
            </w:pPr>
            <w:bookmarkStart w:id="4" w:name="ref_commissaire" w:colFirst="1" w:colLast="1"/>
            <w:r w:rsidRPr="00942AB8">
              <w:rPr>
                <w:b/>
                <w:bCs/>
              </w:rPr>
              <w:t>DEVANT L</w:t>
            </w:r>
            <w:r w:rsidR="00546554">
              <w:rPr>
                <w:b/>
                <w:bCs/>
              </w:rPr>
              <w:t>A</w:t>
            </w:r>
            <w:r w:rsidRPr="00942AB8">
              <w:rPr>
                <w:b/>
                <w:bCs/>
              </w:rPr>
              <w:t xml:space="preserve"> JUGE ADMINISTRATI</w:t>
            </w:r>
            <w:r w:rsidR="00546554">
              <w:rPr>
                <w:b/>
                <w:bCs/>
              </w:rPr>
              <w:t>VE</w:t>
            </w:r>
            <w:r w:rsidRPr="00942AB8">
              <w:rPr>
                <w:b/>
                <w:bCs/>
              </w:rPr>
              <w:t> :</w:t>
            </w:r>
          </w:p>
        </w:tc>
        <w:tc>
          <w:tcPr>
            <w:tcW w:w="3740" w:type="dxa"/>
          </w:tcPr>
          <w:p w14:paraId="276CC903" w14:textId="142D9C54" w:rsidR="0035375B" w:rsidRPr="00942AB8" w:rsidRDefault="00546554" w:rsidP="005B5689">
            <w:pPr>
              <w:pStyle w:val="zSoquijdatJuge"/>
              <w:rPr>
                <w:bCs/>
              </w:rPr>
            </w:pPr>
            <w:r>
              <w:t>Ève-Stéphanie Sauvé</w:t>
            </w:r>
          </w:p>
        </w:tc>
      </w:tr>
      <w:bookmarkEnd w:id="4"/>
      <w:tr w:rsidR="00942AB8" w14:paraId="11117502" w14:textId="77777777" w:rsidTr="0086125A">
        <w:trPr>
          <w:cantSplit/>
          <w:trHeight w:val="148"/>
        </w:trPr>
        <w:tc>
          <w:tcPr>
            <w:tcW w:w="9568" w:type="dxa"/>
            <w:gridSpan w:val="4"/>
          </w:tcPr>
          <w:p w14:paraId="23ABCE2E" w14:textId="77777777" w:rsidR="00942AB8" w:rsidRDefault="00942AB8" w:rsidP="00FA153F">
            <w:r>
              <w:t>______________________________________________________________________</w:t>
            </w:r>
          </w:p>
        </w:tc>
      </w:tr>
      <w:tr w:rsidR="00942AB8" w14:paraId="73B5249C" w14:textId="77777777" w:rsidTr="0086125A">
        <w:tc>
          <w:tcPr>
            <w:tcW w:w="9568" w:type="dxa"/>
            <w:gridSpan w:val="4"/>
          </w:tcPr>
          <w:p w14:paraId="65C28D57" w14:textId="77777777" w:rsidR="00942AB8" w:rsidRDefault="00942AB8"/>
        </w:tc>
      </w:tr>
      <w:tr w:rsidR="00942AB8" w14:paraId="4866DFCC" w14:textId="77777777" w:rsidTr="0086125A">
        <w:tc>
          <w:tcPr>
            <w:tcW w:w="5261" w:type="dxa"/>
            <w:gridSpan w:val="2"/>
          </w:tcPr>
          <w:p w14:paraId="074A64FE" w14:textId="77777777" w:rsidR="00942AB8" w:rsidRDefault="00942AB8">
            <w:bookmarkStart w:id="5" w:name="bloc_parties_gauche"/>
            <w:bookmarkEnd w:id="5"/>
          </w:p>
        </w:tc>
        <w:tc>
          <w:tcPr>
            <w:tcW w:w="4307" w:type="dxa"/>
            <w:gridSpan w:val="2"/>
          </w:tcPr>
          <w:p w14:paraId="4C11228A" w14:textId="77777777" w:rsidR="00942AB8" w:rsidRDefault="00942AB8"/>
        </w:tc>
      </w:tr>
      <w:tr w:rsidR="00942AB8" w14:paraId="2D501796" w14:textId="77777777" w:rsidTr="0086125A">
        <w:tc>
          <w:tcPr>
            <w:tcW w:w="5261" w:type="dxa"/>
            <w:gridSpan w:val="2"/>
          </w:tcPr>
          <w:p w14:paraId="2DA482E1" w14:textId="216F3E69" w:rsidR="00942AB8" w:rsidRDefault="00546554">
            <w:pPr>
              <w:pStyle w:val="zSoquijdatNomPartieDem"/>
              <w:rPr>
                <w:b/>
              </w:rPr>
            </w:pPr>
            <w:r w:rsidRPr="00627BDF">
              <w:rPr>
                <w:b/>
              </w:rPr>
              <w:t>Daniel Dumais</w:t>
            </w:r>
          </w:p>
        </w:tc>
        <w:tc>
          <w:tcPr>
            <w:tcW w:w="4307" w:type="dxa"/>
            <w:gridSpan w:val="2"/>
          </w:tcPr>
          <w:p w14:paraId="1B3DCF8D" w14:textId="77777777" w:rsidR="00942AB8" w:rsidRDefault="00942AB8"/>
        </w:tc>
      </w:tr>
      <w:tr w:rsidR="00942AB8" w14:paraId="367CA529" w14:textId="77777777" w:rsidTr="0086125A">
        <w:tc>
          <w:tcPr>
            <w:tcW w:w="5261" w:type="dxa"/>
            <w:gridSpan w:val="2"/>
          </w:tcPr>
          <w:p w14:paraId="74A59447" w14:textId="754EFF58" w:rsidR="00942AB8" w:rsidRDefault="00546554">
            <w:pPr>
              <w:pStyle w:val="zSoquijdatQtePartieDem"/>
              <w:ind w:left="708"/>
            </w:pPr>
            <w:r>
              <w:t>Partie demanderesse</w:t>
            </w:r>
          </w:p>
        </w:tc>
        <w:tc>
          <w:tcPr>
            <w:tcW w:w="4307" w:type="dxa"/>
            <w:gridSpan w:val="2"/>
          </w:tcPr>
          <w:p w14:paraId="0F36703E" w14:textId="77777777" w:rsidR="00942AB8" w:rsidRDefault="00942AB8"/>
        </w:tc>
      </w:tr>
      <w:tr w:rsidR="00942AB8" w14:paraId="335FA9AD" w14:textId="77777777" w:rsidTr="0086125A">
        <w:tc>
          <w:tcPr>
            <w:tcW w:w="5261" w:type="dxa"/>
            <w:gridSpan w:val="2"/>
          </w:tcPr>
          <w:p w14:paraId="66D8D6EE" w14:textId="77777777" w:rsidR="00942AB8" w:rsidRDefault="00942AB8"/>
        </w:tc>
        <w:tc>
          <w:tcPr>
            <w:tcW w:w="4307" w:type="dxa"/>
            <w:gridSpan w:val="2"/>
          </w:tcPr>
          <w:p w14:paraId="27BA5BC7" w14:textId="77777777" w:rsidR="00942AB8" w:rsidRDefault="00942AB8"/>
        </w:tc>
      </w:tr>
      <w:tr w:rsidR="00942AB8" w14:paraId="75CF7404" w14:textId="77777777" w:rsidTr="0086125A">
        <w:tc>
          <w:tcPr>
            <w:tcW w:w="5261" w:type="dxa"/>
            <w:gridSpan w:val="2"/>
          </w:tcPr>
          <w:p w14:paraId="77FD1727" w14:textId="24D575AA" w:rsidR="00942AB8" w:rsidRDefault="00546554" w:rsidP="00D06652">
            <w:pPr>
              <w:pStyle w:val="zSoquijlblLienParties"/>
            </w:pPr>
            <w:r>
              <w:t>et</w:t>
            </w:r>
          </w:p>
        </w:tc>
        <w:tc>
          <w:tcPr>
            <w:tcW w:w="4307" w:type="dxa"/>
            <w:gridSpan w:val="2"/>
          </w:tcPr>
          <w:p w14:paraId="436E340B" w14:textId="77777777" w:rsidR="00942AB8" w:rsidRDefault="00942AB8"/>
        </w:tc>
      </w:tr>
      <w:tr w:rsidR="00942AB8" w14:paraId="4304CA52" w14:textId="77777777" w:rsidTr="0086125A">
        <w:tc>
          <w:tcPr>
            <w:tcW w:w="5261" w:type="dxa"/>
            <w:gridSpan w:val="2"/>
          </w:tcPr>
          <w:p w14:paraId="32A2BE7B" w14:textId="77777777" w:rsidR="00942AB8" w:rsidRDefault="00942AB8"/>
        </w:tc>
        <w:tc>
          <w:tcPr>
            <w:tcW w:w="4307" w:type="dxa"/>
            <w:gridSpan w:val="2"/>
          </w:tcPr>
          <w:p w14:paraId="2872466F" w14:textId="77777777" w:rsidR="00942AB8" w:rsidRDefault="00942AB8"/>
        </w:tc>
      </w:tr>
      <w:tr w:rsidR="00942AB8" w14:paraId="7B23783E" w14:textId="77777777" w:rsidTr="0086125A">
        <w:tc>
          <w:tcPr>
            <w:tcW w:w="5261" w:type="dxa"/>
            <w:gridSpan w:val="2"/>
          </w:tcPr>
          <w:p w14:paraId="7F55187F" w14:textId="77777777" w:rsidR="00DA4F84" w:rsidRDefault="00546554">
            <w:pPr>
              <w:pStyle w:val="zSoquijdatNomPartieDef"/>
              <w:rPr>
                <w:b/>
                <w:bCs/>
              </w:rPr>
            </w:pPr>
            <w:r w:rsidRPr="00627BDF">
              <w:rPr>
                <w:b/>
                <w:bCs/>
              </w:rPr>
              <w:t>Centre de services scolaire Marie-</w:t>
            </w:r>
          </w:p>
          <w:p w14:paraId="29D275E5" w14:textId="374C25DB" w:rsidR="00942AB8" w:rsidRDefault="00546554">
            <w:pPr>
              <w:pStyle w:val="zSoquijdatNomPartieDef"/>
              <w:rPr>
                <w:b/>
              </w:rPr>
            </w:pPr>
            <w:r w:rsidRPr="00627BDF">
              <w:rPr>
                <w:b/>
                <w:bCs/>
              </w:rPr>
              <w:t>Victorin</w:t>
            </w:r>
          </w:p>
        </w:tc>
        <w:tc>
          <w:tcPr>
            <w:tcW w:w="4307" w:type="dxa"/>
            <w:gridSpan w:val="2"/>
          </w:tcPr>
          <w:p w14:paraId="0A019E52" w14:textId="77777777" w:rsidR="00942AB8" w:rsidRDefault="00942AB8"/>
        </w:tc>
      </w:tr>
      <w:tr w:rsidR="00942AB8" w14:paraId="7FF4C471" w14:textId="77777777" w:rsidTr="0086125A">
        <w:tc>
          <w:tcPr>
            <w:tcW w:w="5261" w:type="dxa"/>
            <w:gridSpan w:val="2"/>
          </w:tcPr>
          <w:p w14:paraId="1AC8D52B" w14:textId="024F9FAC" w:rsidR="00942AB8" w:rsidRDefault="00546554">
            <w:pPr>
              <w:pStyle w:val="zSoquijdatQtePartieDef"/>
              <w:ind w:left="708"/>
            </w:pPr>
            <w:r>
              <w:t>Partie mise en cause</w:t>
            </w:r>
          </w:p>
        </w:tc>
        <w:tc>
          <w:tcPr>
            <w:tcW w:w="4307" w:type="dxa"/>
            <w:gridSpan w:val="2"/>
          </w:tcPr>
          <w:p w14:paraId="25A682CD" w14:textId="77777777" w:rsidR="00942AB8" w:rsidRDefault="00942AB8"/>
        </w:tc>
      </w:tr>
      <w:tr w:rsidR="00942AB8" w14:paraId="3CA7B410" w14:textId="77777777" w:rsidTr="0086125A">
        <w:tc>
          <w:tcPr>
            <w:tcW w:w="5261" w:type="dxa"/>
            <w:gridSpan w:val="2"/>
          </w:tcPr>
          <w:p w14:paraId="0B78F019" w14:textId="77777777" w:rsidR="00942AB8" w:rsidRDefault="00942AB8"/>
        </w:tc>
        <w:tc>
          <w:tcPr>
            <w:tcW w:w="4307" w:type="dxa"/>
            <w:gridSpan w:val="2"/>
          </w:tcPr>
          <w:p w14:paraId="399FA5C8" w14:textId="77777777" w:rsidR="00942AB8" w:rsidRDefault="00942AB8"/>
        </w:tc>
      </w:tr>
    </w:tbl>
    <w:p w14:paraId="08B38B74" w14:textId="77777777" w:rsidR="00C74B6F" w:rsidRDefault="00C74B6F">
      <w:r>
        <w:t>______________________________________________________________________</w:t>
      </w:r>
    </w:p>
    <w:p w14:paraId="6AF9991C" w14:textId="77777777" w:rsidR="00C74B6F" w:rsidRDefault="00C74B6F"/>
    <w:p w14:paraId="0473BB51" w14:textId="77777777" w:rsidR="00C74B6F" w:rsidRPr="005B0612" w:rsidRDefault="00553522" w:rsidP="008B042E">
      <w:pPr>
        <w:jc w:val="center"/>
        <w:rPr>
          <w:b/>
          <w:bCs/>
        </w:rPr>
      </w:pPr>
      <w:r>
        <w:rPr>
          <w:b/>
          <w:bCs/>
        </w:rPr>
        <w:t>DÉCISION RECTIFIÉE</w:t>
      </w:r>
    </w:p>
    <w:p w14:paraId="66E5B484" w14:textId="77777777" w:rsidR="00C74B6F" w:rsidRDefault="00C74B6F">
      <w:pPr>
        <w:jc w:val="center"/>
      </w:pPr>
      <w:r>
        <w:t>______________________________________________________________________</w:t>
      </w:r>
    </w:p>
    <w:p w14:paraId="154B1E99" w14:textId="77777777" w:rsidR="00C74B6F" w:rsidRPr="00E82A70" w:rsidRDefault="00C74B6F">
      <w:pPr>
        <w:rPr>
          <w:sz w:val="36"/>
          <w:szCs w:val="36"/>
        </w:rPr>
      </w:pPr>
    </w:p>
    <w:p w14:paraId="7DE1839C" w14:textId="175D0FFA" w:rsidR="00553522" w:rsidRDefault="00553522" w:rsidP="00546554">
      <w:pPr>
        <w:pStyle w:val="corpsdedcision"/>
        <w:spacing w:after="240"/>
      </w:pPr>
      <w:r>
        <w:t xml:space="preserve">Le Tribunal administratif du travail a rendu </w:t>
      </w:r>
      <w:r w:rsidR="00243212">
        <w:t xml:space="preserve">une décision dans le présent dossier </w:t>
      </w:r>
      <w:r>
        <w:t xml:space="preserve">le </w:t>
      </w:r>
      <w:r w:rsidR="00546554">
        <w:t>17 avril 2025</w:t>
      </w:r>
      <w:r>
        <w:t>;</w:t>
      </w:r>
    </w:p>
    <w:p w14:paraId="4F82E212" w14:textId="52ED4D26" w:rsidR="00553522" w:rsidRDefault="00553522" w:rsidP="00546554">
      <w:pPr>
        <w:pStyle w:val="corpsdedcision"/>
        <w:spacing w:after="240"/>
      </w:pPr>
      <w:r>
        <w:t xml:space="preserve">Cette décision contient </w:t>
      </w:r>
      <w:r w:rsidR="00546554">
        <w:t>une erreur d’écriture</w:t>
      </w:r>
      <w:r>
        <w:t xml:space="preserve"> qu’il y a lieu de rectifier en vertu de l’article 48 de </w:t>
      </w:r>
      <w:smartTag w:uri="urn:schemas-microsoft-com:office:smarttags" w:element="PersonName">
        <w:smartTagPr>
          <w:attr w:name="ProductID" w:val="la Loi"/>
        </w:smartTagPr>
        <w:r>
          <w:t xml:space="preserve">la </w:t>
        </w:r>
        <w:r w:rsidRPr="00553522">
          <w:rPr>
            <w:i/>
            <w:iCs/>
          </w:rPr>
          <w:t>Loi</w:t>
        </w:r>
      </w:smartTag>
      <w:r w:rsidRPr="00553522">
        <w:rPr>
          <w:i/>
          <w:iCs/>
        </w:rPr>
        <w:t xml:space="preserve"> instituant le Tribunal administratif du travail</w:t>
      </w:r>
      <w:r w:rsidR="00676C21">
        <w:rPr>
          <w:i/>
          <w:iCs/>
        </w:rPr>
        <w:t xml:space="preserve"> </w:t>
      </w:r>
      <w:r w:rsidR="00503646">
        <w:t xml:space="preserve">RLRQ, c. T-15.1, </w:t>
      </w:r>
      <w:r w:rsidR="00676C21">
        <w:t>la</w:t>
      </w:r>
      <w:r w:rsidR="00AA6598">
        <w:t> </w:t>
      </w:r>
      <w:r w:rsidR="00676C21">
        <w:t>LITAT.</w:t>
      </w:r>
    </w:p>
    <w:p w14:paraId="66EEC7B7" w14:textId="0CB6535B" w:rsidR="00546554" w:rsidRDefault="00546554" w:rsidP="00546554">
      <w:pPr>
        <w:pStyle w:val="corpsdedcision"/>
        <w:spacing w:after="240"/>
      </w:pPr>
      <w:r>
        <w:t>Sur la dernière page, nous lisons :</w:t>
      </w:r>
    </w:p>
    <w:tbl>
      <w:tblPr>
        <w:tblW w:w="9590" w:type="dxa"/>
        <w:tblLayout w:type="fixed"/>
        <w:tblCellMar>
          <w:left w:w="70" w:type="dxa"/>
          <w:right w:w="70" w:type="dxa"/>
        </w:tblCellMar>
        <w:tblLook w:val="0000" w:firstRow="0" w:lastRow="0" w:firstColumn="0" w:lastColumn="0" w:noHBand="0" w:noVBand="0"/>
      </w:tblPr>
      <w:tblGrid>
        <w:gridCol w:w="9590"/>
      </w:tblGrid>
      <w:tr w:rsidR="00546554" w:rsidRPr="00546554" w14:paraId="6B11D9A0" w14:textId="77777777" w:rsidTr="00870EE9">
        <w:trPr>
          <w:cantSplit/>
        </w:trPr>
        <w:tc>
          <w:tcPr>
            <w:tcW w:w="9590" w:type="dxa"/>
          </w:tcPr>
          <w:p w14:paraId="1EE5A5AE" w14:textId="77777777" w:rsidR="00546554" w:rsidRPr="00546554" w:rsidRDefault="00546554" w:rsidP="00546554">
            <w:pPr>
              <w:pStyle w:val="rectification"/>
              <w:spacing w:after="0"/>
            </w:pPr>
            <w:r w:rsidRPr="00546554">
              <w:t>M</w:t>
            </w:r>
            <w:r w:rsidRPr="00546554">
              <w:rPr>
                <w:vertAlign w:val="superscript"/>
              </w:rPr>
              <w:t xml:space="preserve">me </w:t>
            </w:r>
            <w:r w:rsidRPr="00546554">
              <w:t>Marie-Luce Morin</w:t>
            </w:r>
          </w:p>
        </w:tc>
      </w:tr>
      <w:tr w:rsidR="00546554" w:rsidRPr="00546554" w14:paraId="1A44169C" w14:textId="77777777" w:rsidTr="00870EE9">
        <w:trPr>
          <w:cantSplit/>
        </w:trPr>
        <w:tc>
          <w:tcPr>
            <w:tcW w:w="9590" w:type="dxa"/>
          </w:tcPr>
          <w:p w14:paraId="26D6D207" w14:textId="77777777" w:rsidR="00546554" w:rsidRPr="00546554" w:rsidRDefault="00546554" w:rsidP="00546554">
            <w:pPr>
              <w:pStyle w:val="rectification"/>
              <w:spacing w:after="0"/>
            </w:pPr>
            <w:r w:rsidRPr="00546554">
              <w:t>S.E.P.B. QUÉBEC</w:t>
            </w:r>
          </w:p>
        </w:tc>
      </w:tr>
      <w:tr w:rsidR="00546554" w:rsidRPr="00546554" w14:paraId="2196996F" w14:textId="77777777" w:rsidTr="00870EE9">
        <w:trPr>
          <w:cantSplit/>
        </w:trPr>
        <w:tc>
          <w:tcPr>
            <w:tcW w:w="9590" w:type="dxa"/>
          </w:tcPr>
          <w:p w14:paraId="41241DC3" w14:textId="77777777" w:rsidR="00546554" w:rsidRPr="00546554" w:rsidRDefault="00546554" w:rsidP="00DA4F84">
            <w:pPr>
              <w:pStyle w:val="rectification"/>
              <w:spacing w:after="240"/>
            </w:pPr>
            <w:r w:rsidRPr="00546554">
              <w:t>Pour la demanderesse</w:t>
            </w:r>
          </w:p>
        </w:tc>
      </w:tr>
    </w:tbl>
    <w:p w14:paraId="072D60D6" w14:textId="77777777" w:rsidR="00546554" w:rsidRDefault="00546554" w:rsidP="00546554">
      <w:pPr>
        <w:pStyle w:val="corpsdedcision"/>
        <w:spacing w:after="240"/>
      </w:pPr>
      <w:r>
        <w:t>Alors que nous aurions dû lire :</w:t>
      </w:r>
    </w:p>
    <w:p w14:paraId="5ED25F1C" w14:textId="6DC5B5F6" w:rsidR="00546554" w:rsidRDefault="00546554" w:rsidP="00546554">
      <w:pPr>
        <w:pStyle w:val="rectification"/>
        <w:spacing w:after="0"/>
      </w:pPr>
      <w:r w:rsidRPr="0013411D">
        <w:rPr>
          <w:u w:val="single"/>
        </w:rPr>
        <w:t>M</w:t>
      </w:r>
      <w:r w:rsidRPr="0013411D">
        <w:rPr>
          <w:u w:val="single"/>
          <w:vertAlign w:val="superscript"/>
        </w:rPr>
        <w:t>e</w:t>
      </w:r>
      <w:r>
        <w:t xml:space="preserve"> Marie-Luce Morin</w:t>
      </w:r>
    </w:p>
    <w:p w14:paraId="47978D23" w14:textId="77777777" w:rsidR="00546554" w:rsidRDefault="00546554" w:rsidP="00546554">
      <w:pPr>
        <w:pStyle w:val="rectification"/>
        <w:spacing w:after="0"/>
      </w:pPr>
      <w:r>
        <w:t>S.E.P.B. QUÉBEC</w:t>
      </w:r>
    </w:p>
    <w:p w14:paraId="6B27A3AE" w14:textId="54E28997" w:rsidR="00553522" w:rsidRDefault="00546554" w:rsidP="00546554">
      <w:pPr>
        <w:pStyle w:val="rectification"/>
        <w:spacing w:after="240"/>
      </w:pPr>
      <w:r>
        <w:t>Pour la demanderesse</w:t>
      </w:r>
    </w:p>
    <w:p w14:paraId="6ABF2D90" w14:textId="77777777" w:rsidR="00C74B6F" w:rsidRDefault="00C74B6F">
      <w:pPr>
        <w:pStyle w:val="Dispositif"/>
      </w:pPr>
    </w:p>
    <w:tbl>
      <w:tblPr>
        <w:tblW w:w="9590" w:type="dxa"/>
        <w:tblLayout w:type="fixed"/>
        <w:tblCellMar>
          <w:left w:w="70" w:type="dxa"/>
          <w:right w:w="70" w:type="dxa"/>
        </w:tblCellMar>
        <w:tblLook w:val="0000" w:firstRow="0" w:lastRow="0" w:firstColumn="0" w:lastColumn="0" w:noHBand="0" w:noVBand="0"/>
      </w:tblPr>
      <w:tblGrid>
        <w:gridCol w:w="4795"/>
        <w:gridCol w:w="4795"/>
      </w:tblGrid>
      <w:tr w:rsidR="00C74B6F" w14:paraId="1232B564" w14:textId="77777777">
        <w:tc>
          <w:tcPr>
            <w:tcW w:w="4795" w:type="dxa"/>
          </w:tcPr>
          <w:p w14:paraId="4343E81F" w14:textId="77777777" w:rsidR="00C74B6F" w:rsidRDefault="00C74B6F"/>
        </w:tc>
        <w:tc>
          <w:tcPr>
            <w:tcW w:w="4795" w:type="dxa"/>
          </w:tcPr>
          <w:p w14:paraId="1F2CBBF0" w14:textId="77777777" w:rsidR="00C74B6F" w:rsidRDefault="00C74B6F">
            <w:bookmarkStart w:id="6" w:name="signature"/>
            <w:bookmarkEnd w:id="6"/>
            <w:r>
              <w:t>__________________________________</w:t>
            </w:r>
          </w:p>
        </w:tc>
      </w:tr>
      <w:tr w:rsidR="00C74B6F" w14:paraId="1CA0F6F2" w14:textId="77777777">
        <w:tc>
          <w:tcPr>
            <w:tcW w:w="4795" w:type="dxa"/>
          </w:tcPr>
          <w:p w14:paraId="3E657094" w14:textId="77777777" w:rsidR="00C74B6F" w:rsidRDefault="00C74B6F"/>
        </w:tc>
        <w:tc>
          <w:tcPr>
            <w:tcW w:w="4795" w:type="dxa"/>
          </w:tcPr>
          <w:p w14:paraId="549CC0E5" w14:textId="15D31944" w:rsidR="00C74B6F" w:rsidRDefault="00546554">
            <w:r>
              <w:t>Ève-Stéphanie Sauvé</w:t>
            </w:r>
          </w:p>
        </w:tc>
      </w:tr>
      <w:tr w:rsidR="00C74B6F" w14:paraId="1E65C2C6" w14:textId="77777777">
        <w:trPr>
          <w:cantSplit/>
        </w:trPr>
        <w:tc>
          <w:tcPr>
            <w:tcW w:w="9590" w:type="dxa"/>
            <w:gridSpan w:val="2"/>
          </w:tcPr>
          <w:p w14:paraId="662E6F03" w14:textId="77777777" w:rsidR="00C74B6F" w:rsidRDefault="00C74B6F"/>
        </w:tc>
      </w:tr>
    </w:tbl>
    <w:p w14:paraId="7372BA01" w14:textId="77777777" w:rsidR="008619A5" w:rsidRDefault="008619A5" w:rsidP="00CF05CC">
      <w:pPr>
        <w:sectPr w:rsidR="008619A5">
          <w:headerReference w:type="default" r:id="rId7"/>
          <w:pgSz w:w="12240" w:h="15840" w:code="1"/>
          <w:pgMar w:top="1152" w:right="1440" w:bottom="1440" w:left="1440" w:header="706" w:footer="706" w:gutter="0"/>
          <w:cols w:space="720"/>
          <w:titlePg/>
        </w:sectPr>
      </w:pPr>
    </w:p>
    <w:tbl>
      <w:tblPr>
        <w:tblW w:w="9590" w:type="dxa"/>
        <w:tblLayout w:type="fixed"/>
        <w:tblCellMar>
          <w:left w:w="70" w:type="dxa"/>
          <w:right w:w="70" w:type="dxa"/>
        </w:tblCellMar>
        <w:tblLook w:val="0000" w:firstRow="0" w:lastRow="0" w:firstColumn="0" w:lastColumn="0" w:noHBand="0" w:noVBand="0"/>
      </w:tblPr>
      <w:tblGrid>
        <w:gridCol w:w="6323"/>
        <w:gridCol w:w="3267"/>
      </w:tblGrid>
      <w:tr w:rsidR="008619A5" w:rsidRPr="008A7FD1" w14:paraId="6110FC7F" w14:textId="77777777">
        <w:trPr>
          <w:cantSplit/>
        </w:trPr>
        <w:tc>
          <w:tcPr>
            <w:tcW w:w="4795" w:type="dxa"/>
          </w:tcPr>
          <w:p w14:paraId="791D4725" w14:textId="77777777" w:rsidR="008619A5" w:rsidRPr="003D1D96" w:rsidRDefault="008619A5" w:rsidP="003D1D96">
            <w:pPr>
              <w:pStyle w:val="zSoquijdatRepertorie"/>
              <w:rPr>
                <w:rFonts w:cs="Arial"/>
              </w:rPr>
            </w:pPr>
            <w:r>
              <w:rPr>
                <w:rFonts w:cs="Arial"/>
              </w:rPr>
              <w:t xml:space="preserve">Dumais et Centre de services scolaire Marie-Victorin </w:t>
            </w:r>
          </w:p>
        </w:tc>
        <w:tc>
          <w:tcPr>
            <w:tcW w:w="2477" w:type="dxa"/>
          </w:tcPr>
          <w:p w14:paraId="733F5E49" w14:textId="77777777" w:rsidR="008619A5" w:rsidRPr="00153707" w:rsidRDefault="008619A5" w:rsidP="00153707">
            <w:pPr>
              <w:pStyle w:val="zSoquijdatRefNeutre"/>
              <w:rPr>
                <w:rFonts w:cs="Arial"/>
              </w:rPr>
            </w:pPr>
            <w:r w:rsidRPr="00153707">
              <w:rPr>
                <w:rFonts w:cs="Arial"/>
              </w:rPr>
              <w:t>2025 QCTAT 1632</w:t>
            </w:r>
          </w:p>
        </w:tc>
      </w:tr>
    </w:tbl>
    <w:p w14:paraId="63B37637" w14:textId="77777777" w:rsidR="008619A5" w:rsidRDefault="008619A5"/>
    <w:tbl>
      <w:tblPr>
        <w:tblW w:w="9568" w:type="dxa"/>
        <w:tblLayout w:type="fixed"/>
        <w:tblCellMar>
          <w:left w:w="70" w:type="dxa"/>
          <w:right w:w="70" w:type="dxa"/>
        </w:tblCellMar>
        <w:tblLook w:val="0000" w:firstRow="0" w:lastRow="0" w:firstColumn="0" w:lastColumn="0" w:noHBand="0" w:noVBand="0"/>
      </w:tblPr>
      <w:tblGrid>
        <w:gridCol w:w="3331"/>
        <w:gridCol w:w="1559"/>
        <w:gridCol w:w="993"/>
        <w:gridCol w:w="3685"/>
      </w:tblGrid>
      <w:tr w:rsidR="008619A5" w14:paraId="67AEF822" w14:textId="77777777" w:rsidTr="00036794">
        <w:trPr>
          <w:cantSplit/>
        </w:trPr>
        <w:tc>
          <w:tcPr>
            <w:tcW w:w="9568" w:type="dxa"/>
            <w:gridSpan w:val="4"/>
          </w:tcPr>
          <w:p w14:paraId="76CB1343" w14:textId="77777777" w:rsidR="008619A5" w:rsidRPr="00BE1981" w:rsidRDefault="008619A5">
            <w:pPr>
              <w:rPr>
                <w:szCs w:val="24"/>
              </w:rPr>
            </w:pPr>
          </w:p>
        </w:tc>
      </w:tr>
      <w:tr w:rsidR="008619A5" w14:paraId="3C701843" w14:textId="77777777" w:rsidTr="00036794">
        <w:trPr>
          <w:cantSplit/>
        </w:trPr>
        <w:tc>
          <w:tcPr>
            <w:tcW w:w="9568" w:type="dxa"/>
            <w:gridSpan w:val="4"/>
            <w:vAlign w:val="center"/>
          </w:tcPr>
          <w:p w14:paraId="3E7227DD" w14:textId="77777777" w:rsidR="008619A5" w:rsidRPr="000E1320" w:rsidRDefault="008619A5">
            <w:pPr>
              <w:jc w:val="center"/>
              <w:rPr>
                <w:sz w:val="36"/>
                <w:szCs w:val="36"/>
              </w:rPr>
            </w:pPr>
            <w:r w:rsidRPr="000E1320">
              <w:rPr>
                <w:b/>
                <w:sz w:val="36"/>
                <w:szCs w:val="36"/>
              </w:rPr>
              <w:t>TRIBUNAL ADMINISTRATIF DU TRAVAIL</w:t>
            </w:r>
          </w:p>
        </w:tc>
      </w:tr>
      <w:tr w:rsidR="008619A5" w14:paraId="72CCC6DA" w14:textId="77777777" w:rsidTr="00036794">
        <w:trPr>
          <w:cantSplit/>
        </w:trPr>
        <w:tc>
          <w:tcPr>
            <w:tcW w:w="9568" w:type="dxa"/>
            <w:gridSpan w:val="4"/>
          </w:tcPr>
          <w:p w14:paraId="335F870D" w14:textId="77777777" w:rsidR="008619A5" w:rsidRPr="00BE7014" w:rsidRDefault="008619A5" w:rsidP="009A67E7">
            <w:pPr>
              <w:pStyle w:val="zSoquijdatDivision"/>
            </w:pPr>
            <w:r w:rsidRPr="00BE7014">
              <w:t>(</w:t>
            </w:r>
            <w:r w:rsidRPr="00441ADA">
              <w:t>Division de la santé et de la sécurité du travail</w:t>
            </w:r>
            <w:r w:rsidRPr="00BE7014">
              <w:t>)</w:t>
            </w:r>
          </w:p>
        </w:tc>
      </w:tr>
      <w:tr w:rsidR="008619A5" w14:paraId="48E8DF65" w14:textId="77777777" w:rsidTr="00036794">
        <w:trPr>
          <w:cantSplit/>
        </w:trPr>
        <w:tc>
          <w:tcPr>
            <w:tcW w:w="9568" w:type="dxa"/>
            <w:gridSpan w:val="4"/>
          </w:tcPr>
          <w:p w14:paraId="34F57DD3" w14:textId="77777777" w:rsidR="008619A5" w:rsidRDefault="008619A5" w:rsidP="002B2FC3"/>
        </w:tc>
      </w:tr>
      <w:tr w:rsidR="008619A5" w14:paraId="267609DE" w14:textId="77777777" w:rsidTr="00036794">
        <w:trPr>
          <w:cantSplit/>
        </w:trPr>
        <w:tc>
          <w:tcPr>
            <w:tcW w:w="9568" w:type="dxa"/>
            <w:gridSpan w:val="4"/>
          </w:tcPr>
          <w:p w14:paraId="28CEF411" w14:textId="77777777" w:rsidR="008619A5" w:rsidRDefault="008619A5" w:rsidP="002B2FC3"/>
        </w:tc>
      </w:tr>
      <w:tr w:rsidR="008619A5" w14:paraId="3901ED46" w14:textId="77777777" w:rsidTr="00036794">
        <w:tc>
          <w:tcPr>
            <w:tcW w:w="3331" w:type="dxa"/>
          </w:tcPr>
          <w:p w14:paraId="19654D63" w14:textId="77777777" w:rsidR="008619A5" w:rsidRDefault="008619A5">
            <w:r>
              <w:t>Région :</w:t>
            </w:r>
          </w:p>
        </w:tc>
        <w:tc>
          <w:tcPr>
            <w:tcW w:w="6237" w:type="dxa"/>
            <w:gridSpan w:val="3"/>
          </w:tcPr>
          <w:p w14:paraId="5E568A3B" w14:textId="77777777" w:rsidR="008619A5" w:rsidRDefault="008619A5" w:rsidP="00F4095A">
            <w:pPr>
              <w:pStyle w:val="zSoquijdatGreffe"/>
            </w:pPr>
            <w:r>
              <w:t>Montréal</w:t>
            </w:r>
          </w:p>
        </w:tc>
      </w:tr>
      <w:tr w:rsidR="008619A5" w14:paraId="69E9A4E5" w14:textId="77777777" w:rsidTr="00036794">
        <w:trPr>
          <w:cantSplit/>
        </w:trPr>
        <w:tc>
          <w:tcPr>
            <w:tcW w:w="9568" w:type="dxa"/>
            <w:gridSpan w:val="4"/>
          </w:tcPr>
          <w:p w14:paraId="19F8693A" w14:textId="77777777" w:rsidR="008619A5" w:rsidRDefault="008619A5"/>
        </w:tc>
      </w:tr>
      <w:tr w:rsidR="008619A5" w14:paraId="7D64A557" w14:textId="77777777" w:rsidTr="00036794">
        <w:tc>
          <w:tcPr>
            <w:tcW w:w="3331" w:type="dxa"/>
          </w:tcPr>
          <w:p w14:paraId="4367C254" w14:textId="77777777" w:rsidR="008619A5" w:rsidRDefault="008619A5">
            <w:r>
              <w:t>Dossier :</w:t>
            </w:r>
          </w:p>
        </w:tc>
        <w:tc>
          <w:tcPr>
            <w:tcW w:w="6237" w:type="dxa"/>
            <w:gridSpan w:val="3"/>
          </w:tcPr>
          <w:p w14:paraId="7E96E1E2" w14:textId="77777777" w:rsidR="008619A5" w:rsidRDefault="008619A5" w:rsidP="00F4095A">
            <w:pPr>
              <w:pStyle w:val="zSoquijdatNoDossier"/>
            </w:pPr>
            <w:r w:rsidRPr="00627BDF">
              <w:t>1304674</w:t>
            </w:r>
            <w:r>
              <w:t>-71-2212</w:t>
            </w:r>
          </w:p>
        </w:tc>
      </w:tr>
      <w:tr w:rsidR="008619A5" w14:paraId="2E8B6069" w14:textId="77777777" w:rsidTr="00036794">
        <w:trPr>
          <w:cantSplit/>
        </w:trPr>
        <w:tc>
          <w:tcPr>
            <w:tcW w:w="9568" w:type="dxa"/>
            <w:gridSpan w:val="4"/>
          </w:tcPr>
          <w:p w14:paraId="1927FFC1" w14:textId="77777777" w:rsidR="008619A5" w:rsidRDefault="008619A5">
            <w:r>
              <w:fldChar w:fldCharType="begin"/>
            </w:r>
            <w:r>
              <w:instrText xml:space="preserve"> AUTOTEXTLIST  \* Upper  \* MERGEFORMAT </w:instrText>
            </w:r>
            <w:r>
              <w:fldChar w:fldCharType="end"/>
            </w:r>
          </w:p>
        </w:tc>
      </w:tr>
      <w:tr w:rsidR="008619A5" w14:paraId="22053141" w14:textId="77777777" w:rsidTr="00036794">
        <w:tc>
          <w:tcPr>
            <w:tcW w:w="3331" w:type="dxa"/>
          </w:tcPr>
          <w:p w14:paraId="33FE790F" w14:textId="77777777" w:rsidR="008619A5" w:rsidRDefault="008619A5" w:rsidP="0045114F">
            <w:pPr>
              <w:ind w:right="46"/>
            </w:pPr>
            <w:r>
              <w:t>Dossier</w:t>
            </w:r>
            <w:r>
              <w:rPr>
                <w:szCs w:val="24"/>
              </w:rPr>
              <w:t xml:space="preserve"> CNESST </w:t>
            </w:r>
            <w:r w:rsidRPr="008C79A7">
              <w:rPr>
                <w:szCs w:val="24"/>
              </w:rPr>
              <w:t>:</w:t>
            </w:r>
          </w:p>
        </w:tc>
        <w:tc>
          <w:tcPr>
            <w:tcW w:w="6237" w:type="dxa"/>
            <w:gridSpan w:val="3"/>
          </w:tcPr>
          <w:p w14:paraId="4476F0EB" w14:textId="77777777" w:rsidR="008619A5" w:rsidRDefault="008619A5" w:rsidP="004D6CEA">
            <w:pPr>
              <w:pStyle w:val="zSoquijdatNCSST"/>
            </w:pPr>
            <w:r w:rsidRPr="00627BDF">
              <w:t>512412883</w:t>
            </w:r>
          </w:p>
        </w:tc>
      </w:tr>
      <w:tr w:rsidR="008619A5" w14:paraId="243CF678" w14:textId="77777777" w:rsidTr="00036794">
        <w:tc>
          <w:tcPr>
            <w:tcW w:w="3331" w:type="dxa"/>
          </w:tcPr>
          <w:p w14:paraId="3C3F41D6" w14:textId="77777777" w:rsidR="008619A5" w:rsidRDefault="008619A5" w:rsidP="0045114F">
            <w:pPr>
              <w:ind w:right="46"/>
            </w:pPr>
          </w:p>
        </w:tc>
        <w:tc>
          <w:tcPr>
            <w:tcW w:w="6237" w:type="dxa"/>
            <w:gridSpan w:val="3"/>
          </w:tcPr>
          <w:p w14:paraId="61CD838F" w14:textId="77777777" w:rsidR="008619A5" w:rsidRDefault="008619A5" w:rsidP="004D6CEA">
            <w:pPr>
              <w:pStyle w:val="zSoquijdatNCSST"/>
            </w:pPr>
          </w:p>
        </w:tc>
      </w:tr>
      <w:tr w:rsidR="008619A5" w14:paraId="03BB50EE" w14:textId="77777777" w:rsidTr="00036794">
        <w:trPr>
          <w:cantSplit/>
        </w:trPr>
        <w:tc>
          <w:tcPr>
            <w:tcW w:w="9568" w:type="dxa"/>
            <w:gridSpan w:val="4"/>
          </w:tcPr>
          <w:p w14:paraId="51C81430" w14:textId="77777777" w:rsidR="008619A5" w:rsidRDefault="008619A5"/>
        </w:tc>
      </w:tr>
      <w:tr w:rsidR="008619A5" w14:paraId="32D92473" w14:textId="77777777" w:rsidTr="00036794">
        <w:trPr>
          <w:cantSplit/>
        </w:trPr>
        <w:tc>
          <w:tcPr>
            <w:tcW w:w="3331" w:type="dxa"/>
          </w:tcPr>
          <w:p w14:paraId="441C659F" w14:textId="77777777" w:rsidR="008619A5" w:rsidRDefault="008619A5" w:rsidP="0076350E">
            <w:pPr>
              <w:ind w:right="-70"/>
            </w:pPr>
            <w:r>
              <w:t>Montréal,</w:t>
            </w:r>
          </w:p>
        </w:tc>
        <w:tc>
          <w:tcPr>
            <w:tcW w:w="6237" w:type="dxa"/>
            <w:gridSpan w:val="3"/>
          </w:tcPr>
          <w:p w14:paraId="10735038" w14:textId="77777777" w:rsidR="008619A5" w:rsidRDefault="008619A5" w:rsidP="005B5689">
            <w:pPr>
              <w:pStyle w:val="zSoquijdatDateJugement"/>
            </w:pPr>
            <w:r>
              <w:t>l</w:t>
            </w:r>
            <w:r w:rsidRPr="00EB47E6">
              <w:t>e</w:t>
            </w:r>
            <w:r>
              <w:t xml:space="preserve"> 17 avril </w:t>
            </w:r>
            <w:r w:rsidRPr="00EB47E6">
              <w:t>202</w:t>
            </w:r>
            <w:r>
              <w:t>5</w:t>
            </w:r>
          </w:p>
        </w:tc>
      </w:tr>
      <w:tr w:rsidR="008619A5" w14:paraId="02083DAE" w14:textId="77777777" w:rsidTr="00036794">
        <w:trPr>
          <w:cantSplit/>
        </w:trPr>
        <w:tc>
          <w:tcPr>
            <w:tcW w:w="9568" w:type="dxa"/>
            <w:gridSpan w:val="4"/>
          </w:tcPr>
          <w:p w14:paraId="4F581AC8" w14:textId="77777777" w:rsidR="008619A5" w:rsidRDefault="008619A5" w:rsidP="00FA153F">
            <w:r>
              <w:t>______________________________________________________________________</w:t>
            </w:r>
          </w:p>
        </w:tc>
      </w:tr>
      <w:tr w:rsidR="008619A5" w14:paraId="6B9D738A" w14:textId="77777777" w:rsidTr="00036794">
        <w:trPr>
          <w:cantSplit/>
          <w:trHeight w:val="148"/>
        </w:trPr>
        <w:tc>
          <w:tcPr>
            <w:tcW w:w="9568" w:type="dxa"/>
            <w:gridSpan w:val="4"/>
          </w:tcPr>
          <w:p w14:paraId="1132F995" w14:textId="77777777" w:rsidR="008619A5" w:rsidRDefault="008619A5" w:rsidP="00FA153F"/>
        </w:tc>
      </w:tr>
      <w:tr w:rsidR="008619A5" w14:paraId="20B9D687" w14:textId="77777777" w:rsidTr="009773F7">
        <w:trPr>
          <w:cantSplit/>
          <w:trHeight w:val="148"/>
        </w:trPr>
        <w:tc>
          <w:tcPr>
            <w:tcW w:w="5883" w:type="dxa"/>
            <w:gridSpan w:val="3"/>
          </w:tcPr>
          <w:p w14:paraId="12665EA3" w14:textId="77777777" w:rsidR="008619A5" w:rsidRPr="00942AB8" w:rsidRDefault="008619A5">
            <w:pPr>
              <w:rPr>
                <w:b/>
                <w:bCs/>
              </w:rPr>
            </w:pPr>
            <w:r w:rsidRPr="00942AB8">
              <w:rPr>
                <w:b/>
                <w:bCs/>
              </w:rPr>
              <w:t>DEVANT L</w:t>
            </w:r>
            <w:r>
              <w:rPr>
                <w:b/>
                <w:bCs/>
              </w:rPr>
              <w:t>A</w:t>
            </w:r>
            <w:r w:rsidRPr="00942AB8">
              <w:rPr>
                <w:b/>
                <w:bCs/>
              </w:rPr>
              <w:t xml:space="preserve"> JUGE ADMINISTRAT</w:t>
            </w:r>
            <w:r>
              <w:rPr>
                <w:b/>
                <w:bCs/>
              </w:rPr>
              <w:t>IVE </w:t>
            </w:r>
            <w:r w:rsidRPr="00942AB8">
              <w:rPr>
                <w:b/>
                <w:bCs/>
              </w:rPr>
              <w:t>:</w:t>
            </w:r>
          </w:p>
        </w:tc>
        <w:tc>
          <w:tcPr>
            <w:tcW w:w="3685" w:type="dxa"/>
          </w:tcPr>
          <w:p w14:paraId="7C493D19" w14:textId="77777777" w:rsidR="008619A5" w:rsidRPr="00942AB8" w:rsidRDefault="008619A5" w:rsidP="005B5689">
            <w:pPr>
              <w:pStyle w:val="zSoquijdatJuge"/>
              <w:rPr>
                <w:bCs/>
              </w:rPr>
            </w:pPr>
            <w:r>
              <w:t>Ève-Stéphanie Sauvé</w:t>
            </w:r>
          </w:p>
        </w:tc>
      </w:tr>
      <w:tr w:rsidR="008619A5" w14:paraId="665960C0" w14:textId="77777777" w:rsidTr="009773F7">
        <w:trPr>
          <w:cantSplit/>
          <w:trHeight w:val="148"/>
        </w:trPr>
        <w:tc>
          <w:tcPr>
            <w:tcW w:w="5883" w:type="dxa"/>
            <w:gridSpan w:val="3"/>
            <w:tcBorders>
              <w:bottom w:val="single" w:sz="4" w:space="0" w:color="auto"/>
            </w:tcBorders>
          </w:tcPr>
          <w:p w14:paraId="1467C8FF" w14:textId="77777777" w:rsidR="008619A5" w:rsidRDefault="008619A5" w:rsidP="00142911">
            <w:pPr>
              <w:rPr>
                <w:b/>
                <w:bCs/>
              </w:rPr>
            </w:pPr>
          </w:p>
        </w:tc>
        <w:tc>
          <w:tcPr>
            <w:tcW w:w="3685" w:type="dxa"/>
            <w:tcBorders>
              <w:bottom w:val="single" w:sz="4" w:space="0" w:color="auto"/>
            </w:tcBorders>
          </w:tcPr>
          <w:p w14:paraId="6C968AD8" w14:textId="77777777" w:rsidR="008619A5" w:rsidRDefault="008619A5" w:rsidP="00142911">
            <w:pPr>
              <w:pStyle w:val="zSoquijdatJuge"/>
            </w:pPr>
          </w:p>
        </w:tc>
      </w:tr>
      <w:tr w:rsidR="008619A5" w14:paraId="21443A5F" w14:textId="77777777" w:rsidTr="00036794">
        <w:trPr>
          <w:cantSplit/>
          <w:trHeight w:val="148"/>
        </w:trPr>
        <w:tc>
          <w:tcPr>
            <w:tcW w:w="9568" w:type="dxa"/>
            <w:gridSpan w:val="4"/>
          </w:tcPr>
          <w:p w14:paraId="0DE18F54" w14:textId="77777777" w:rsidR="008619A5" w:rsidRDefault="008619A5" w:rsidP="00142911"/>
        </w:tc>
      </w:tr>
      <w:tr w:rsidR="008619A5" w14:paraId="39517C22" w14:textId="77777777" w:rsidTr="00036794">
        <w:trPr>
          <w:cantSplit/>
          <w:trHeight w:val="148"/>
        </w:trPr>
        <w:tc>
          <w:tcPr>
            <w:tcW w:w="9568" w:type="dxa"/>
            <w:gridSpan w:val="4"/>
          </w:tcPr>
          <w:p w14:paraId="51801279" w14:textId="77777777" w:rsidR="008619A5" w:rsidRDefault="008619A5" w:rsidP="00142911"/>
        </w:tc>
      </w:tr>
      <w:tr w:rsidR="008619A5" w14:paraId="52FBCE6D" w14:textId="77777777" w:rsidTr="00E21768">
        <w:tc>
          <w:tcPr>
            <w:tcW w:w="4890" w:type="dxa"/>
            <w:gridSpan w:val="2"/>
          </w:tcPr>
          <w:p w14:paraId="0613E578" w14:textId="77777777" w:rsidR="008619A5" w:rsidRDefault="008619A5" w:rsidP="00142911">
            <w:pPr>
              <w:pStyle w:val="zSoquijdatNomPartieDem"/>
              <w:rPr>
                <w:b/>
              </w:rPr>
            </w:pPr>
            <w:r w:rsidRPr="00627BDF">
              <w:rPr>
                <w:b/>
              </w:rPr>
              <w:t>Daniel Dumais</w:t>
            </w:r>
          </w:p>
        </w:tc>
        <w:tc>
          <w:tcPr>
            <w:tcW w:w="4678" w:type="dxa"/>
            <w:gridSpan w:val="2"/>
          </w:tcPr>
          <w:p w14:paraId="4456DA26" w14:textId="77777777" w:rsidR="008619A5" w:rsidRDefault="008619A5" w:rsidP="00142911"/>
        </w:tc>
      </w:tr>
      <w:tr w:rsidR="008619A5" w14:paraId="0F06053F" w14:textId="77777777" w:rsidTr="00E21768">
        <w:tc>
          <w:tcPr>
            <w:tcW w:w="4890" w:type="dxa"/>
            <w:gridSpan w:val="2"/>
          </w:tcPr>
          <w:p w14:paraId="212B17A5" w14:textId="77777777" w:rsidR="008619A5" w:rsidRDefault="008619A5" w:rsidP="009773F7">
            <w:pPr>
              <w:pStyle w:val="zSoquijdatQtePartieDem"/>
              <w:tabs>
                <w:tab w:val="left" w:pos="3539"/>
              </w:tabs>
              <w:ind w:firstLine="778"/>
            </w:pPr>
            <w:r>
              <w:t>Partie demanderesse</w:t>
            </w:r>
          </w:p>
        </w:tc>
        <w:tc>
          <w:tcPr>
            <w:tcW w:w="4678" w:type="dxa"/>
            <w:gridSpan w:val="2"/>
          </w:tcPr>
          <w:p w14:paraId="0D36EBF0" w14:textId="77777777" w:rsidR="008619A5" w:rsidRDefault="008619A5" w:rsidP="00142911"/>
        </w:tc>
      </w:tr>
      <w:tr w:rsidR="008619A5" w14:paraId="055FC01C" w14:textId="77777777" w:rsidTr="00E21768">
        <w:tc>
          <w:tcPr>
            <w:tcW w:w="4890" w:type="dxa"/>
            <w:gridSpan w:val="2"/>
          </w:tcPr>
          <w:p w14:paraId="7503F80F" w14:textId="77777777" w:rsidR="008619A5" w:rsidRDefault="008619A5" w:rsidP="00142911"/>
        </w:tc>
        <w:tc>
          <w:tcPr>
            <w:tcW w:w="4678" w:type="dxa"/>
            <w:gridSpan w:val="2"/>
          </w:tcPr>
          <w:p w14:paraId="34503DCD" w14:textId="77777777" w:rsidR="008619A5" w:rsidRDefault="008619A5" w:rsidP="00142911"/>
        </w:tc>
      </w:tr>
      <w:tr w:rsidR="008619A5" w14:paraId="31667124" w14:textId="77777777" w:rsidTr="00E21768">
        <w:tc>
          <w:tcPr>
            <w:tcW w:w="4890" w:type="dxa"/>
            <w:gridSpan w:val="2"/>
          </w:tcPr>
          <w:p w14:paraId="4559B575" w14:textId="77777777" w:rsidR="008619A5" w:rsidRDefault="008619A5" w:rsidP="00142911"/>
        </w:tc>
        <w:tc>
          <w:tcPr>
            <w:tcW w:w="4678" w:type="dxa"/>
            <w:gridSpan w:val="2"/>
          </w:tcPr>
          <w:p w14:paraId="1D9327B1" w14:textId="77777777" w:rsidR="008619A5" w:rsidRDefault="008619A5" w:rsidP="00142911"/>
        </w:tc>
      </w:tr>
      <w:tr w:rsidR="008619A5" w14:paraId="501D5CF1" w14:textId="77777777" w:rsidTr="00E21768">
        <w:tc>
          <w:tcPr>
            <w:tcW w:w="4890" w:type="dxa"/>
            <w:gridSpan w:val="2"/>
          </w:tcPr>
          <w:p w14:paraId="420F42A0" w14:textId="77777777" w:rsidR="008619A5" w:rsidRPr="00627BDF" w:rsidRDefault="008619A5" w:rsidP="00142911">
            <w:pPr>
              <w:rPr>
                <w:b/>
                <w:bCs/>
              </w:rPr>
            </w:pPr>
            <w:r w:rsidRPr="00627BDF">
              <w:rPr>
                <w:b/>
                <w:bCs/>
              </w:rPr>
              <w:t xml:space="preserve">Centre de services scolaire Marie-Victorin </w:t>
            </w:r>
          </w:p>
        </w:tc>
        <w:tc>
          <w:tcPr>
            <w:tcW w:w="4678" w:type="dxa"/>
            <w:gridSpan w:val="2"/>
          </w:tcPr>
          <w:p w14:paraId="5E7BD814" w14:textId="77777777" w:rsidR="008619A5" w:rsidRDefault="008619A5" w:rsidP="00142911"/>
        </w:tc>
      </w:tr>
      <w:tr w:rsidR="008619A5" w14:paraId="74776929" w14:textId="77777777" w:rsidTr="00E21768">
        <w:tc>
          <w:tcPr>
            <w:tcW w:w="4890" w:type="dxa"/>
            <w:gridSpan w:val="2"/>
          </w:tcPr>
          <w:p w14:paraId="1183760D" w14:textId="77777777" w:rsidR="008619A5" w:rsidRDefault="008619A5" w:rsidP="009773F7">
            <w:pPr>
              <w:ind w:firstLine="778"/>
            </w:pPr>
            <w:r>
              <w:t>Partie mise en cause</w:t>
            </w:r>
          </w:p>
        </w:tc>
        <w:tc>
          <w:tcPr>
            <w:tcW w:w="4678" w:type="dxa"/>
            <w:gridSpan w:val="2"/>
          </w:tcPr>
          <w:p w14:paraId="7B5484CB" w14:textId="77777777" w:rsidR="008619A5" w:rsidRDefault="008619A5" w:rsidP="00142911"/>
        </w:tc>
      </w:tr>
      <w:tr w:rsidR="008619A5" w14:paraId="4AFB2FF0" w14:textId="77777777" w:rsidTr="00E21768">
        <w:tc>
          <w:tcPr>
            <w:tcW w:w="4890" w:type="dxa"/>
            <w:gridSpan w:val="2"/>
          </w:tcPr>
          <w:p w14:paraId="240A4F32" w14:textId="77777777" w:rsidR="008619A5" w:rsidRDefault="008619A5" w:rsidP="00142911"/>
        </w:tc>
        <w:tc>
          <w:tcPr>
            <w:tcW w:w="4678" w:type="dxa"/>
            <w:gridSpan w:val="2"/>
          </w:tcPr>
          <w:p w14:paraId="3A8CEA09" w14:textId="77777777" w:rsidR="008619A5" w:rsidRDefault="008619A5" w:rsidP="00142911"/>
        </w:tc>
      </w:tr>
    </w:tbl>
    <w:p w14:paraId="216AEDC5" w14:textId="77777777" w:rsidR="008619A5" w:rsidRDefault="008619A5">
      <w:r>
        <w:t>______________________________________________________________________</w:t>
      </w:r>
    </w:p>
    <w:p w14:paraId="1E306168" w14:textId="77777777" w:rsidR="008619A5" w:rsidRDefault="008619A5"/>
    <w:p w14:paraId="41158728" w14:textId="77777777" w:rsidR="008619A5" w:rsidRPr="005B0612" w:rsidRDefault="008619A5" w:rsidP="008B042E">
      <w:pPr>
        <w:jc w:val="center"/>
        <w:rPr>
          <w:b/>
          <w:bCs/>
        </w:rPr>
      </w:pPr>
      <w:bookmarkStart w:id="7" w:name="decision"/>
      <w:r w:rsidRPr="005B0612">
        <w:rPr>
          <w:b/>
          <w:bCs/>
        </w:rPr>
        <w:t>DÉCISION</w:t>
      </w:r>
      <w:bookmarkEnd w:id="7"/>
    </w:p>
    <w:p w14:paraId="71EEE218" w14:textId="77777777" w:rsidR="008619A5" w:rsidRDefault="008619A5" w:rsidP="008F20EA">
      <w:bookmarkStart w:id="8" w:name="separation"/>
      <w:bookmarkStart w:id="9" w:name="parag_1"/>
      <w:r>
        <w:t>______________________________________________________________________</w:t>
      </w:r>
    </w:p>
    <w:p w14:paraId="7464A761" w14:textId="77777777" w:rsidR="008619A5" w:rsidRDefault="008619A5" w:rsidP="003B0671">
      <w:pPr>
        <w:pStyle w:val="Titre1"/>
      </w:pPr>
      <w:bookmarkStart w:id="10" w:name="supprimer_apercu"/>
      <w:bookmarkEnd w:id="8"/>
      <w:r>
        <w:t>L’APERÇU</w:t>
      </w:r>
    </w:p>
    <w:p w14:paraId="54762D65" w14:textId="77777777" w:rsidR="008619A5" w:rsidRPr="007B5B03" w:rsidRDefault="008619A5" w:rsidP="008619A5">
      <w:pPr>
        <w:pStyle w:val="corpsdedcision"/>
        <w:numPr>
          <w:ilvl w:val="0"/>
          <w:numId w:val="45"/>
        </w:numPr>
        <w:tabs>
          <w:tab w:val="num" w:pos="720"/>
        </w:tabs>
        <w:spacing w:after="300"/>
      </w:pPr>
      <w:r>
        <w:t>Le travailleur, m</w:t>
      </w:r>
      <w:r w:rsidRPr="007B5B03">
        <w:t xml:space="preserve">onsieur </w:t>
      </w:r>
      <w:r>
        <w:t>Daniel Dumais est éducateur en garde scolaire</w:t>
      </w:r>
      <w:r w:rsidRPr="007B5B03">
        <w:t xml:space="preserve"> </w:t>
      </w:r>
      <w:r>
        <w:t xml:space="preserve">pour l’employeur, le </w:t>
      </w:r>
      <w:r w:rsidRPr="00FA21FA">
        <w:t>Centre de services scolaire Marie-Victorin</w:t>
      </w:r>
      <w:r w:rsidRPr="008619A5">
        <w:rPr>
          <w:b/>
          <w:bCs/>
        </w:rPr>
        <w:t xml:space="preserve">. </w:t>
      </w:r>
      <w:r>
        <w:t>Il occupe cet emploi depuis 1990 et prévoit prendre sa retraite dans la semaine suivant l’audience au Tribunal.</w:t>
      </w:r>
    </w:p>
    <w:p w14:paraId="54B870F4" w14:textId="77777777" w:rsidR="008619A5" w:rsidRPr="007B5B03" w:rsidRDefault="008619A5" w:rsidP="005127F4">
      <w:pPr>
        <w:pStyle w:val="corpsdedcision"/>
        <w:tabs>
          <w:tab w:val="num" w:pos="720"/>
        </w:tabs>
        <w:spacing w:after="300"/>
      </w:pPr>
      <w:r>
        <w:t>En mai 2022</w:t>
      </w:r>
      <w:r w:rsidRPr="007B5B03">
        <w:t xml:space="preserve">, le travailleur produit à la Commission </w:t>
      </w:r>
      <w:r>
        <w:t xml:space="preserve">des normes, de l’équité, de la santé et de la sécurité du travail </w:t>
      </w:r>
      <w:r w:rsidRPr="007B5B03">
        <w:t>une réclamation pour une surdité professionnelle. Au</w:t>
      </w:r>
      <w:r>
        <w:t xml:space="preserve"> </w:t>
      </w:r>
      <w:r w:rsidRPr="007B5B03">
        <w:t xml:space="preserve">moment du dépôt de sa réclamation, il est âgé de </w:t>
      </w:r>
      <w:r>
        <w:t>55 ans</w:t>
      </w:r>
      <w:r w:rsidRPr="007B5B03">
        <w:t>.</w:t>
      </w:r>
    </w:p>
    <w:p w14:paraId="42D224BF" w14:textId="77777777" w:rsidR="008619A5" w:rsidRPr="007B5B03" w:rsidRDefault="008619A5" w:rsidP="005127F4">
      <w:pPr>
        <w:pStyle w:val="corpsdedcision"/>
        <w:tabs>
          <w:tab w:val="num" w:pos="720"/>
        </w:tabs>
        <w:spacing w:after="300"/>
      </w:pPr>
      <w:r w:rsidRPr="007B5B03">
        <w:t>La Commission</w:t>
      </w:r>
      <w:r>
        <w:t xml:space="preserve"> refuse la réclamation du travailleur au motif que celui-ci n’a pas été exposé à des bruits nocifs puisque son exposition au bruit durant son emploi est insuffisante</w:t>
      </w:r>
      <w:r>
        <w:rPr>
          <w:rStyle w:val="Appelnotedebasdep"/>
        </w:rPr>
        <w:footnoteReference w:id="1"/>
      </w:r>
      <w:r>
        <w:t>.</w:t>
      </w:r>
    </w:p>
    <w:p w14:paraId="12D880A4" w14:textId="77777777" w:rsidR="008619A5" w:rsidRDefault="008619A5" w:rsidP="005127F4">
      <w:pPr>
        <w:pStyle w:val="corpsdedcision"/>
        <w:tabs>
          <w:tab w:val="num" w:pos="720"/>
        </w:tabs>
        <w:spacing w:after="300"/>
      </w:pPr>
      <w:r w:rsidRPr="007B5B03">
        <w:t xml:space="preserve">Le travailleur conteste cette décision devant le Tribunal. Il demande </w:t>
      </w:r>
      <w:r>
        <w:t xml:space="preserve">de reconnaître </w:t>
      </w:r>
      <w:r w:rsidRPr="007B5B03">
        <w:t xml:space="preserve">que sa surdité est </w:t>
      </w:r>
      <w:r>
        <w:t>en lien avec son</w:t>
      </w:r>
      <w:r w:rsidRPr="007B5B03">
        <w:t xml:space="preserve"> travail. </w:t>
      </w:r>
    </w:p>
    <w:p w14:paraId="16CBD179" w14:textId="77777777" w:rsidR="008619A5" w:rsidRDefault="008619A5" w:rsidP="005127F4">
      <w:pPr>
        <w:pStyle w:val="corpsdedcision"/>
        <w:tabs>
          <w:tab w:val="num" w:pos="720"/>
        </w:tabs>
        <w:spacing w:after="300"/>
      </w:pPr>
      <w:r w:rsidRPr="00A20244">
        <w:t>L</w:t>
      </w:r>
      <w:r>
        <w:t>e</w:t>
      </w:r>
      <w:r w:rsidRPr="00A20244">
        <w:t xml:space="preserve"> travailleu</w:t>
      </w:r>
      <w:r>
        <w:t>r</w:t>
      </w:r>
      <w:r w:rsidRPr="00A20244">
        <w:t xml:space="preserve"> </w:t>
      </w:r>
      <w:r>
        <w:t>soutient qu’il est</w:t>
      </w:r>
      <w:r w:rsidRPr="00A20244">
        <w:t xml:space="preserve"> atteint de surdité professionnelle</w:t>
      </w:r>
      <w:r>
        <w:t xml:space="preserve"> et affirme qu’il exerce un travail impliquant une exposition au bruit excessif. </w:t>
      </w:r>
      <w:r w:rsidRPr="003B331B">
        <w:t xml:space="preserve">Il </w:t>
      </w:r>
      <w:r>
        <w:t>est d’avis</w:t>
      </w:r>
      <w:r w:rsidRPr="003B331B">
        <w:t xml:space="preserve"> que son travail avec des enfants de niveau primaire l'expose à un niveau sonore excessivement élevé.</w:t>
      </w:r>
      <w:r>
        <w:t xml:space="preserve"> </w:t>
      </w:r>
    </w:p>
    <w:p w14:paraId="242FC3C9" w14:textId="77777777" w:rsidR="008619A5" w:rsidRDefault="008619A5" w:rsidP="005127F4">
      <w:pPr>
        <w:pStyle w:val="corpsdedcision"/>
        <w:tabs>
          <w:tab w:val="num" w:pos="720"/>
        </w:tabs>
        <w:spacing w:after="300"/>
      </w:pPr>
      <w:bookmarkStart w:id="11" w:name="_Hlk195006269"/>
      <w:r>
        <w:t xml:space="preserve">L’employeur est absent à l’audience et produit une argumentation écrite. Il ne conteste pas que le travailleur est atteint d’une surdité neurosensorielle. Cependant, il prétend que celle-ci n’est pas due à l’exposition au bruit de son milieu de travail. Il ajoute que celui-ci n’a pas fait la preuve d’une exposition constante à un bruit excessif. Il prétend que les audiogrammes ne démontrent pas une courbe typique de surdité professionnelle et que la surdité du travailleur ne s’est pas stabilisée dans les 10 à 15 années </w:t>
      </w:r>
      <w:r w:rsidRPr="00374E5C">
        <w:t>consécutives à</w:t>
      </w:r>
      <w:r w:rsidRPr="00142964">
        <w:t xml:space="preserve"> l’exposition</w:t>
      </w:r>
      <w:r>
        <w:t xml:space="preserve"> du travailleur au bruit, comme c’est le cas typiquement pour une surdité professionnelle. </w:t>
      </w:r>
    </w:p>
    <w:bookmarkEnd w:id="11"/>
    <w:p w14:paraId="5776ABAB" w14:textId="77777777" w:rsidR="008619A5" w:rsidRDefault="008619A5" w:rsidP="005127F4">
      <w:pPr>
        <w:pStyle w:val="corpsdedcision"/>
        <w:spacing w:after="300"/>
      </w:pPr>
      <w:r>
        <w:t>Afin de décider du litige, le Tribunal doit déterminer si l</w:t>
      </w:r>
      <w:r w:rsidRPr="004D4943">
        <w:t>e travailleur est</w:t>
      </w:r>
      <w:r>
        <w:t xml:space="preserve"> </w:t>
      </w:r>
      <w:r w:rsidRPr="004D4943">
        <w:t>atteint d’une maladie professionnelle, soit une surdité professionnelle</w:t>
      </w:r>
      <w:r>
        <w:t>.</w:t>
      </w:r>
    </w:p>
    <w:p w14:paraId="7EA49B0E" w14:textId="77777777" w:rsidR="008619A5" w:rsidRDefault="008619A5" w:rsidP="005127F4">
      <w:pPr>
        <w:pStyle w:val="corpsdedcision"/>
        <w:tabs>
          <w:tab w:val="num" w:pos="720"/>
        </w:tabs>
        <w:spacing w:after="300"/>
      </w:pPr>
      <w:r w:rsidRPr="007B5B03">
        <w:t>Pour les motifs qui suivent, le Tribunal conclut qu</w:t>
      </w:r>
      <w:r>
        <w:t>e le travailleur souffre</w:t>
      </w:r>
      <w:r w:rsidRPr="007B5B03">
        <w:t xml:space="preserve"> d’une atteinte</w:t>
      </w:r>
      <w:r>
        <w:t xml:space="preserve"> auditive causée par le bruit excessif auquel il est exposé au </w:t>
      </w:r>
      <w:r w:rsidRPr="007B5B03">
        <w:t>travail</w:t>
      </w:r>
      <w:bookmarkStart w:id="12" w:name="supprimer_analyse"/>
      <w:bookmarkEnd w:id="9"/>
      <w:bookmarkEnd w:id="10"/>
      <w:r>
        <w:t>.</w:t>
      </w:r>
    </w:p>
    <w:p w14:paraId="0BDD636C" w14:textId="77777777" w:rsidR="008619A5" w:rsidRPr="009C1135" w:rsidRDefault="008619A5" w:rsidP="003B0671">
      <w:pPr>
        <w:pStyle w:val="Titre1"/>
      </w:pPr>
      <w:r w:rsidRPr="006818E4">
        <w:t>L’ANALYSE</w:t>
      </w:r>
      <w:bookmarkEnd w:id="12"/>
    </w:p>
    <w:p w14:paraId="473BD91C" w14:textId="77777777" w:rsidR="008619A5" w:rsidRDefault="008619A5" w:rsidP="003B0671">
      <w:pPr>
        <w:pStyle w:val="Titre3"/>
      </w:pPr>
      <w:r>
        <w:t>L</w:t>
      </w:r>
      <w:r w:rsidRPr="004D4943">
        <w:t>e travailleur est</w:t>
      </w:r>
      <w:r>
        <w:t xml:space="preserve">-il </w:t>
      </w:r>
      <w:r w:rsidRPr="004D4943">
        <w:t xml:space="preserve">atteint d’une maladie professionnelle, soit une </w:t>
      </w:r>
      <w:r>
        <w:t>atteinte auditive causée par le bruit</w:t>
      </w:r>
      <w:r w:rsidRPr="004D4943">
        <w:t> ?</w:t>
      </w:r>
    </w:p>
    <w:p w14:paraId="5E04EDD2" w14:textId="77777777" w:rsidR="008619A5" w:rsidRPr="00BB42FA" w:rsidRDefault="008619A5" w:rsidP="005127F4">
      <w:pPr>
        <w:pStyle w:val="corpsdedcision"/>
        <w:tabs>
          <w:tab w:val="num" w:pos="720"/>
        </w:tabs>
        <w:spacing w:after="300"/>
      </w:pPr>
      <w:r w:rsidRPr="00BB42FA">
        <w:t>Le diagnostic de surdité neurosensorielle</w:t>
      </w:r>
      <w:r>
        <w:t xml:space="preserve"> bilatéra</w:t>
      </w:r>
      <w:r w:rsidRPr="00A74D5C">
        <w:t>le</w:t>
      </w:r>
      <w:r w:rsidRPr="00BB42FA">
        <w:t>, émis par le docteur</w:t>
      </w:r>
      <w:r>
        <w:t> </w:t>
      </w:r>
      <w:r w:rsidRPr="00BB42FA">
        <w:t>Youssef Haikal</w:t>
      </w:r>
      <w:r>
        <w:rPr>
          <w:rStyle w:val="Appelnotedebasdep"/>
        </w:rPr>
        <w:footnoteReference w:id="2"/>
      </w:r>
      <w:r w:rsidRPr="00BB42FA">
        <w:t>,</w:t>
      </w:r>
      <w:r>
        <w:t xml:space="preserve"> otorhinolaryngologiste,</w:t>
      </w:r>
      <w:r w:rsidRPr="00BB42FA">
        <w:t xml:space="preserve"> </w:t>
      </w:r>
      <w:r w:rsidRPr="000C5C67">
        <w:t xml:space="preserve">n’a </w:t>
      </w:r>
      <w:r>
        <w:t xml:space="preserve">pas </w:t>
      </w:r>
      <w:r w:rsidRPr="000C5C67">
        <w:t>fait l’objet d</w:t>
      </w:r>
      <w:r>
        <w:t>e la</w:t>
      </w:r>
      <w:r w:rsidRPr="000C5C67">
        <w:t xml:space="preserve"> procédure d’évaluation médicale</w:t>
      </w:r>
      <w:r>
        <w:t xml:space="preserve"> prévue à la </w:t>
      </w:r>
      <w:r w:rsidRPr="00C57EEB">
        <w:rPr>
          <w:i/>
          <w:iCs/>
        </w:rPr>
        <w:t>Loi sur les accidents du travail et les maladies professionnelles</w:t>
      </w:r>
      <w:r w:rsidRPr="00EC5772">
        <w:rPr>
          <w:rStyle w:val="Appelnotedebasdep"/>
        </w:rPr>
        <w:footnoteReference w:id="3"/>
      </w:r>
      <w:r w:rsidRPr="000C5C67">
        <w:t xml:space="preserve">, </w:t>
      </w:r>
      <w:r>
        <w:t xml:space="preserve">la Loi. </w:t>
      </w:r>
      <w:r w:rsidRPr="000C5C67">
        <w:t xml:space="preserve">Conséquemment, </w:t>
      </w:r>
      <w:r>
        <w:t>c</w:t>
      </w:r>
      <w:r w:rsidRPr="000C5C67">
        <w:t xml:space="preserve">e diagnostic </w:t>
      </w:r>
      <w:r>
        <w:t>lie la Commission et le Tribunal</w:t>
      </w:r>
      <w:r>
        <w:rPr>
          <w:rStyle w:val="Appelnotedebasdep"/>
        </w:rPr>
        <w:footnoteReference w:id="4"/>
      </w:r>
      <w:r w:rsidRPr="000C5C67">
        <w:t>.</w:t>
      </w:r>
    </w:p>
    <w:p w14:paraId="7E248BA5" w14:textId="77777777" w:rsidR="008619A5" w:rsidRPr="007B5B03" w:rsidRDefault="008619A5" w:rsidP="005127F4">
      <w:pPr>
        <w:pStyle w:val="corpsdedcision"/>
        <w:tabs>
          <w:tab w:val="num" w:pos="720"/>
        </w:tabs>
        <w:spacing w:after="300"/>
      </w:pPr>
      <w:r w:rsidRPr="009C1135">
        <w:t xml:space="preserve">La lésion professionnelle, telle que définie par </w:t>
      </w:r>
      <w:r>
        <w:t xml:space="preserve">la Loi, </w:t>
      </w:r>
      <w:r w:rsidRPr="009C1135">
        <w:t xml:space="preserve">est </w:t>
      </w:r>
      <w:r>
        <w:t>« </w:t>
      </w:r>
      <w:r w:rsidRPr="006818E4">
        <w:rPr>
          <w:rStyle w:val="Citationintgre"/>
        </w:rPr>
        <w:t>une blessure ou une maladie qui survient par le fait ou à l’occasion d’un accident du travail, ou une maladie professionnelle, y compris la récidive, la rechute ou l’aggravation </w:t>
      </w:r>
      <w:r>
        <w:t>»</w:t>
      </w:r>
      <w:r>
        <w:rPr>
          <w:rStyle w:val="Appelnotedebasdep"/>
        </w:rPr>
        <w:footnoteReference w:id="5"/>
      </w:r>
      <w:r w:rsidRPr="007B5B03">
        <w:t>.</w:t>
      </w:r>
    </w:p>
    <w:p w14:paraId="5B0E2A88" w14:textId="77777777" w:rsidR="008619A5" w:rsidRPr="009C1135" w:rsidRDefault="008619A5" w:rsidP="005127F4">
      <w:pPr>
        <w:pStyle w:val="corpsdedcision"/>
        <w:spacing w:after="300"/>
      </w:pPr>
      <w:r w:rsidRPr="007B5B03">
        <w:t>La</w:t>
      </w:r>
      <w:r>
        <w:t> </w:t>
      </w:r>
      <w:r w:rsidRPr="003B0671">
        <w:rPr>
          <w:rStyle w:val="Citationintgre"/>
          <w:iCs/>
          <w:szCs w:val="24"/>
        </w:rPr>
        <w:t>maladie professionnelle</w:t>
      </w:r>
      <w:r>
        <w:t> </w:t>
      </w:r>
      <w:r w:rsidRPr="007B5B03">
        <w:t xml:space="preserve">est </w:t>
      </w:r>
      <w:r>
        <w:t>« </w:t>
      </w:r>
      <w:r w:rsidRPr="00596265">
        <w:rPr>
          <w:rStyle w:val="Citationintgre"/>
        </w:rPr>
        <w:t>une maladie contractée par le fait ou à l’occasion du travail et qui est caractéristique de ce travail ou reliée directement aux risques particuliers de ce</w:t>
      </w:r>
      <w:r>
        <w:rPr>
          <w:rStyle w:val="Citationintgre"/>
        </w:rPr>
        <w:t> </w:t>
      </w:r>
      <w:r w:rsidRPr="00596265">
        <w:rPr>
          <w:rStyle w:val="Citationintgre"/>
        </w:rPr>
        <w:t>travail </w:t>
      </w:r>
      <w:r>
        <w:t>»</w:t>
      </w:r>
      <w:r>
        <w:rPr>
          <w:rStyle w:val="Appelnotedebasdep"/>
        </w:rPr>
        <w:footnoteReference w:id="6"/>
      </w:r>
      <w:r w:rsidRPr="007B5B03">
        <w:t>.</w:t>
      </w:r>
      <w:r>
        <w:t xml:space="preserve"> </w:t>
      </w:r>
    </w:p>
    <w:p w14:paraId="49828B55" w14:textId="77777777" w:rsidR="008619A5" w:rsidRDefault="008619A5" w:rsidP="008619A5">
      <w:pPr>
        <w:pStyle w:val="corpsdedcision"/>
        <w:tabs>
          <w:tab w:val="num" w:pos="360"/>
        </w:tabs>
        <w:spacing w:after="300"/>
      </w:pPr>
      <w:r w:rsidRPr="009C1135">
        <w:t xml:space="preserve"> La </w:t>
      </w:r>
      <w:r w:rsidRPr="00836AED">
        <w:rPr>
          <w:i/>
          <w:iCs/>
        </w:rPr>
        <w:t>Loi modernisant le régime de santé et de sécurité du travail</w:t>
      </w:r>
      <w:r w:rsidRPr="009C1135">
        <w:rPr>
          <w:rStyle w:val="Appelnotedebasdep"/>
        </w:rPr>
        <w:footnoteReference w:id="7"/>
      </w:r>
      <w:r w:rsidRPr="009C1135">
        <w:t>, qui est entrée en vigueur le 6</w:t>
      </w:r>
      <w:r>
        <w:t> </w:t>
      </w:r>
      <w:r w:rsidRPr="009C1135">
        <w:t>octobre 2021, a apporté quelques modifications aux dispositions législatives applicables en matière de maladies professionnelles.</w:t>
      </w:r>
      <w:r>
        <w:t xml:space="preserve"> </w:t>
      </w:r>
      <w:r w:rsidRPr="009C1135">
        <w:t>Le nouvel article</w:t>
      </w:r>
      <w:r>
        <w:t> </w:t>
      </w:r>
      <w:r w:rsidRPr="009C1135">
        <w:t xml:space="preserve">28.1 de la Loi </w:t>
      </w:r>
      <w:r>
        <w:t xml:space="preserve">semble prévoir des critères spécifiques concernant la maladie professionnelle dont le </w:t>
      </w:r>
      <w:r w:rsidRPr="009C1135">
        <w:t>diagnostic est une atteinte auditive causée</w:t>
      </w:r>
      <w:r>
        <w:t xml:space="preserve"> par le bruit. De plus, le </w:t>
      </w:r>
      <w:r w:rsidRPr="00214CBE">
        <w:rPr>
          <w:i/>
          <w:iCs/>
        </w:rPr>
        <w:t>Règlement sur les maladies professionnelles</w:t>
      </w:r>
      <w:r>
        <w:rPr>
          <w:rStyle w:val="Appelnotedebasdep"/>
        </w:rPr>
        <w:footnoteReference w:id="8"/>
      </w:r>
      <w:r>
        <w:t xml:space="preserve"> , le Règlement, énonce à son article 1 :</w:t>
      </w:r>
    </w:p>
    <w:p w14:paraId="3028133F" w14:textId="3B975E62" w:rsidR="008619A5" w:rsidRPr="00DD5CCF" w:rsidRDefault="008619A5" w:rsidP="00B0369E">
      <w:pPr>
        <w:pStyle w:val="corpsdedcision"/>
        <w:numPr>
          <w:ilvl w:val="0"/>
          <w:numId w:val="0"/>
        </w:numPr>
        <w:spacing w:after="0"/>
        <w:ind w:left="709" w:right="713"/>
        <w:rPr>
          <w:rStyle w:val="subsection"/>
          <w:rFonts w:cs="Arial"/>
          <w:color w:val="000000"/>
          <w:sz w:val="20"/>
        </w:rPr>
      </w:pPr>
      <w:r w:rsidRPr="00DD5CCF">
        <w:rPr>
          <w:sz w:val="20"/>
        </w:rPr>
        <w:t>1</w:t>
      </w:r>
      <w:r>
        <w:rPr>
          <w:sz w:val="20"/>
        </w:rPr>
        <w:t>.</w:t>
      </w:r>
      <w:r w:rsidRPr="00DD5CCF">
        <w:rPr>
          <w:sz w:val="20"/>
        </w:rPr>
        <w:tab/>
      </w:r>
      <w:r w:rsidRPr="00DD5CCF">
        <w:rPr>
          <w:rStyle w:val="subsection"/>
          <w:rFonts w:cs="Arial"/>
          <w:color w:val="000000"/>
          <w:sz w:val="20"/>
        </w:rPr>
        <w:t xml:space="preserve">Le </w:t>
      </w:r>
      <w:r w:rsidRPr="00DD5CCF">
        <w:rPr>
          <w:rStyle w:val="subsection"/>
          <w:rFonts w:cs="Arial"/>
          <w:sz w:val="20"/>
        </w:rPr>
        <w:t>présent règlement détermine, à l’annexe A, des maladies et les conditions particulières en lien avec celles-ci aux fins de l’application de la présomption de maladie professionnelle prévue à l’</w:t>
      </w:r>
      <w:r w:rsidRPr="00BF4AEB">
        <w:rPr>
          <w:rFonts w:cs="Arial"/>
          <w:sz w:val="20"/>
        </w:rPr>
        <w:t>article 29</w:t>
      </w:r>
      <w:r w:rsidRPr="00DD5CCF">
        <w:rPr>
          <w:rStyle w:val="subsection"/>
          <w:rFonts w:cs="Arial"/>
          <w:sz w:val="20"/>
        </w:rPr>
        <w:t> de la </w:t>
      </w:r>
      <w:hyperlink r:id="rId8" w:history="1">
        <w:r>
          <w:rPr>
            <w:rStyle w:val="Lienhypertexte"/>
            <w:rFonts w:cs="Arial"/>
            <w:sz w:val="20"/>
          </w:rPr>
          <w:t>Loi sur les accidents du travail et les maladies professionnelles (</w:t>
        </w:r>
      </w:hyperlink>
      <w:r w:rsidRPr="00DD5CCF">
        <w:rPr>
          <w:rStyle w:val="subsection"/>
          <w:rFonts w:cs="Arial"/>
          <w:color w:val="000000"/>
          <w:sz w:val="20"/>
        </w:rPr>
        <w:t>chapitre A</w:t>
      </w:r>
      <w:r>
        <w:rPr>
          <w:rStyle w:val="subsection"/>
          <w:rFonts w:cs="Arial"/>
          <w:color w:val="000000"/>
          <w:sz w:val="20"/>
        </w:rPr>
        <w:noBreakHyphen/>
      </w:r>
      <w:r w:rsidRPr="00DD5CCF">
        <w:rPr>
          <w:rStyle w:val="subsection"/>
          <w:rFonts w:cs="Arial"/>
          <w:color w:val="000000"/>
          <w:sz w:val="20"/>
        </w:rPr>
        <w:t>3.001).</w:t>
      </w:r>
    </w:p>
    <w:p w14:paraId="0C7729C9" w14:textId="77777777" w:rsidR="008619A5" w:rsidRPr="003B0671" w:rsidRDefault="008619A5" w:rsidP="003B0671">
      <w:pPr>
        <w:pStyle w:val="corpsdedcision"/>
        <w:numPr>
          <w:ilvl w:val="0"/>
          <w:numId w:val="0"/>
        </w:numPr>
        <w:spacing w:after="0"/>
        <w:ind w:left="709" w:right="713"/>
        <w:rPr>
          <w:sz w:val="20"/>
        </w:rPr>
      </w:pPr>
    </w:p>
    <w:p w14:paraId="528ACBF3" w14:textId="37DE4646" w:rsidR="008619A5" w:rsidRPr="003B0671" w:rsidRDefault="008619A5" w:rsidP="00B0369E">
      <w:pPr>
        <w:pStyle w:val="corpsdedcision"/>
        <w:numPr>
          <w:ilvl w:val="0"/>
          <w:numId w:val="0"/>
        </w:numPr>
        <w:spacing w:after="0"/>
        <w:ind w:left="709" w:right="713"/>
        <w:rPr>
          <w:rStyle w:val="subsection"/>
          <w:rFonts w:cs="Arial"/>
          <w:color w:val="000000"/>
          <w:sz w:val="20"/>
          <w:u w:val="single"/>
        </w:rPr>
      </w:pPr>
      <w:r w:rsidRPr="003B0671">
        <w:rPr>
          <w:rStyle w:val="subsection"/>
          <w:rFonts w:cs="Arial"/>
          <w:color w:val="000000"/>
          <w:sz w:val="20"/>
          <w:u w:val="single"/>
        </w:rPr>
        <w:tab/>
        <w:t xml:space="preserve">Il détermine également, aux fins </w:t>
      </w:r>
      <w:r w:rsidRPr="003B0671">
        <w:rPr>
          <w:rStyle w:val="subsection"/>
          <w:rFonts w:cs="Arial"/>
          <w:sz w:val="20"/>
          <w:u w:val="single"/>
        </w:rPr>
        <w:t>de l’</w:t>
      </w:r>
      <w:r w:rsidRPr="00BF4AEB">
        <w:rPr>
          <w:rFonts w:cs="Arial"/>
          <w:sz w:val="20"/>
        </w:rPr>
        <w:t>article 28.1</w:t>
      </w:r>
      <w:r w:rsidRPr="003B0671">
        <w:rPr>
          <w:rStyle w:val="subsection"/>
          <w:rFonts w:cs="Arial"/>
          <w:sz w:val="20"/>
          <w:u w:val="single"/>
        </w:rPr>
        <w:t> de la </w:t>
      </w:r>
      <w:hyperlink r:id="rId9" w:history="1">
        <w:r>
          <w:rPr>
            <w:rStyle w:val="Lienhypertexte"/>
            <w:rFonts w:cs="Arial"/>
            <w:sz w:val="20"/>
          </w:rPr>
          <w:t>Loi</w:t>
        </w:r>
      </w:hyperlink>
      <w:r w:rsidRPr="003B0671">
        <w:rPr>
          <w:rStyle w:val="subsection"/>
          <w:rFonts w:cs="Arial"/>
          <w:sz w:val="20"/>
          <w:u w:val="single"/>
        </w:rPr>
        <w:t xml:space="preserve">, les </w:t>
      </w:r>
      <w:r w:rsidRPr="003B0671">
        <w:rPr>
          <w:rStyle w:val="subsection"/>
          <w:rFonts w:cs="Arial"/>
          <w:color w:val="000000"/>
          <w:sz w:val="20"/>
          <w:u w:val="single"/>
        </w:rPr>
        <w:t>critères d’admissibilité d’une réclamation pour une maladie dont le diagnostic est une atteinte auditive causée par le bruit</w:t>
      </w:r>
      <w:r w:rsidRPr="003B0671">
        <w:rPr>
          <w:rStyle w:val="subsection"/>
          <w:rFonts w:cs="Arial"/>
          <w:color w:val="000000"/>
          <w:sz w:val="20"/>
        </w:rPr>
        <w:t>.</w:t>
      </w:r>
    </w:p>
    <w:p w14:paraId="31BF1181" w14:textId="77777777" w:rsidR="008619A5" w:rsidRDefault="008619A5" w:rsidP="003B0671">
      <w:pPr>
        <w:pStyle w:val="corpsdedcision"/>
        <w:numPr>
          <w:ilvl w:val="0"/>
          <w:numId w:val="0"/>
        </w:numPr>
        <w:spacing w:after="0"/>
        <w:ind w:left="709"/>
        <w:rPr>
          <w:rStyle w:val="subsection"/>
          <w:rFonts w:cs="Arial"/>
          <w:color w:val="000000"/>
          <w:sz w:val="22"/>
          <w:szCs w:val="22"/>
          <w:u w:val="single"/>
        </w:rPr>
      </w:pPr>
    </w:p>
    <w:p w14:paraId="0A0F4EBE" w14:textId="77777777" w:rsidR="008619A5" w:rsidRPr="00214CBE" w:rsidRDefault="008619A5" w:rsidP="00214CBE">
      <w:pPr>
        <w:pStyle w:val="corpsdedcision"/>
        <w:numPr>
          <w:ilvl w:val="0"/>
          <w:numId w:val="0"/>
        </w:numPr>
        <w:ind w:left="709"/>
        <w:rPr>
          <w:szCs w:val="24"/>
          <w:u w:val="single"/>
        </w:rPr>
      </w:pPr>
      <w:r w:rsidRPr="00214CBE">
        <w:rPr>
          <w:rStyle w:val="subsection"/>
          <w:rFonts w:cs="Arial"/>
          <w:color w:val="000000"/>
          <w:szCs w:val="24"/>
          <w:u w:val="single"/>
        </w:rPr>
        <w:t>[Notre soulignement]</w:t>
      </w:r>
    </w:p>
    <w:p w14:paraId="084C9071" w14:textId="77777777" w:rsidR="008619A5" w:rsidRDefault="008619A5" w:rsidP="005127F4">
      <w:pPr>
        <w:pStyle w:val="corpsdedcision"/>
        <w:spacing w:before="360" w:after="300"/>
      </w:pPr>
      <w:r>
        <w:t>Néanmoins, malgré la référence explicite du Règlement aux critères d’admissibilité de l’article 28.1 de la Loi, il ne prévoit aucune disposition spécifique énonçant ces critères. Aussi, la jurisprudence du Tribunal considère que « </w:t>
      </w:r>
      <w:r w:rsidRPr="00214CBE">
        <w:rPr>
          <w:rStyle w:val="Citationintgre"/>
        </w:rPr>
        <w:t>l’ajout de l’article 28.1 de la Loi n’a donc, pour le moment, qu’une valeur neutre, sans impact sur les droits du travailleur comme les critères d’admissibilité sont, à ce jour, inexistants</w:t>
      </w:r>
      <w:r>
        <w:t> »</w:t>
      </w:r>
      <w:r>
        <w:rPr>
          <w:rStyle w:val="Appelnotedebasdep"/>
        </w:rPr>
        <w:footnoteReference w:id="9"/>
      </w:r>
      <w:r>
        <w:t xml:space="preserve">. De même dans </w:t>
      </w:r>
      <w:r w:rsidRPr="00214CBE">
        <w:rPr>
          <w:i/>
          <w:iCs/>
        </w:rPr>
        <w:t xml:space="preserve">Pelletier </w:t>
      </w:r>
      <w:r>
        <w:t xml:space="preserve">et </w:t>
      </w:r>
      <w:r w:rsidRPr="00214CBE">
        <w:rPr>
          <w:i/>
          <w:iCs/>
        </w:rPr>
        <w:t>Thiro Construction ltée</w:t>
      </w:r>
      <w:r>
        <w:t>, le Tribunal ajoute : « </w:t>
      </w:r>
      <w:r w:rsidRPr="00214CBE">
        <w:rPr>
          <w:rStyle w:val="Citationintgre"/>
        </w:rPr>
        <w:t>qu’il n’existe effectivement, à l’heure actuelle, aucun critère d’admissibilité, malgré le fait que le deuxième alinéa de l’article 1 du Règlement énonce qu’il les détermine</w:t>
      </w:r>
      <w:r>
        <w:t> »</w:t>
      </w:r>
      <w:r>
        <w:rPr>
          <w:rStyle w:val="Appelnotedebasdep"/>
        </w:rPr>
        <w:footnoteReference w:id="10"/>
      </w:r>
      <w:r>
        <w:t>.</w:t>
      </w:r>
    </w:p>
    <w:p w14:paraId="7C4DE21D" w14:textId="77777777" w:rsidR="008619A5" w:rsidRDefault="008619A5" w:rsidP="005127F4">
      <w:pPr>
        <w:pStyle w:val="corpsdedcision"/>
        <w:keepNext/>
        <w:spacing w:before="330" w:after="300"/>
      </w:pPr>
      <w:r>
        <w:t>Dans ce contexte,</w:t>
      </w:r>
      <w:r w:rsidRPr="00881629">
        <w:t xml:space="preserve"> le cadre d’analyse développé par la jurisprudence du Tribunal en relation avec l’article 29 de la Loi trouve application</w:t>
      </w:r>
      <w:r>
        <w:rPr>
          <w:rStyle w:val="Appelnotedebasdep"/>
        </w:rPr>
        <w:footnoteReference w:id="11"/>
      </w:r>
      <w:r>
        <w:t> :</w:t>
      </w:r>
    </w:p>
    <w:p w14:paraId="52E87309" w14:textId="77777777" w:rsidR="008619A5" w:rsidRPr="00F47C9E" w:rsidRDefault="008619A5" w:rsidP="005127F4">
      <w:pPr>
        <w:spacing w:after="300"/>
        <w:ind w:left="720" w:right="720"/>
        <w:jc w:val="both"/>
        <w:rPr>
          <w:bCs/>
          <w:sz w:val="20"/>
        </w:rPr>
      </w:pPr>
      <w:r w:rsidRPr="00F47C9E">
        <w:rPr>
          <w:b/>
          <w:sz w:val="20"/>
        </w:rPr>
        <w:t xml:space="preserve">29. </w:t>
      </w:r>
      <w:r w:rsidRPr="00F47C9E">
        <w:rPr>
          <w:bCs/>
          <w:sz w:val="20"/>
        </w:rPr>
        <w:t>Un travailleur est présumé atteint d’une maladie professionnelle s’il est atteint d’une maladie prévue par règlement et si, au jour où il reçoit le diagnostic de cette maladie, il rencontre les conditions particulières en lien avec cette maladie prévues par règlement.</w:t>
      </w:r>
    </w:p>
    <w:p w14:paraId="3A920DE4" w14:textId="77777777" w:rsidR="008619A5" w:rsidRPr="00F47C9E" w:rsidRDefault="008619A5" w:rsidP="008619A5">
      <w:pPr>
        <w:keepNext/>
        <w:numPr>
          <w:ilvl w:val="0"/>
          <w:numId w:val="1"/>
        </w:numPr>
        <w:tabs>
          <w:tab w:val="clear" w:pos="360"/>
          <w:tab w:val="left" w:pos="720"/>
        </w:tabs>
        <w:spacing w:after="300"/>
        <w:jc w:val="both"/>
      </w:pPr>
      <w:r>
        <w:t>Concernant une atteinte auditive, l</w:t>
      </w:r>
      <w:r w:rsidRPr="00F47C9E">
        <w:t>e Règlement</w:t>
      </w:r>
      <w:r>
        <w:t xml:space="preserve"> énonce</w:t>
      </w:r>
      <w:r w:rsidRPr="00F47C9E">
        <w:t xml:space="preserve"> ceci :</w:t>
      </w:r>
    </w:p>
    <w:p w14:paraId="102BB3B4" w14:textId="77777777" w:rsidR="008619A5" w:rsidRPr="00F47C9E" w:rsidRDefault="008619A5" w:rsidP="00F47C9E">
      <w:pPr>
        <w:keepNext/>
        <w:ind w:left="720" w:right="720"/>
        <w:jc w:val="both"/>
        <w:rPr>
          <w:b/>
          <w:bCs/>
          <w:sz w:val="20"/>
        </w:rPr>
      </w:pPr>
      <w:r w:rsidRPr="00F47C9E">
        <w:rPr>
          <w:b/>
          <w:bCs/>
          <w:sz w:val="20"/>
        </w:rPr>
        <w:t>ANNEXE A</w:t>
      </w:r>
    </w:p>
    <w:p w14:paraId="7799CBFD" w14:textId="77777777" w:rsidR="008619A5" w:rsidRPr="00F47C9E" w:rsidRDefault="008619A5" w:rsidP="00F47C9E">
      <w:pPr>
        <w:keepNext/>
        <w:ind w:left="720" w:right="720"/>
        <w:jc w:val="both"/>
        <w:rPr>
          <w:sz w:val="20"/>
        </w:rPr>
      </w:pPr>
    </w:p>
    <w:p w14:paraId="6233B3AD" w14:textId="77777777" w:rsidR="008619A5" w:rsidRPr="00F47C9E" w:rsidRDefault="008619A5" w:rsidP="00F47C9E">
      <w:pPr>
        <w:keepNext/>
        <w:ind w:left="720" w:right="720"/>
        <w:jc w:val="both"/>
        <w:rPr>
          <w:i/>
          <w:iCs/>
          <w:sz w:val="20"/>
        </w:rPr>
      </w:pPr>
      <w:r w:rsidRPr="00F47C9E">
        <w:rPr>
          <w:i/>
          <w:iCs/>
          <w:sz w:val="20"/>
        </w:rPr>
        <w:t>(a. 1)</w:t>
      </w:r>
    </w:p>
    <w:p w14:paraId="7480DCF8" w14:textId="77777777" w:rsidR="008619A5" w:rsidRPr="00F47C9E" w:rsidRDefault="008619A5" w:rsidP="00F47C9E">
      <w:pPr>
        <w:keepNext/>
        <w:ind w:left="720" w:right="720"/>
        <w:jc w:val="both"/>
        <w:rPr>
          <w:iCs/>
          <w:sz w:val="20"/>
        </w:rPr>
      </w:pPr>
    </w:p>
    <w:p w14:paraId="0EAA103B" w14:textId="77777777" w:rsidR="008619A5" w:rsidRPr="003B0671" w:rsidRDefault="008619A5" w:rsidP="00F47C9E">
      <w:pPr>
        <w:keepNext/>
        <w:ind w:left="720" w:right="720"/>
        <w:jc w:val="both"/>
        <w:rPr>
          <w:iCs/>
          <w:szCs w:val="24"/>
        </w:rPr>
      </w:pPr>
      <w:r w:rsidRPr="003B0671">
        <w:rPr>
          <w:iCs/>
          <w:szCs w:val="24"/>
        </w:rPr>
        <w:t>[…]</w:t>
      </w:r>
    </w:p>
    <w:p w14:paraId="2D3D5DE8" w14:textId="77777777" w:rsidR="008619A5" w:rsidRPr="00F47C9E" w:rsidRDefault="008619A5" w:rsidP="00F47C9E">
      <w:pPr>
        <w:keepNext/>
        <w:ind w:left="720" w:right="720"/>
        <w:jc w:val="both"/>
        <w:rPr>
          <w:iCs/>
          <w:sz w:val="20"/>
        </w:rPr>
      </w:pPr>
    </w:p>
    <w:tbl>
      <w:tblPr>
        <w:tblStyle w:val="Grilledutableau"/>
        <w:tblW w:w="0" w:type="auto"/>
        <w:tblInd w:w="720" w:type="dxa"/>
        <w:tblBorders>
          <w:top w:val="single" w:sz="8" w:space="0" w:color="auto"/>
          <w:left w:val="none" w:sz="0" w:space="0" w:color="auto"/>
          <w:bottom w:val="single" w:sz="8" w:space="0" w:color="auto"/>
          <w:right w:val="none" w:sz="0" w:space="0" w:color="auto"/>
          <w:insideH w:val="single" w:sz="8" w:space="0" w:color="auto"/>
          <w:insideV w:val="none" w:sz="0" w:space="0" w:color="auto"/>
        </w:tblBorders>
        <w:tblLook w:val="04A0" w:firstRow="1" w:lastRow="0" w:firstColumn="1" w:lastColumn="0" w:noHBand="0" w:noVBand="1"/>
      </w:tblPr>
      <w:tblGrid>
        <w:gridCol w:w="3816"/>
        <w:gridCol w:w="4106"/>
      </w:tblGrid>
      <w:tr w:rsidR="008619A5" w:rsidRPr="00F47C9E" w14:paraId="42F67E71" w14:textId="77777777" w:rsidTr="002D1B5E">
        <w:tc>
          <w:tcPr>
            <w:tcW w:w="7922" w:type="dxa"/>
            <w:gridSpan w:val="2"/>
          </w:tcPr>
          <w:p w14:paraId="26486925" w14:textId="77777777" w:rsidR="008619A5" w:rsidRPr="00F47C9E" w:rsidRDefault="008619A5" w:rsidP="00F47C9E">
            <w:pPr>
              <w:keepNext/>
              <w:spacing w:before="120" w:after="120"/>
              <w:ind w:right="33"/>
              <w:jc w:val="both"/>
              <w:rPr>
                <w:iCs/>
                <w:sz w:val="20"/>
              </w:rPr>
            </w:pPr>
            <w:r w:rsidRPr="00F47C9E">
              <w:rPr>
                <w:iCs/>
                <w:sz w:val="20"/>
              </w:rPr>
              <w:t>SECTION IV — MALADIES CAUSÉES PAR DES AGENTS PHYSIQUES</w:t>
            </w:r>
          </w:p>
        </w:tc>
      </w:tr>
      <w:tr w:rsidR="008619A5" w:rsidRPr="00F47C9E" w14:paraId="1144AEF9" w14:textId="77777777" w:rsidTr="002D1B5E">
        <w:tc>
          <w:tcPr>
            <w:tcW w:w="3816" w:type="dxa"/>
          </w:tcPr>
          <w:p w14:paraId="055D9244" w14:textId="77777777" w:rsidR="008619A5" w:rsidRPr="00F47C9E" w:rsidRDefault="008619A5" w:rsidP="00F47C9E">
            <w:pPr>
              <w:keepNext/>
              <w:spacing w:before="120" w:after="120"/>
              <w:ind w:right="33"/>
              <w:jc w:val="both"/>
              <w:rPr>
                <w:iCs/>
                <w:sz w:val="20"/>
              </w:rPr>
            </w:pPr>
            <w:r w:rsidRPr="00F47C9E">
              <w:rPr>
                <w:iCs/>
                <w:sz w:val="20"/>
              </w:rPr>
              <w:t>MALADIES</w:t>
            </w:r>
          </w:p>
        </w:tc>
        <w:tc>
          <w:tcPr>
            <w:tcW w:w="4106" w:type="dxa"/>
          </w:tcPr>
          <w:p w14:paraId="71C0ECAD" w14:textId="77777777" w:rsidR="008619A5" w:rsidRPr="00F47C9E" w:rsidRDefault="008619A5" w:rsidP="00F47C9E">
            <w:pPr>
              <w:keepNext/>
              <w:spacing w:before="120" w:after="120"/>
              <w:ind w:right="33"/>
              <w:jc w:val="both"/>
              <w:rPr>
                <w:iCs/>
                <w:sz w:val="20"/>
              </w:rPr>
            </w:pPr>
            <w:r w:rsidRPr="00F47C9E">
              <w:rPr>
                <w:iCs/>
                <w:sz w:val="20"/>
              </w:rPr>
              <w:t>CONDITIONS PARTICULIÈRES</w:t>
            </w:r>
          </w:p>
        </w:tc>
      </w:tr>
      <w:tr w:rsidR="008619A5" w:rsidRPr="00F47C9E" w14:paraId="236744A8" w14:textId="77777777" w:rsidTr="002D1B5E">
        <w:tc>
          <w:tcPr>
            <w:tcW w:w="3816" w:type="dxa"/>
          </w:tcPr>
          <w:p w14:paraId="12F93F55" w14:textId="77777777" w:rsidR="008619A5" w:rsidRPr="00F47C9E" w:rsidRDefault="008619A5" w:rsidP="00F47C9E">
            <w:pPr>
              <w:keepNext/>
              <w:spacing w:before="120" w:after="120"/>
              <w:ind w:right="33"/>
              <w:jc w:val="both"/>
              <w:rPr>
                <w:iCs/>
                <w:sz w:val="20"/>
              </w:rPr>
            </w:pPr>
            <w:r w:rsidRPr="00F47C9E">
              <w:rPr>
                <w:iCs/>
                <w:sz w:val="20"/>
              </w:rPr>
              <w:t>Atteinte auditive causée par le bruit</w:t>
            </w:r>
          </w:p>
        </w:tc>
        <w:tc>
          <w:tcPr>
            <w:tcW w:w="4106" w:type="dxa"/>
          </w:tcPr>
          <w:p w14:paraId="7EFF4E2E" w14:textId="77777777" w:rsidR="008619A5" w:rsidRPr="00F47C9E" w:rsidRDefault="008619A5" w:rsidP="00F47C9E">
            <w:pPr>
              <w:keepNext/>
              <w:spacing w:before="120" w:after="120"/>
              <w:ind w:right="33"/>
              <w:jc w:val="both"/>
              <w:rPr>
                <w:iCs/>
                <w:sz w:val="20"/>
              </w:rPr>
            </w:pPr>
            <w:r w:rsidRPr="00F47C9E">
              <w:rPr>
                <w:iCs/>
                <w:sz w:val="20"/>
              </w:rPr>
              <w:t>Avoir exercé un travail impliquant une exposition à un bruit excessif.</w:t>
            </w:r>
          </w:p>
        </w:tc>
      </w:tr>
    </w:tbl>
    <w:p w14:paraId="4BC1A3F1" w14:textId="77777777" w:rsidR="008619A5" w:rsidRPr="00F47C9E" w:rsidRDefault="008619A5" w:rsidP="00F47C9E">
      <w:pPr>
        <w:keepNext/>
        <w:ind w:left="720" w:right="720"/>
        <w:jc w:val="both"/>
        <w:rPr>
          <w:iCs/>
          <w:sz w:val="20"/>
        </w:rPr>
      </w:pPr>
    </w:p>
    <w:p w14:paraId="5EBB3641" w14:textId="77777777" w:rsidR="008619A5" w:rsidRPr="00B0369E" w:rsidRDefault="008619A5" w:rsidP="005127F4">
      <w:pPr>
        <w:pStyle w:val="corpsdedcision"/>
        <w:numPr>
          <w:ilvl w:val="0"/>
          <w:numId w:val="0"/>
        </w:numPr>
        <w:tabs>
          <w:tab w:val="clear" w:pos="720"/>
        </w:tabs>
        <w:spacing w:after="300"/>
        <w:ind w:firstLine="709"/>
        <w:rPr>
          <w:szCs w:val="24"/>
        </w:rPr>
      </w:pPr>
      <w:r w:rsidRPr="003B0671">
        <w:rPr>
          <w:iCs/>
          <w:szCs w:val="24"/>
        </w:rPr>
        <w:t>[…]</w:t>
      </w:r>
    </w:p>
    <w:p w14:paraId="4F1D566C" w14:textId="77777777" w:rsidR="008619A5" w:rsidRDefault="008619A5" w:rsidP="00271477">
      <w:pPr>
        <w:pStyle w:val="corpsdedcision"/>
        <w:keepLines/>
        <w:tabs>
          <w:tab w:val="num" w:pos="720"/>
        </w:tabs>
        <w:spacing w:after="300"/>
      </w:pPr>
      <w:r>
        <w:t>A</w:t>
      </w:r>
      <w:r w:rsidRPr="007B5B03">
        <w:t xml:space="preserve">fin de bénéficier de </w:t>
      </w:r>
      <w:r>
        <w:t>la</w:t>
      </w:r>
      <w:r w:rsidRPr="007B5B03">
        <w:t xml:space="preserve"> présomption</w:t>
      </w:r>
      <w:r>
        <w:t xml:space="preserve"> de l’article 29 de la Loi</w:t>
      </w:r>
      <w:r w:rsidRPr="007B5B03">
        <w:t>, le travailleur doit établir par prépondérance de preuve</w:t>
      </w:r>
      <w:r>
        <w:t>:</w:t>
      </w:r>
    </w:p>
    <w:p w14:paraId="33893BE9" w14:textId="77777777" w:rsidR="008619A5" w:rsidRDefault="008619A5" w:rsidP="008619A5">
      <w:pPr>
        <w:pStyle w:val="corpsdedcision"/>
        <w:keepLines/>
        <w:numPr>
          <w:ilvl w:val="0"/>
          <w:numId w:val="43"/>
        </w:numPr>
        <w:tabs>
          <w:tab w:val="clear" w:pos="720"/>
        </w:tabs>
        <w:spacing w:after="240"/>
      </w:pPr>
      <w:r>
        <w:t>qu’il souffre d’une atteinte auditive causée par le bruit; et</w:t>
      </w:r>
    </w:p>
    <w:p w14:paraId="32CC28D8" w14:textId="77777777" w:rsidR="008619A5" w:rsidRDefault="008619A5" w:rsidP="008619A5">
      <w:pPr>
        <w:pStyle w:val="corpsdedcision"/>
        <w:keepLines/>
        <w:numPr>
          <w:ilvl w:val="0"/>
          <w:numId w:val="43"/>
        </w:numPr>
        <w:tabs>
          <w:tab w:val="clear" w:pos="720"/>
        </w:tabs>
        <w:spacing w:after="300"/>
      </w:pPr>
      <w:r>
        <w:t>qu’il a exercé un travail impliquant une exposition à un bruit excessif.</w:t>
      </w:r>
    </w:p>
    <w:p w14:paraId="5D47C015" w14:textId="77777777" w:rsidR="008619A5" w:rsidRDefault="008619A5" w:rsidP="003B0671">
      <w:pPr>
        <w:pStyle w:val="Titre4"/>
      </w:pPr>
      <w:r w:rsidRPr="000A1D32">
        <w:t>Une atteinte auditive causée par le bruit</w:t>
      </w:r>
    </w:p>
    <w:p w14:paraId="24A0C8C3" w14:textId="77777777" w:rsidR="008619A5" w:rsidRDefault="008619A5" w:rsidP="005127F4">
      <w:pPr>
        <w:pStyle w:val="corpsdedcision"/>
        <w:tabs>
          <w:tab w:val="num" w:pos="720"/>
        </w:tabs>
        <w:spacing w:after="300"/>
      </w:pPr>
      <w:r>
        <w:t>Pour les motifs qui suivent, l</w:t>
      </w:r>
      <w:r w:rsidRPr="007B5B03">
        <w:t>e Tribunal détermine que le travailleur a fait la preuve qu</w:t>
      </w:r>
      <w:r>
        <w:t xml:space="preserve">’il est atteint d’une perte </w:t>
      </w:r>
      <w:r w:rsidRPr="007B5B03">
        <w:t xml:space="preserve">auditive </w:t>
      </w:r>
      <w:r w:rsidRPr="00596265">
        <w:t>causée par le bruit</w:t>
      </w:r>
      <w:r w:rsidRPr="007B5B03">
        <w:t>.</w:t>
      </w:r>
      <w:r>
        <w:t xml:space="preserve"> </w:t>
      </w:r>
      <w:r w:rsidRPr="0021481D">
        <w:t>A</w:t>
      </w:r>
      <w:r>
        <w:t>ins</w:t>
      </w:r>
      <w:r w:rsidRPr="0021481D">
        <w:t>i, la</w:t>
      </w:r>
      <w:r>
        <w:t xml:space="preserve"> première condition d’application de la</w:t>
      </w:r>
      <w:r w:rsidRPr="0021481D">
        <w:t xml:space="preserve"> </w:t>
      </w:r>
      <w:r>
        <w:t>présomption est satisfaite.</w:t>
      </w:r>
    </w:p>
    <w:p w14:paraId="4742A03B" w14:textId="77777777" w:rsidR="008619A5" w:rsidRDefault="008619A5" w:rsidP="005127F4">
      <w:pPr>
        <w:pStyle w:val="corpsdedcision"/>
        <w:keepNext/>
        <w:tabs>
          <w:tab w:val="num" w:pos="720"/>
        </w:tabs>
        <w:spacing w:before="240" w:after="300"/>
      </w:pPr>
      <w:r>
        <w:t xml:space="preserve">Dans la décision </w:t>
      </w:r>
      <w:r w:rsidRPr="0003010A">
        <w:rPr>
          <w:i/>
          <w:iCs/>
        </w:rPr>
        <w:t xml:space="preserve">Air Canada </w:t>
      </w:r>
      <w:r w:rsidRPr="006C252B">
        <w:t>(</w:t>
      </w:r>
      <w:r w:rsidRPr="0003010A">
        <w:rPr>
          <w:i/>
          <w:iCs/>
        </w:rPr>
        <w:t>Ser</w:t>
      </w:r>
      <w:r>
        <w:rPr>
          <w:i/>
          <w:iCs/>
        </w:rPr>
        <w:t>.</w:t>
      </w:r>
      <w:r w:rsidRPr="0003010A">
        <w:rPr>
          <w:i/>
          <w:iCs/>
        </w:rPr>
        <w:t xml:space="preserve"> de Réclamations</w:t>
      </w:r>
      <w:r w:rsidRPr="006C252B">
        <w:t>)</w:t>
      </w:r>
      <w:r>
        <w:t xml:space="preserve"> et </w:t>
      </w:r>
      <w:r w:rsidRPr="0003010A">
        <w:rPr>
          <w:i/>
          <w:iCs/>
        </w:rPr>
        <w:t>Pard</w:t>
      </w:r>
      <w:r>
        <w:rPr>
          <w:rStyle w:val="Appelnotedebasdep"/>
        </w:rPr>
        <w:footnoteReference w:id="12"/>
      </w:r>
      <w:r>
        <w:rPr>
          <w:i/>
          <w:iCs/>
        </w:rPr>
        <w:t xml:space="preserve"> </w:t>
      </w:r>
      <w:r w:rsidRPr="00A452BA">
        <w:t>le</w:t>
      </w:r>
      <w:r>
        <w:t> </w:t>
      </w:r>
      <w:r w:rsidRPr="00A452BA">
        <w:t xml:space="preserve">Tribunal résume </w:t>
      </w:r>
      <w:r>
        <w:t xml:space="preserve">ainsi </w:t>
      </w:r>
      <w:r w:rsidRPr="00A452BA">
        <w:t>l</w:t>
      </w:r>
      <w:r>
        <w:t>e fardeau de</w:t>
      </w:r>
      <w:r w:rsidRPr="00A452BA">
        <w:t xml:space="preserve"> preuve</w:t>
      </w:r>
      <w:r>
        <w:t> :</w:t>
      </w:r>
    </w:p>
    <w:p w14:paraId="6209C488" w14:textId="77777777" w:rsidR="008619A5" w:rsidRDefault="008619A5" w:rsidP="00836AED">
      <w:pPr>
        <w:pStyle w:val="citation"/>
      </w:pPr>
      <w:r w:rsidRPr="003B0671">
        <w:rPr>
          <w:sz w:val="24"/>
          <w:szCs w:val="24"/>
        </w:rPr>
        <w:t>[…]</w:t>
      </w:r>
      <w:r>
        <w:t xml:space="preserve"> Afin de bénéficier de l’application de cette présomption</w:t>
      </w:r>
      <w:r w:rsidRPr="00065E72">
        <w:rPr>
          <w:u w:val="single"/>
        </w:rPr>
        <w:t>, il suffit pour le travailleur de démontrer que le type de surdité dont il est atteint est compatible avec un type de surdité causée par le bruit</w:t>
      </w:r>
      <w:r w:rsidRPr="00065E72">
        <w:rPr>
          <w:u w:val="single"/>
          <w:vertAlign w:val="superscript"/>
        </w:rPr>
        <w:t>9</w:t>
      </w:r>
      <w:r w:rsidRPr="00065E72">
        <w:rPr>
          <w:u w:val="single"/>
        </w:rPr>
        <w:t xml:space="preserve"> par opposition à d’autres types de surdité. Obliger le travailleur, à ce stade, à faire une démonstration complète, par preuve médicale prépondérante, de l’existence d’une relation causale entre sa surdité et le bruit aurait pour effet d’annuler le but recherché par le législateur par l’application d’une présomption réfragable</w:t>
      </w:r>
      <w:r>
        <w:t xml:space="preserve">, ce but étant d’alléger le fardeau de preuve de celui qui en réclame l’application tout en permettant le renversement de cette présomption par celui qui s’y oppose. </w:t>
      </w:r>
    </w:p>
    <w:p w14:paraId="2BC59217" w14:textId="77777777" w:rsidR="008619A5" w:rsidRDefault="008619A5" w:rsidP="00065E72">
      <w:pPr>
        <w:pStyle w:val="Citationendoubleretrait"/>
        <w:ind w:left="0"/>
        <w:rPr>
          <w:rFonts w:cs="Arial"/>
        </w:rPr>
      </w:pPr>
    </w:p>
    <w:p w14:paraId="5582396C" w14:textId="77777777" w:rsidR="008619A5" w:rsidRPr="00596265" w:rsidRDefault="008619A5" w:rsidP="00271477">
      <w:pPr>
        <w:pStyle w:val="citation"/>
        <w:spacing w:after="300"/>
        <w:rPr>
          <w:sz w:val="24"/>
        </w:rPr>
      </w:pPr>
      <w:r w:rsidRPr="00596265">
        <w:rPr>
          <w:sz w:val="24"/>
        </w:rPr>
        <w:t>[</w:t>
      </w:r>
      <w:r>
        <w:rPr>
          <w:sz w:val="24"/>
        </w:rPr>
        <w:t>N</w:t>
      </w:r>
      <w:r w:rsidRPr="00374E5C">
        <w:rPr>
          <w:sz w:val="24"/>
        </w:rPr>
        <w:t>ote omise</w:t>
      </w:r>
      <w:r>
        <w:rPr>
          <w:sz w:val="24"/>
        </w:rPr>
        <w:t xml:space="preserve"> et notre soulignement</w:t>
      </w:r>
      <w:r w:rsidRPr="00142964">
        <w:rPr>
          <w:sz w:val="24"/>
        </w:rPr>
        <w:t>]</w:t>
      </w:r>
    </w:p>
    <w:p w14:paraId="7FE1BF7E" w14:textId="77777777" w:rsidR="008619A5" w:rsidRDefault="008619A5" w:rsidP="005127F4">
      <w:pPr>
        <w:pStyle w:val="corpsdedcision"/>
        <w:tabs>
          <w:tab w:val="num" w:pos="720"/>
        </w:tabs>
        <w:spacing w:after="300"/>
      </w:pPr>
      <w:r w:rsidRPr="00383418">
        <w:t xml:space="preserve">Selon la jurisprudence du Tribunal, une atteinte auditive causée par le bruit est neurosensorielle, bilatérale, symétrique et </w:t>
      </w:r>
      <w:r>
        <w:t xml:space="preserve">est </w:t>
      </w:r>
      <w:r w:rsidRPr="00383418">
        <w:t>plus importante dans les hautes fréquences</w:t>
      </w:r>
      <w:r w:rsidRPr="00383418">
        <w:rPr>
          <w:rStyle w:val="Appelnotedebasdep"/>
        </w:rPr>
        <w:footnoteReference w:id="13"/>
      </w:r>
      <w:r w:rsidRPr="00383418">
        <w:t xml:space="preserve">. </w:t>
      </w:r>
      <w:r>
        <w:t>U</w:t>
      </w:r>
      <w:r w:rsidRPr="00383418">
        <w:t>ne surdité professionnelle se traduit généralement par des courbes typiques se caractérisant par une chute évidente du seuil d’audition dans les fréquences de 4</w:t>
      </w:r>
      <w:r>
        <w:t> </w:t>
      </w:r>
      <w:r w:rsidRPr="00383418">
        <w:t>000 Hertz, avec une remontée dans les fréquences de 6</w:t>
      </w:r>
      <w:r>
        <w:t> </w:t>
      </w:r>
      <w:r w:rsidRPr="00383418">
        <w:t>000 et 8</w:t>
      </w:r>
      <w:r>
        <w:t> </w:t>
      </w:r>
      <w:r w:rsidRPr="00383418">
        <w:t>000 Hertz (encoche à 4</w:t>
      </w:r>
      <w:r>
        <w:t> </w:t>
      </w:r>
      <w:r w:rsidRPr="00383418">
        <w:t>000 Hertz). La perte auditive est bilatérale et les courbes sont habituellement symétriques</w:t>
      </w:r>
      <w:r w:rsidRPr="00383418">
        <w:rPr>
          <w:rStyle w:val="Appelnotedebasdep"/>
        </w:rPr>
        <w:footnoteReference w:id="14"/>
      </w:r>
      <w:r w:rsidRPr="00383418">
        <w:t xml:space="preserve">. </w:t>
      </w:r>
    </w:p>
    <w:p w14:paraId="127C4E1F" w14:textId="77777777" w:rsidR="008619A5" w:rsidRPr="00383418" w:rsidRDefault="008619A5" w:rsidP="005127F4">
      <w:pPr>
        <w:pStyle w:val="corpsdedcision"/>
        <w:tabs>
          <w:tab w:val="num" w:pos="720"/>
        </w:tabs>
        <w:spacing w:after="300"/>
      </w:pPr>
      <w:r>
        <w:t>Le travailleur se soumet à deux évaluations audiologiques : la première le 2 mai 2022 et la deuxième le 10 décembre 2024.</w:t>
      </w:r>
    </w:p>
    <w:p w14:paraId="45CDACCA" w14:textId="77777777" w:rsidR="008619A5" w:rsidRPr="00383418" w:rsidRDefault="008619A5" w:rsidP="003B0671">
      <w:pPr>
        <w:pStyle w:val="Titre4"/>
        <w:spacing w:after="360"/>
      </w:pPr>
      <w:r w:rsidRPr="00B60100">
        <w:t>Rapport d’audiogramme de 20</w:t>
      </w:r>
      <w:r>
        <w:t>22</w:t>
      </w:r>
    </w:p>
    <w:p w14:paraId="7E6A9DB1" w14:textId="77777777" w:rsidR="008619A5" w:rsidRDefault="008619A5" w:rsidP="005127F4">
      <w:pPr>
        <w:pStyle w:val="corpsdedcision"/>
        <w:tabs>
          <w:tab w:val="num" w:pos="720"/>
        </w:tabs>
        <w:spacing w:after="300"/>
      </w:pPr>
      <w:r w:rsidRPr="00FB0A0E">
        <w:t>L’audiogramme de 2022 montre une surdité neurosensorielle bilatérale et symétrique avec atteinte prédominante dans les hautes fréquences. Du côté droit, il y a une baisse graduelle de la courbe vers les hautes fréquences</w:t>
      </w:r>
      <w:r>
        <w:t xml:space="preserve"> à compter de 3000 Hertz, une</w:t>
      </w:r>
      <w:r w:rsidRPr="00FB0A0E">
        <w:t xml:space="preserve"> légère remontée à 4000 H</w:t>
      </w:r>
      <w:r>
        <w:t>ert</w:t>
      </w:r>
      <w:r w:rsidRPr="00FB0A0E">
        <w:t>z</w:t>
      </w:r>
      <w:r>
        <w:t xml:space="preserve"> pour redescendre par la suite vers 6000 Hertz</w:t>
      </w:r>
      <w:r w:rsidRPr="00FB0A0E">
        <w:t xml:space="preserve">. Du côté gauche, il y a aussi une baisse graduelle vers les hautes fréquences, malgré une petite remontée </w:t>
      </w:r>
      <w:r>
        <w:t xml:space="preserve">à </w:t>
      </w:r>
      <w:r w:rsidRPr="00FB0A0E">
        <w:t>4000 H</w:t>
      </w:r>
      <w:r>
        <w:t>ert</w:t>
      </w:r>
      <w:r w:rsidRPr="00FB0A0E">
        <w:t xml:space="preserve">z. </w:t>
      </w:r>
    </w:p>
    <w:p w14:paraId="5B30871C" w14:textId="77777777" w:rsidR="008619A5" w:rsidRPr="00FB0A0E" w:rsidRDefault="008619A5" w:rsidP="003B0671">
      <w:pPr>
        <w:pStyle w:val="corpsdedcision"/>
        <w:keepNext/>
        <w:numPr>
          <w:ilvl w:val="0"/>
          <w:numId w:val="0"/>
        </w:numPr>
        <w:rPr>
          <w:u w:val="single"/>
        </w:rPr>
      </w:pPr>
      <w:r w:rsidRPr="00FB0A0E">
        <w:rPr>
          <w:u w:val="single"/>
        </w:rPr>
        <w:t>Rapport d’audiogramme de 2024</w:t>
      </w:r>
    </w:p>
    <w:p w14:paraId="6FBC2818" w14:textId="77777777" w:rsidR="008619A5" w:rsidRPr="00FB0A0E" w:rsidRDefault="008619A5" w:rsidP="005127F4">
      <w:pPr>
        <w:pStyle w:val="corpsdedcision"/>
        <w:tabs>
          <w:tab w:val="num" w:pos="720"/>
        </w:tabs>
        <w:spacing w:after="300"/>
      </w:pPr>
      <w:r>
        <w:t xml:space="preserve">Le rapport d’audiogramme de </w:t>
      </w:r>
      <w:r w:rsidRPr="00FB0A0E">
        <w:t>2024 montre aussi une surdité neurosensorielle bilatérale et symétrique avec atteinte prédominante dans les hautes fréquences. Du côté</w:t>
      </w:r>
      <w:r>
        <w:t xml:space="preserve"> droit la courbe indique</w:t>
      </w:r>
      <w:r w:rsidRPr="00FB0A0E">
        <w:t xml:space="preserve"> une légère remontée à 8</w:t>
      </w:r>
      <w:r>
        <w:t> </w:t>
      </w:r>
      <w:r w:rsidRPr="00FB0A0E">
        <w:t>000</w:t>
      </w:r>
      <w:r>
        <w:t> </w:t>
      </w:r>
      <w:r w:rsidRPr="00FB0A0E">
        <w:t>H</w:t>
      </w:r>
      <w:r>
        <w:t>ert</w:t>
      </w:r>
      <w:r w:rsidRPr="00FB0A0E">
        <w:t>z</w:t>
      </w:r>
      <w:r>
        <w:t>.</w:t>
      </w:r>
    </w:p>
    <w:p w14:paraId="205B0247" w14:textId="77777777" w:rsidR="008619A5" w:rsidRPr="00313FBA" w:rsidRDefault="008619A5" w:rsidP="005127F4">
      <w:pPr>
        <w:pStyle w:val="corpsdedcision"/>
        <w:tabs>
          <w:tab w:val="num" w:pos="720"/>
        </w:tabs>
        <w:spacing w:after="300"/>
      </w:pPr>
      <w:r>
        <w:t>Les rapports d’audiogramme ne présentent pas des courbes typiques de surdité causée par le bruit. En effet, elles ne démontrent pas d’encoches franches illustrées par une chute à 4 000 Hertz suivie d’</w:t>
      </w:r>
      <w:r w:rsidRPr="00383418">
        <w:t>une remontée dans les</w:t>
      </w:r>
      <w:r>
        <w:t xml:space="preserve"> hautes</w:t>
      </w:r>
      <w:r w:rsidRPr="00383418">
        <w:t xml:space="preserve"> fréquences </w:t>
      </w:r>
      <w:r>
        <w:t>de</w:t>
      </w:r>
      <w:r w:rsidRPr="00383418">
        <w:t xml:space="preserve"> 6</w:t>
      </w:r>
      <w:r>
        <w:t> </w:t>
      </w:r>
      <w:r w:rsidRPr="00383418">
        <w:t>000 et 8</w:t>
      </w:r>
      <w:r>
        <w:t> </w:t>
      </w:r>
      <w:r w:rsidRPr="00383418">
        <w:t>000 Hertz.</w:t>
      </w:r>
      <w:r>
        <w:t xml:space="preserve"> C’est d’ailleurs ce que plaide l’employeur. </w:t>
      </w:r>
    </w:p>
    <w:p w14:paraId="5E732473" w14:textId="77777777" w:rsidR="008619A5" w:rsidRPr="00313FBA" w:rsidRDefault="008619A5" w:rsidP="005127F4">
      <w:pPr>
        <w:pStyle w:val="corpsdedcision"/>
        <w:tabs>
          <w:tab w:val="num" w:pos="720"/>
        </w:tabs>
        <w:spacing w:after="300"/>
      </w:pPr>
      <w:r w:rsidRPr="00313FBA">
        <w:t xml:space="preserve">L’absence de courbes typiques n’empêche pas la reconnaissance d’une surdité causée par le bruit pourvu que la preuve </w:t>
      </w:r>
      <w:r>
        <w:t>médicale</w:t>
      </w:r>
      <w:r w:rsidRPr="00313FBA">
        <w:t xml:space="preserve"> permette de l’expliquer</w:t>
      </w:r>
      <w:r w:rsidRPr="00313FBA">
        <w:rPr>
          <w:rStyle w:val="Appelnotedebasdep"/>
        </w:rPr>
        <w:footnoteReference w:id="15"/>
      </w:r>
      <w:r w:rsidRPr="00313FBA">
        <w:t xml:space="preserve">. </w:t>
      </w:r>
      <w:r w:rsidRPr="00313FBA">
        <w:rPr>
          <w:szCs w:val="24"/>
        </w:rPr>
        <w:t xml:space="preserve">En effet, la jurisprudence du Tribunal indique que </w:t>
      </w:r>
      <w:r w:rsidRPr="00313FBA">
        <w:rPr>
          <w:rFonts w:cs="Arial"/>
          <w:color w:val="000000"/>
          <w:shd w:val="clear" w:color="auto" w:fill="FFFFFF"/>
        </w:rPr>
        <w:t>« </w:t>
      </w:r>
      <w:r w:rsidRPr="00313FBA">
        <w:rPr>
          <w:rFonts w:cs="Arial"/>
          <w:i/>
          <w:iCs/>
          <w:color w:val="000000"/>
          <w:sz w:val="22"/>
          <w:szCs w:val="22"/>
          <w:shd w:val="clear" w:color="auto" w:fill="FFFFFF"/>
        </w:rPr>
        <w:t>le non-respect de l’une ou l’autre de ces caractéristiques à l’audiogramme n’est pas fatal à l’application de la présomption de maladie professionnelle, puisqu’il s’agit de traits, de signes distinctifs, d’indices ou particularités d’une surdité causée par le bruit et non pas de conditions absolues</w:t>
      </w:r>
      <w:bookmarkStart w:id="14" w:name="_ftnref10"/>
      <w:bookmarkEnd w:id="14"/>
      <w:r w:rsidRPr="00313FBA">
        <w:rPr>
          <w:rFonts w:cs="Arial"/>
          <w:color w:val="000000"/>
          <w:sz w:val="22"/>
          <w:szCs w:val="22"/>
          <w:shd w:val="clear" w:color="auto" w:fill="FFFFFF"/>
        </w:rPr>
        <w:t> </w:t>
      </w:r>
      <w:r w:rsidRPr="00313FBA">
        <w:rPr>
          <w:rFonts w:cs="Arial"/>
          <w:color w:val="000000"/>
          <w:shd w:val="clear" w:color="auto" w:fill="FFFFFF"/>
        </w:rPr>
        <w:t>»</w:t>
      </w:r>
      <w:r w:rsidRPr="00313FBA">
        <w:rPr>
          <w:rStyle w:val="Appelnotedebasdep"/>
          <w:rFonts w:cs="Arial"/>
          <w:color w:val="000000"/>
          <w:shd w:val="clear" w:color="auto" w:fill="FFFFFF"/>
        </w:rPr>
        <w:footnoteReference w:id="16"/>
      </w:r>
      <w:r w:rsidRPr="00313FBA">
        <w:rPr>
          <w:rFonts w:cs="Arial"/>
          <w:color w:val="000000"/>
          <w:shd w:val="clear" w:color="auto" w:fill="FFFFFF"/>
        </w:rPr>
        <w:t>.</w:t>
      </w:r>
      <w:r>
        <w:rPr>
          <w:rFonts w:cs="Arial"/>
          <w:color w:val="000000"/>
          <w:shd w:val="clear" w:color="auto" w:fill="FFFFFF"/>
        </w:rPr>
        <w:t xml:space="preserve"> Cependant, il revient au professionnel de la santé qui a charge du travailleur d’expliquer pourquoi il en vient à un diagnostic de surdité causé par le bruit malgré la nature atypique des courbes de l’audiogramme</w:t>
      </w:r>
      <w:r>
        <w:rPr>
          <w:rStyle w:val="Appelnotedebasdep"/>
          <w:rFonts w:cs="Arial"/>
          <w:color w:val="000000"/>
          <w:shd w:val="clear" w:color="auto" w:fill="FFFFFF"/>
        </w:rPr>
        <w:footnoteReference w:id="17"/>
      </w:r>
      <w:r>
        <w:rPr>
          <w:rFonts w:cs="Arial"/>
          <w:color w:val="000000"/>
          <w:shd w:val="clear" w:color="auto" w:fill="FFFFFF"/>
        </w:rPr>
        <w:t>.</w:t>
      </w:r>
    </w:p>
    <w:p w14:paraId="024A34A3" w14:textId="77777777" w:rsidR="008619A5" w:rsidRPr="009F3C29" w:rsidRDefault="008619A5" w:rsidP="005127F4">
      <w:pPr>
        <w:pStyle w:val="corpsdedcision"/>
        <w:spacing w:after="300"/>
      </w:pPr>
      <w:r w:rsidRPr="008504C4">
        <w:rPr>
          <w:szCs w:val="24"/>
        </w:rPr>
        <w:t>La jurisprudence du Tribunal</w:t>
      </w:r>
      <w:r>
        <w:rPr>
          <w:szCs w:val="24"/>
        </w:rPr>
        <w:t>,</w:t>
      </w:r>
      <w:r w:rsidRPr="008504C4">
        <w:rPr>
          <w:szCs w:val="24"/>
        </w:rPr>
        <w:t xml:space="preserve"> basée sur le consensus scientifique </w:t>
      </w:r>
      <w:r>
        <w:rPr>
          <w:szCs w:val="24"/>
        </w:rPr>
        <w:t>à</w:t>
      </w:r>
      <w:r w:rsidRPr="008504C4">
        <w:rPr>
          <w:szCs w:val="24"/>
        </w:rPr>
        <w:t xml:space="preserve"> ce sujet</w:t>
      </w:r>
      <w:r>
        <w:rPr>
          <w:szCs w:val="24"/>
        </w:rPr>
        <w:t>,</w:t>
      </w:r>
      <w:r w:rsidRPr="008504C4">
        <w:rPr>
          <w:szCs w:val="24"/>
        </w:rPr>
        <w:t xml:space="preserve"> reconnaît que la perte d’audition se développe généralement dans les 10 ou 15</w:t>
      </w:r>
      <w:r>
        <w:rPr>
          <w:szCs w:val="24"/>
        </w:rPr>
        <w:t> </w:t>
      </w:r>
      <w:r w:rsidRPr="008504C4">
        <w:rPr>
          <w:szCs w:val="24"/>
        </w:rPr>
        <w:t>premières années d’exposition au bruit</w:t>
      </w:r>
      <w:r w:rsidRPr="008504C4">
        <w:rPr>
          <w:rStyle w:val="Appelnotedebasdep"/>
          <w:szCs w:val="24"/>
        </w:rPr>
        <w:footnoteReference w:id="18"/>
      </w:r>
      <w:r w:rsidRPr="008504C4">
        <w:rPr>
          <w:szCs w:val="24"/>
        </w:rPr>
        <w:t>.</w:t>
      </w:r>
      <w:r w:rsidRPr="008504C4">
        <w:rPr>
          <w:rFonts w:ascii="Segoe UI" w:hAnsi="Segoe UI" w:cs="Segoe UI"/>
          <w:color w:val="242424"/>
          <w:sz w:val="21"/>
          <w:szCs w:val="21"/>
          <w:shd w:val="clear" w:color="auto" w:fill="FAFAFA"/>
        </w:rPr>
        <w:t xml:space="preserve"> </w:t>
      </w:r>
      <w:r w:rsidRPr="008504C4">
        <w:rPr>
          <w:szCs w:val="24"/>
        </w:rPr>
        <w:t>Lorsque l'exposition se poursuit, la détérioration de l'audition continue, mais à un rythme moins rapide</w:t>
      </w:r>
      <w:r>
        <w:rPr>
          <w:rStyle w:val="Appelnotedebasdep"/>
          <w:szCs w:val="24"/>
        </w:rPr>
        <w:footnoteReference w:id="19"/>
      </w:r>
      <w:r w:rsidRPr="008504C4">
        <w:rPr>
          <w:szCs w:val="24"/>
        </w:rPr>
        <w:t>.</w:t>
      </w:r>
      <w:r>
        <w:rPr>
          <w:szCs w:val="24"/>
        </w:rPr>
        <w:t xml:space="preserve"> Celle-ci peut éventuellement être masquée par une diminution de l’audition causée par l’âge</w:t>
      </w:r>
      <w:r>
        <w:rPr>
          <w:rStyle w:val="Appelnotedebasdep"/>
          <w:szCs w:val="24"/>
        </w:rPr>
        <w:footnoteReference w:id="20"/>
      </w:r>
      <w:r>
        <w:rPr>
          <w:szCs w:val="24"/>
        </w:rPr>
        <w:t> :</w:t>
      </w:r>
    </w:p>
    <w:p w14:paraId="73D1F10E" w14:textId="77777777" w:rsidR="008619A5" w:rsidRDefault="008619A5" w:rsidP="003D7803">
      <w:pPr>
        <w:pStyle w:val="citation"/>
        <w:rPr>
          <w:rStyle w:val="CitationendoubleretraitCar"/>
        </w:rPr>
      </w:pPr>
      <w:r>
        <w:rPr>
          <w:rStyle w:val="CitationendoubleretraitCar"/>
          <w:rFonts w:cs="Arial"/>
        </w:rPr>
        <w:t>[48]</w:t>
      </w:r>
      <w:r>
        <w:rPr>
          <w:rStyle w:val="CitationendoubleretraitCar"/>
          <w:rFonts w:cs="Arial"/>
        </w:rPr>
        <w:tab/>
      </w:r>
      <w:r w:rsidRPr="003D7803">
        <w:rPr>
          <w:rStyle w:val="CitationendoubleretraitCar"/>
        </w:rPr>
        <w:t xml:space="preserve">De plus, la </w:t>
      </w:r>
      <w:r w:rsidRPr="00550C4C">
        <w:rPr>
          <w:rStyle w:val="CitationendoubleretraitCar"/>
        </w:rPr>
        <w:t>jurisprudence</w:t>
      </w:r>
      <w:r w:rsidRPr="00374E5C">
        <w:rPr>
          <w:rStyle w:val="CitationendoubleretraitCar"/>
          <w:vertAlign w:val="superscript"/>
        </w:rPr>
        <w:t>17</w:t>
      </w:r>
      <w:r w:rsidRPr="00550C4C">
        <w:rPr>
          <w:rStyle w:val="CitationendoubleretraitCar"/>
        </w:rPr>
        <w:t xml:space="preserve"> enseigne que l’encoche typique d’une surdité professionnelle est plus marquée en début d’atteinte</w:t>
      </w:r>
      <w:r w:rsidRPr="003D7803">
        <w:rPr>
          <w:rStyle w:val="CitationendoubleretraitCar"/>
        </w:rPr>
        <w:t xml:space="preserve"> auditive et « </w:t>
      </w:r>
      <w:r w:rsidRPr="003B0671">
        <w:rPr>
          <w:rStyle w:val="CitationendoubleretraitCar"/>
          <w:i/>
          <w:iCs/>
          <w:szCs w:val="18"/>
        </w:rPr>
        <w:t>tend généralement à diminuer ou à disparaître complètement, proportionnellement à l’importance de la perte auditive totale, ou risque d’être marquée par des signes de vieillissement</w:t>
      </w:r>
      <w:r w:rsidRPr="003D7803">
        <w:rPr>
          <w:rStyle w:val="CitationendoubleretraitCar"/>
        </w:rPr>
        <w:t> ». En l’espèce, la preuve établit que le travailleur constate une atteinte auditive vers l’année 2000, plus de 20 ans avant son premier audiogramme.</w:t>
      </w:r>
    </w:p>
    <w:p w14:paraId="5819ADDB" w14:textId="77777777" w:rsidR="008619A5" w:rsidRPr="003D7803" w:rsidRDefault="008619A5" w:rsidP="003D7803">
      <w:pPr>
        <w:pStyle w:val="citation"/>
      </w:pPr>
    </w:p>
    <w:p w14:paraId="6C2FA091" w14:textId="77777777" w:rsidR="008619A5" w:rsidRPr="00DA2590" w:rsidRDefault="008619A5" w:rsidP="005127F4">
      <w:pPr>
        <w:pStyle w:val="corpsdedcision"/>
        <w:keepNext/>
        <w:numPr>
          <w:ilvl w:val="0"/>
          <w:numId w:val="0"/>
        </w:numPr>
        <w:tabs>
          <w:tab w:val="clear" w:pos="720"/>
        </w:tabs>
        <w:spacing w:after="300"/>
        <w:rPr>
          <w:rFonts w:cs="Arial"/>
        </w:rPr>
      </w:pPr>
      <w:r>
        <w:tab/>
      </w:r>
      <w:r>
        <w:rPr>
          <w:rFonts w:cs="Arial"/>
        </w:rPr>
        <w:t xml:space="preserve">[Note </w:t>
      </w:r>
      <w:r w:rsidRPr="00C63088">
        <w:rPr>
          <w:rFonts w:cs="Arial"/>
        </w:rPr>
        <w:t>omise]</w:t>
      </w:r>
    </w:p>
    <w:p w14:paraId="7A2FDE19" w14:textId="77777777" w:rsidR="008619A5" w:rsidRDefault="008619A5" w:rsidP="005127F4">
      <w:pPr>
        <w:pStyle w:val="corpsdedcision"/>
        <w:tabs>
          <w:tab w:val="num" w:pos="720"/>
        </w:tabs>
        <w:spacing w:after="300"/>
      </w:pPr>
      <w:r>
        <w:t>Ainsi, bien que l'examen audiologique révèle une altération de l'audition causée par le vieillissement, cela n'exclut pas la présence de surdité causée par le bruit</w:t>
      </w:r>
      <w:r>
        <w:rPr>
          <w:rStyle w:val="Appelnotedebasdep"/>
        </w:rPr>
        <w:footnoteReference w:id="21"/>
      </w:r>
      <w:r>
        <w:t xml:space="preserve">. En l’instance, la preuve médicale prépondérante démontre que les courbes atypiques que présentent les audiogrammes du travailleur s’expliquent par une hypoacousie prématurée compatible avec une exposition au bruit. Le travailleur passe un premier </w:t>
      </w:r>
      <w:r w:rsidRPr="00550C4C">
        <w:t xml:space="preserve">audiogramme </w:t>
      </w:r>
      <w:r w:rsidRPr="00374E5C">
        <w:t>plus de 20 ans</w:t>
      </w:r>
      <w:r w:rsidRPr="00550C4C">
        <w:t xml:space="preserve"> après</w:t>
      </w:r>
      <w:r>
        <w:t xml:space="preserve"> avoir constaté la baisse de son audition. Il poursuit son travail et son exposition au bruit. Ceci explique que son audition continue de diminuer sans se stabiliser. Cette hypoacousie prématurée masque l’encoche typique de surdité causée par le bruit.</w:t>
      </w:r>
    </w:p>
    <w:p w14:paraId="19685600" w14:textId="77777777" w:rsidR="008619A5" w:rsidRDefault="008619A5" w:rsidP="005127F4">
      <w:pPr>
        <w:pStyle w:val="corpsdedcision"/>
        <w:tabs>
          <w:tab w:val="num" w:pos="720"/>
        </w:tabs>
        <w:spacing w:after="300"/>
      </w:pPr>
      <w:r>
        <w:t>Dans son rapport de 2022, l’audiologiste note que le travailleur présente une surdité anormale pour une personne de son âge : « </w:t>
      </w:r>
      <w:r w:rsidRPr="00DA2590">
        <w:rPr>
          <w:rStyle w:val="Citationintgre"/>
        </w:rPr>
        <w:t>Comparaison avec l’âge (Normes ISO</w:t>
      </w:r>
      <w:r>
        <w:rPr>
          <w:rStyle w:val="Citationintgre"/>
        </w:rPr>
        <w:t> </w:t>
      </w:r>
      <w:r w:rsidRPr="00DA2590">
        <w:rPr>
          <w:rStyle w:val="Citationintgre"/>
        </w:rPr>
        <w:t>7029 (2017)</w:t>
      </w:r>
      <w:r>
        <w:rPr>
          <w:rStyle w:val="Citationintgre"/>
        </w:rPr>
        <w:t>)</w:t>
      </w:r>
      <w:r w:rsidRPr="00DA2590">
        <w:rPr>
          <w:rStyle w:val="Citationintgre"/>
        </w:rPr>
        <w:t> : Atteinte plus importante que le 10e percentile (90%) bilatéralement</w:t>
      </w:r>
      <w:r>
        <w:t> »</w:t>
      </w:r>
      <w:r>
        <w:rPr>
          <w:rStyle w:val="Appelnotedebasdep"/>
        </w:rPr>
        <w:footnoteReference w:id="22"/>
      </w:r>
      <w:r>
        <w:t xml:space="preserve">. Elle précise également que l’atteinte auditive du travailler est compatible avec une exposition au bruit depuis 32 ans dans son lieu de travail. </w:t>
      </w:r>
    </w:p>
    <w:p w14:paraId="52B80DA6" w14:textId="77777777" w:rsidR="008619A5" w:rsidRPr="00EE5B46" w:rsidRDefault="008619A5" w:rsidP="005127F4">
      <w:pPr>
        <w:pStyle w:val="corpsdedcision"/>
        <w:tabs>
          <w:tab w:val="num" w:pos="720"/>
        </w:tabs>
        <w:spacing w:after="300"/>
      </w:pPr>
      <w:r>
        <w:t xml:space="preserve">À la suite de cet examen, le travailleur rencontre le docteur Haikal le 31 mai 2022. Celui-ci </w:t>
      </w:r>
      <w:r w:rsidRPr="00374E5C">
        <w:t>délivre</w:t>
      </w:r>
      <w:r w:rsidRPr="00EE5B46">
        <w:t xml:space="preserve"> une attestation médicale o</w:t>
      </w:r>
      <w:r w:rsidRPr="00EE5B46">
        <w:rPr>
          <w:rFonts w:cs="Arial"/>
        </w:rPr>
        <w:t>ù</w:t>
      </w:r>
      <w:r w:rsidRPr="00EE5B46">
        <w:t xml:space="preserve"> il pose le diagnostic de surdité neurosensorielle bilatérale causée par le bruit. Il étaye son opinion dans ses notes cliniques. Il ne note aucun historique familial de surdité ni autre antécédent pertinent. Il ajoute que le travailleur a été exposé au bruit pendant 32 ans. Il </w:t>
      </w:r>
      <w:r w:rsidRPr="00374E5C">
        <w:t>se</w:t>
      </w:r>
      <w:r w:rsidRPr="00EE5B46">
        <w:t xml:space="preserve"> réfère enfin au rapport de l’audiologiste. </w:t>
      </w:r>
    </w:p>
    <w:p w14:paraId="79F0765D" w14:textId="77777777" w:rsidR="008619A5" w:rsidRPr="00EE5B46" w:rsidRDefault="008619A5" w:rsidP="005127F4">
      <w:pPr>
        <w:pStyle w:val="corpsdedcision"/>
        <w:tabs>
          <w:tab w:val="num" w:pos="720"/>
        </w:tabs>
        <w:spacing w:after="300"/>
      </w:pPr>
      <w:r w:rsidRPr="00EE5B46">
        <w:t>Un audiogramme de suivi est effectué en 2024. Dans son rapport, l’audiologiste note à nouveau une surdité anormale pour une personne de l’âge du</w:t>
      </w:r>
      <w:r>
        <w:t> </w:t>
      </w:r>
      <w:r w:rsidRPr="00EE5B46">
        <w:t xml:space="preserve">travailleur pouvant s’expliquer par une exposition au bruit : </w:t>
      </w:r>
      <w:r w:rsidRPr="003B0671">
        <w:rPr>
          <w:rStyle w:val="Citationintgre"/>
          <w:iCs/>
        </w:rPr>
        <w:t>«</w:t>
      </w:r>
      <w:r w:rsidRPr="00EE5B46">
        <w:rPr>
          <w:rStyle w:val="Citationintgre"/>
        </w:rPr>
        <w:t> </w:t>
      </w:r>
      <w:r w:rsidRPr="00240868">
        <w:rPr>
          <w:rStyle w:val="Citationintgre"/>
        </w:rPr>
        <w:t>Hypoacousie neuro sensorielle aux deux oreilles symétriques ; surpassant l'effet attendu de l'âge et pouvant être compatible avec une surdité professionnelle</w:t>
      </w:r>
      <w:r>
        <w:rPr>
          <w:rStyle w:val="Citationintgre"/>
        </w:rPr>
        <w:t xml:space="preserve"> </w:t>
      </w:r>
      <w:r w:rsidRPr="003B0671">
        <w:rPr>
          <w:rStyle w:val="Citationintgre"/>
          <w:rFonts w:cs="Arial"/>
          <w:iCs/>
          <w:szCs w:val="24"/>
        </w:rPr>
        <w:t>[</w:t>
      </w:r>
      <w:r w:rsidRPr="003B0671">
        <w:rPr>
          <w:rStyle w:val="Citationintgre"/>
          <w:iCs/>
          <w:szCs w:val="24"/>
        </w:rPr>
        <w:t>…</w:t>
      </w:r>
      <w:r w:rsidRPr="003B0671">
        <w:rPr>
          <w:rStyle w:val="Citationintgre"/>
          <w:rFonts w:cs="Arial"/>
          <w:iCs/>
          <w:szCs w:val="24"/>
        </w:rPr>
        <w:t>]</w:t>
      </w:r>
      <w:r w:rsidRPr="00EE5B46">
        <w:t> »</w:t>
      </w:r>
      <w:r w:rsidRPr="00EE5B46">
        <w:rPr>
          <w:rStyle w:val="Appelnotedebasdep"/>
        </w:rPr>
        <w:footnoteReference w:id="23"/>
      </w:r>
      <w:r>
        <w:t>.</w:t>
      </w:r>
      <w:r w:rsidRPr="00EE5B46">
        <w:t xml:space="preserve"> </w:t>
      </w:r>
    </w:p>
    <w:p w14:paraId="18F9BE8E" w14:textId="77777777" w:rsidR="008619A5" w:rsidRDefault="008619A5" w:rsidP="005127F4">
      <w:pPr>
        <w:pStyle w:val="corpsdedcision"/>
        <w:tabs>
          <w:tab w:val="num" w:pos="720"/>
        </w:tabs>
        <w:spacing w:after="300"/>
      </w:pPr>
      <w:r w:rsidRPr="00EE5B46">
        <w:t>Le docteur Haikal prend connaissance de cet audiogramme et confirme son diagnostic de surdité causé par le bruit. Dans ses notes cliniques, il indique « </w:t>
      </w:r>
      <w:r w:rsidRPr="00EE5B46">
        <w:rPr>
          <w:rStyle w:val="Citationintgre"/>
        </w:rPr>
        <w:t>dx surdité profonde; acouphène bilatéral, Ø surdité familiale connue, exposition au bruit au travail 35 ans en service de garde scolaire</w:t>
      </w:r>
      <w:r w:rsidRPr="00EE5B46">
        <w:t xml:space="preserve"> ». Il </w:t>
      </w:r>
      <w:r w:rsidRPr="00374E5C">
        <w:t>se</w:t>
      </w:r>
      <w:r w:rsidRPr="00EE5B46">
        <w:t xml:space="preserve"> réfère à l’audiogramme de 2024 et note la surdité neurosensorielle bilatérale et </w:t>
      </w:r>
      <w:r>
        <w:t>s</w:t>
      </w:r>
      <w:r w:rsidRPr="00EE5B46">
        <w:t>a dégradation depu</w:t>
      </w:r>
      <w:r>
        <w:t>is l’audiogramme de 2022.</w:t>
      </w:r>
    </w:p>
    <w:p w14:paraId="40100F4C" w14:textId="77777777" w:rsidR="008619A5" w:rsidRDefault="008619A5" w:rsidP="005127F4">
      <w:pPr>
        <w:pStyle w:val="corpsdedcision"/>
        <w:tabs>
          <w:tab w:val="num" w:pos="720"/>
        </w:tabs>
        <w:spacing w:after="300"/>
      </w:pPr>
      <w:r>
        <w:t>La preuve médicale prépondérante démontre que le travailleur souffre d’une atteinte auditive causée par le bruit.</w:t>
      </w:r>
    </w:p>
    <w:p w14:paraId="4327BBEA" w14:textId="77777777" w:rsidR="008619A5" w:rsidRPr="00217DD6" w:rsidRDefault="008619A5" w:rsidP="00AA44AE">
      <w:pPr>
        <w:pStyle w:val="Titre4"/>
      </w:pPr>
      <w:r w:rsidRPr="00217DD6">
        <w:t>Un travail impliquant une exposition à du bruit excessif</w:t>
      </w:r>
    </w:p>
    <w:p w14:paraId="6660C9A9" w14:textId="77777777" w:rsidR="008619A5" w:rsidRPr="002F1813" w:rsidRDefault="008619A5" w:rsidP="005127F4">
      <w:pPr>
        <w:pStyle w:val="corpsdedcision"/>
        <w:spacing w:after="300"/>
      </w:pPr>
      <w:r w:rsidRPr="002F1813">
        <w:t>Pour</w:t>
      </w:r>
      <w:r>
        <w:t xml:space="preserve"> </w:t>
      </w:r>
      <w:r w:rsidRPr="002F1813">
        <w:t>que</w:t>
      </w:r>
      <w:r>
        <w:t xml:space="preserve"> la présomption s’applique, le travailleur</w:t>
      </w:r>
      <w:r w:rsidRPr="002F1813">
        <w:t xml:space="preserve"> doit</w:t>
      </w:r>
      <w:r>
        <w:t xml:space="preserve"> aussi démontrer qu’il a été </w:t>
      </w:r>
      <w:r w:rsidRPr="002F1813">
        <w:t xml:space="preserve">exposé à du bruit excessif dans le cadre </w:t>
      </w:r>
      <w:r>
        <w:t>de son emploi d’éducateur en service de garde.</w:t>
      </w:r>
    </w:p>
    <w:p w14:paraId="2A254771" w14:textId="77777777" w:rsidR="008619A5" w:rsidRDefault="008619A5" w:rsidP="005127F4">
      <w:pPr>
        <w:pStyle w:val="corpsdedcision"/>
        <w:spacing w:after="300"/>
      </w:pPr>
      <w:r w:rsidRPr="002F1813">
        <w:t>La notion de bruit excessif n’est pas définie à la Loi et la jurisprudence du</w:t>
      </w:r>
      <w:r>
        <w:t> </w:t>
      </w:r>
      <w:r w:rsidRPr="002F1813">
        <w:t>Tribunal s’en remet à la définition courante des termes utilisés. Il s’agit donc d’un bruit qui dépasse la mesure souhaitable ou permise</w:t>
      </w:r>
      <w:r>
        <w:t xml:space="preserve">, </w:t>
      </w:r>
      <w:r w:rsidRPr="002F1813">
        <w:t>trop grand</w:t>
      </w:r>
      <w:r>
        <w:t xml:space="preserve"> ou </w:t>
      </w:r>
      <w:r w:rsidRPr="002F1813">
        <w:t>trop important</w:t>
      </w:r>
      <w:r w:rsidRPr="002F1813">
        <w:rPr>
          <w:vertAlign w:val="superscript"/>
        </w:rPr>
        <w:footnoteReference w:id="24"/>
      </w:r>
      <w:r w:rsidRPr="002F1813">
        <w:t>.</w:t>
      </w:r>
    </w:p>
    <w:p w14:paraId="733274DE" w14:textId="77777777" w:rsidR="008619A5" w:rsidRDefault="008619A5" w:rsidP="008619A5">
      <w:pPr>
        <w:pStyle w:val="corpsdedcision"/>
        <w:tabs>
          <w:tab w:val="num" w:pos="360"/>
        </w:tabs>
        <w:spacing w:after="300"/>
      </w:pPr>
      <w:r>
        <w:t xml:space="preserve">Le Tribunal apprécie l’exposition au bruit selon la preuve qui lui est présentée. Cette exposition ne correspond pas à la norme réglementaire prévue au </w:t>
      </w:r>
      <w:r w:rsidRPr="00603DA8">
        <w:rPr>
          <w:i/>
          <w:iCs/>
        </w:rPr>
        <w:t>Règlement sur la santé et la sécurité du travail</w:t>
      </w:r>
      <w:r>
        <w:rPr>
          <w:rStyle w:val="Appelnotedebasdep"/>
        </w:rPr>
        <w:footnoteReference w:id="25"/>
      </w:r>
      <w:r>
        <w:t xml:space="preserve">. Dans </w:t>
      </w:r>
      <w:r w:rsidRPr="00603DA8">
        <w:rPr>
          <w:i/>
          <w:iCs/>
        </w:rPr>
        <w:t>Costco-Terrebonne (Boucherie)</w:t>
      </w:r>
      <w:r>
        <w:t xml:space="preserve"> et </w:t>
      </w:r>
      <w:r w:rsidRPr="00603DA8">
        <w:rPr>
          <w:i/>
          <w:iCs/>
        </w:rPr>
        <w:t>Cadieux</w:t>
      </w:r>
      <w:r>
        <w:rPr>
          <w:rStyle w:val="Appelnotedebasdep"/>
        </w:rPr>
        <w:footnoteReference w:id="26"/>
      </w:r>
      <w:r>
        <w:t xml:space="preserve"> le Tribunal indique :</w:t>
      </w:r>
    </w:p>
    <w:p w14:paraId="71BA590A" w14:textId="77777777" w:rsidR="008619A5" w:rsidRPr="003B0671" w:rsidRDefault="008619A5" w:rsidP="003B0671">
      <w:pPr>
        <w:pStyle w:val="Citationendoubleretrait"/>
        <w:ind w:right="713"/>
      </w:pPr>
      <w:r w:rsidRPr="003B0671">
        <w:t>[37]</w:t>
      </w:r>
      <w:r w:rsidRPr="003B0671">
        <w:tab/>
        <w:t>La Loi ne définit pas ce qui doit être considéré comme un « bruit excessif</w:t>
      </w:r>
      <w:r>
        <w:t> </w:t>
      </w:r>
      <w:r w:rsidRPr="003B0671">
        <w:t xml:space="preserve">». Elle ne réfère pas aux dispositions du </w:t>
      </w:r>
      <w:r w:rsidRPr="003B0671">
        <w:rPr>
          <w:i/>
          <w:iCs/>
        </w:rPr>
        <w:t>Règlement sur la santé et la sécurité du travail</w:t>
      </w:r>
      <w:r w:rsidRPr="003B0671">
        <w:t xml:space="preserve"> (le Règlement)</w:t>
      </w:r>
      <w:r w:rsidRPr="003B0671">
        <w:rPr>
          <w:vertAlign w:val="superscript"/>
        </w:rPr>
        <w:t>4</w:t>
      </w:r>
      <w:r w:rsidRPr="003B0671">
        <w:t>. Comme il a été plusieurs fois indiqué en jurisprudence, le Règlement ne doit pas être appliqué à cet égard, car son objet est d’imposer aux employeurs des normes de conduite, ce qui est différent de l’objet de la Loi.</w:t>
      </w:r>
    </w:p>
    <w:p w14:paraId="14F6C028" w14:textId="77777777" w:rsidR="008619A5" w:rsidRPr="003B0671" w:rsidRDefault="008619A5" w:rsidP="003B0671">
      <w:pPr>
        <w:pStyle w:val="Citationendoubleretrait"/>
        <w:ind w:right="713"/>
      </w:pPr>
    </w:p>
    <w:p w14:paraId="59368B2F" w14:textId="77777777" w:rsidR="008619A5" w:rsidRPr="003B0671" w:rsidRDefault="008619A5" w:rsidP="003B0671">
      <w:pPr>
        <w:pStyle w:val="Citationendoubleretrait"/>
        <w:ind w:right="713"/>
      </w:pPr>
      <w:r w:rsidRPr="003B0671">
        <w:t>[38]</w:t>
      </w:r>
      <w:r w:rsidRPr="003B0671">
        <w:tab/>
        <w:t xml:space="preserve">Dans l’affaire </w:t>
      </w:r>
      <w:r w:rsidRPr="003B0671">
        <w:rPr>
          <w:i/>
          <w:iCs/>
        </w:rPr>
        <w:t>Rondeau et Bow Plastiques Ltée</w:t>
      </w:r>
      <w:r w:rsidRPr="003B0671">
        <w:rPr>
          <w:i/>
          <w:iCs/>
          <w:vertAlign w:val="superscript"/>
        </w:rPr>
        <w:t>5</w:t>
      </w:r>
      <w:r w:rsidRPr="003B0671">
        <w:t>, le tribunal a indiqué qu’une atteinte auditive peut survenir à la suite d’une exposition à un bruit continu de 80 dB et qu’elle évolue dans une proportion de plus en plus forte avec l’augmentation du niveau de bruit et des années d’exposition.</w:t>
      </w:r>
    </w:p>
    <w:p w14:paraId="1C865CF3" w14:textId="77777777" w:rsidR="008619A5" w:rsidRPr="003B0671" w:rsidRDefault="008619A5" w:rsidP="003B0671">
      <w:pPr>
        <w:pStyle w:val="Citationendoubleretrait"/>
        <w:ind w:right="713"/>
      </w:pPr>
    </w:p>
    <w:p w14:paraId="69A885B4" w14:textId="77777777" w:rsidR="008619A5" w:rsidRPr="003B0671" w:rsidRDefault="008619A5" w:rsidP="003B0671">
      <w:pPr>
        <w:pStyle w:val="Citationendoubleretrait"/>
        <w:ind w:right="713"/>
      </w:pPr>
      <w:r w:rsidRPr="003B0671">
        <w:t>[39]</w:t>
      </w:r>
      <w:r w:rsidRPr="003B0671">
        <w:tab/>
        <w:t>Une exposition qui se situe entre 80 et 90 décibels peut causer une atteinte neurosensorielle et que le risque apparaît dès 75 décibels et augmente avec la dose d’exposition.</w:t>
      </w:r>
    </w:p>
    <w:p w14:paraId="011E49C6" w14:textId="77777777" w:rsidR="008619A5" w:rsidRPr="003B0671" w:rsidRDefault="008619A5" w:rsidP="003B0671">
      <w:pPr>
        <w:pStyle w:val="Citationendoubleretrait"/>
        <w:ind w:right="713"/>
      </w:pPr>
    </w:p>
    <w:p w14:paraId="0200DC51" w14:textId="77777777" w:rsidR="008619A5" w:rsidRPr="003B0671" w:rsidRDefault="008619A5" w:rsidP="003B0671">
      <w:pPr>
        <w:pStyle w:val="Citationendoubleretrait"/>
        <w:ind w:right="713"/>
      </w:pPr>
      <w:r w:rsidRPr="003B0671">
        <w:t>[40]</w:t>
      </w:r>
      <w:r w:rsidRPr="003B0671">
        <w:tab/>
        <w:t>C’est ainsi que le tribunal considère donc inapproprié d’appliquer la norme réglementaire qui prévoit la limite de bruit continu maximale permise dans un établissement à la notion de bruit excessif prévu par la Loi</w:t>
      </w:r>
      <w:r w:rsidRPr="003B0671">
        <w:rPr>
          <w:vertAlign w:val="superscript"/>
        </w:rPr>
        <w:t>6</w:t>
      </w:r>
      <w:r w:rsidRPr="003B0671">
        <w:t>.</w:t>
      </w:r>
    </w:p>
    <w:p w14:paraId="7610C96B" w14:textId="77777777" w:rsidR="008619A5" w:rsidRDefault="008619A5" w:rsidP="000E269C">
      <w:pPr>
        <w:pStyle w:val="Citationendoubleretrait"/>
      </w:pPr>
    </w:p>
    <w:p w14:paraId="7D0C09D6" w14:textId="77777777" w:rsidR="008619A5" w:rsidRPr="000B08C4" w:rsidRDefault="008619A5" w:rsidP="005127F4">
      <w:pPr>
        <w:pStyle w:val="Citationendoubleretrait"/>
        <w:keepLines/>
        <w:spacing w:after="300"/>
        <w:rPr>
          <w:sz w:val="24"/>
          <w:szCs w:val="24"/>
        </w:rPr>
      </w:pPr>
      <w:r w:rsidRPr="000B08C4">
        <w:rPr>
          <w:sz w:val="24"/>
          <w:szCs w:val="24"/>
        </w:rPr>
        <w:t>[</w:t>
      </w:r>
      <w:r w:rsidRPr="00374E5C">
        <w:rPr>
          <w:sz w:val="24"/>
          <w:szCs w:val="24"/>
        </w:rPr>
        <w:t>Notes omises]</w:t>
      </w:r>
    </w:p>
    <w:p w14:paraId="51E240EA" w14:textId="77777777" w:rsidR="008619A5" w:rsidRDefault="008619A5" w:rsidP="008619A5">
      <w:pPr>
        <w:pStyle w:val="corpsdedcision"/>
        <w:tabs>
          <w:tab w:val="num" w:pos="360"/>
        </w:tabs>
        <w:spacing w:after="300"/>
      </w:pPr>
      <w:r>
        <w:t xml:space="preserve">Une étude déposée par le travailleur par </w:t>
      </w:r>
      <w:r w:rsidRPr="00C53C8E">
        <w:t>l’Institut de recherche Robert-Sauvé en santé et en sécurité du travail</w:t>
      </w:r>
      <w:r>
        <w:t>, IRSST, indique que « </w:t>
      </w:r>
      <w:r w:rsidRPr="00C53C8E">
        <w:rPr>
          <w:rStyle w:val="Citationintgre"/>
        </w:rPr>
        <w:t>selon les recommandations des différents organismes de recherche, les risques d'atteinte de l’ouïe sont de plus en plus prévisibles au-delà de 75 dBA</w:t>
      </w:r>
      <w:r>
        <w:t> </w:t>
      </w:r>
      <w:r>
        <w:rPr>
          <w:rFonts w:cs="Arial"/>
        </w:rPr>
        <w:t>[…] </w:t>
      </w:r>
      <w:r>
        <w:t>»</w:t>
      </w:r>
      <w:r>
        <w:rPr>
          <w:rStyle w:val="Appelnotedebasdep"/>
        </w:rPr>
        <w:footnoteReference w:id="27"/>
      </w:r>
      <w:r>
        <w:t>.</w:t>
      </w:r>
    </w:p>
    <w:p w14:paraId="6FE139AE" w14:textId="77777777" w:rsidR="008619A5" w:rsidRDefault="008619A5" w:rsidP="008619A5">
      <w:pPr>
        <w:pStyle w:val="corpsdedcision"/>
        <w:keepNext/>
        <w:keepLines/>
        <w:tabs>
          <w:tab w:val="num" w:pos="360"/>
        </w:tabs>
        <w:spacing w:after="300"/>
      </w:pPr>
      <w:r w:rsidRPr="000B08C4">
        <w:t>Par ailleurs, il n’y a pas lieu</w:t>
      </w:r>
      <w:r w:rsidRPr="002F1813">
        <w:t xml:space="preserve"> d’exiger une preuve scientifique ou une étude de bruit spécifique à un emploi pour permettre l’application de la présomption. Le</w:t>
      </w:r>
      <w:r>
        <w:t> </w:t>
      </w:r>
      <w:r w:rsidRPr="002F1813">
        <w:t>travailleur</w:t>
      </w:r>
      <w:r>
        <w:t xml:space="preserve"> qui demande son application</w:t>
      </w:r>
      <w:r w:rsidRPr="002F1813">
        <w:t xml:space="preserve"> doit cependant fournir une preuve s’appuyant sur des faits objectifs et fiables. Le caractère excessif du bruit peut donc se déduire </w:t>
      </w:r>
      <w:r>
        <w:t>de son témoignage</w:t>
      </w:r>
      <w:r w:rsidRPr="002F1813">
        <w:t xml:space="preserve">, pour autant qu’il ne se base pas sur </w:t>
      </w:r>
      <w:r w:rsidRPr="009C7D12">
        <w:t>de simples allégations</w:t>
      </w:r>
      <w:r w:rsidRPr="009C7D12">
        <w:rPr>
          <w:vertAlign w:val="superscript"/>
        </w:rPr>
        <w:footnoteReference w:id="28"/>
      </w:r>
      <w:r w:rsidRPr="009C7D12">
        <w:t>.</w:t>
      </w:r>
      <w:r>
        <w:t xml:space="preserve"> </w:t>
      </w:r>
    </w:p>
    <w:p w14:paraId="2E6EBEE6" w14:textId="77777777" w:rsidR="008619A5" w:rsidRPr="009C7D12" w:rsidRDefault="008619A5" w:rsidP="005127F4">
      <w:pPr>
        <w:pStyle w:val="corpsdedcision"/>
        <w:spacing w:after="300"/>
      </w:pPr>
      <w:r>
        <w:t>Le Tribunal a reconnu qu’un professeur en éducation physique</w:t>
      </w:r>
      <w:r>
        <w:rPr>
          <w:rStyle w:val="Appelnotedebasdep"/>
        </w:rPr>
        <w:footnoteReference w:id="29"/>
      </w:r>
      <w:r>
        <w:t xml:space="preserve"> et qu’une éducatrice en garderie</w:t>
      </w:r>
      <w:r>
        <w:rPr>
          <w:rStyle w:val="Appelnotedebasdep"/>
        </w:rPr>
        <w:footnoteReference w:id="30"/>
      </w:r>
      <w:r>
        <w:t xml:space="preserve"> sont exposés à des niveaux de bruit excessif dans leur milieu de travail. L’employeur soutient qu’en l’espèce le travailleur n’a pas été exposé à un bruit excessif, puisque celui-ci n’est pas constamment exposé au bruit lors d’une journée typique, celui-ci bénéficiant de plages horaires de repos</w:t>
      </w:r>
      <w:r>
        <w:rPr>
          <w:rStyle w:val="Appelnotedebasdep"/>
        </w:rPr>
        <w:footnoteReference w:id="31"/>
      </w:r>
      <w:r>
        <w:t xml:space="preserve">. </w:t>
      </w:r>
    </w:p>
    <w:p w14:paraId="699E4C9A" w14:textId="77777777" w:rsidR="008619A5" w:rsidRDefault="008619A5" w:rsidP="005127F4">
      <w:pPr>
        <w:pStyle w:val="corpsdedcision"/>
        <w:tabs>
          <w:tab w:val="num" w:pos="720"/>
        </w:tabs>
        <w:spacing w:after="300"/>
      </w:pPr>
      <w:r>
        <w:t>Qu’en est-il en l’espèce?</w:t>
      </w:r>
    </w:p>
    <w:p w14:paraId="78EDA1FC" w14:textId="77777777" w:rsidR="008619A5" w:rsidRPr="00DB55BE" w:rsidRDefault="008619A5" w:rsidP="005127F4">
      <w:pPr>
        <w:pStyle w:val="corpsdedcision"/>
        <w:tabs>
          <w:tab w:val="num" w:pos="720"/>
        </w:tabs>
        <w:spacing w:after="300"/>
      </w:pPr>
      <w:r w:rsidRPr="00DB55BE">
        <w:t xml:space="preserve">Depuis 1990, le travailleur est employé dans la même école primaire et s'occupe de groupes d'au moins 28 élèves. </w:t>
      </w:r>
      <w:r w:rsidRPr="00E05666">
        <w:t>Il travaille 32 heures par semaine pendant 180</w:t>
      </w:r>
      <w:r>
        <w:t> </w:t>
      </w:r>
      <w:r w:rsidRPr="00E05666">
        <w:t>jours</w:t>
      </w:r>
      <w:r>
        <w:t xml:space="preserve"> par année. À cela s’ajoutent</w:t>
      </w:r>
      <w:r w:rsidRPr="00E05666">
        <w:t xml:space="preserve"> 14 journées</w:t>
      </w:r>
      <w:r>
        <w:t xml:space="preserve"> pédagogiques</w:t>
      </w:r>
      <w:r w:rsidRPr="00E05666">
        <w:t xml:space="preserve"> où il accompagne les élèves dans des activités ludiques nécessitant souvent un transport en autobus</w:t>
      </w:r>
      <w:r>
        <w:t xml:space="preserve"> scolaire.</w:t>
      </w:r>
    </w:p>
    <w:p w14:paraId="4F6C2BEB" w14:textId="77777777" w:rsidR="008619A5" w:rsidRPr="001B28A5" w:rsidRDefault="008619A5" w:rsidP="008619A5">
      <w:pPr>
        <w:pStyle w:val="corpsdedcision"/>
        <w:tabs>
          <w:tab w:val="num" w:pos="360"/>
        </w:tabs>
        <w:spacing w:after="300"/>
        <w:rPr>
          <w:rFonts w:ascii="Times New Roman" w:hAnsi="Times New Roman"/>
        </w:rPr>
      </w:pPr>
      <w:r w:rsidRPr="007B5B03">
        <w:t xml:space="preserve">Le travailleur </w:t>
      </w:r>
      <w:r>
        <w:t>soutient que sa</w:t>
      </w:r>
      <w:r w:rsidRPr="007B5B03">
        <w:t xml:space="preserve"> surdité </w:t>
      </w:r>
      <w:r>
        <w:t>est</w:t>
      </w:r>
      <w:r w:rsidRPr="007B5B03">
        <w:t xml:space="preserve"> causée par son exposition à un bruit excessif. </w:t>
      </w:r>
      <w:r>
        <w:t>Il attribue le bruit auquel il est exposé aux enfants dont il a la garde. Il démontre un réel engagement et un plaisir à travailler avec les enfants. Il explique que ceux-ci sont en période ludique lorsqu’il les prend en charge. Surtout à la fin d’une journée scolaire, ceux-ci ont besoin de bouger, de « </w:t>
      </w:r>
      <w:r w:rsidRPr="00374E5C">
        <w:rPr>
          <w:rStyle w:val="Citationintgre"/>
        </w:rPr>
        <w:t>se laisser aller</w:t>
      </w:r>
      <w:r>
        <w:t> », de se retrouver et dépenser de l’énergie. Il décrit le bruit ambiant comme une cacophonie constante de voix d’enf</w:t>
      </w:r>
      <w:r w:rsidRPr="00113144">
        <w:t>ant</w:t>
      </w:r>
      <w:r>
        <w:t>s qu’il qualifie de dynamique et d’aiguë, entrecoupée de hausse de son en « </w:t>
      </w:r>
      <w:r w:rsidRPr="00374E5C">
        <w:rPr>
          <w:rStyle w:val="Citationintgre"/>
        </w:rPr>
        <w:t>pic important et surprenant</w:t>
      </w:r>
      <w:r>
        <w:t xml:space="preserve"> ». Ces bruits incluent, entre autres, les cris et pleurs des enfants, du mobilier déplacé, le vacarme des déplacements, la musique utilisée fréquemment lors de l’activité ludique de fin de journée comme le </w:t>
      </w:r>
      <w:r w:rsidRPr="00980F71">
        <w:rPr>
          <w:i/>
          <w:iCs/>
        </w:rPr>
        <w:t>« Karaoke</w:t>
      </w:r>
      <w:r>
        <w:t> » ou « </w:t>
      </w:r>
      <w:r w:rsidRPr="00980F71">
        <w:rPr>
          <w:i/>
          <w:iCs/>
        </w:rPr>
        <w:t>Just Dance</w:t>
      </w:r>
      <w:r>
        <w:t> », le tumulte des jeux, particulièrement les jeux de ballons, les portes de casiers qui s’ouvrent et se ferment, le son de la cloche d’école, le bruit d’objets qui tombent ainsi que le bruit ambiant généré par la circulation urbaine.</w:t>
      </w:r>
    </w:p>
    <w:p w14:paraId="03DDBB74" w14:textId="77777777" w:rsidR="008619A5" w:rsidRDefault="008619A5" w:rsidP="008619A5">
      <w:pPr>
        <w:pStyle w:val="corpsdedcision"/>
        <w:tabs>
          <w:tab w:val="num" w:pos="360"/>
        </w:tabs>
        <w:spacing w:after="300"/>
      </w:pPr>
      <w:r>
        <w:t>Enfin, il qualifie ce bruit constant de fort à extrêmement fort au centre duquel il se retrouve. Il précise que « </w:t>
      </w:r>
      <w:r w:rsidRPr="00980F71">
        <w:rPr>
          <w:i/>
          <w:iCs/>
          <w:sz w:val="22"/>
          <w:szCs w:val="22"/>
        </w:rPr>
        <w:t>ça prend toute la place</w:t>
      </w:r>
      <w:r>
        <w:t> ».</w:t>
      </w:r>
    </w:p>
    <w:p w14:paraId="6C6D05E3" w14:textId="77777777" w:rsidR="008619A5" w:rsidRDefault="008619A5" w:rsidP="005127F4">
      <w:pPr>
        <w:pStyle w:val="corpsdedcision"/>
        <w:tabs>
          <w:tab w:val="num" w:pos="720"/>
        </w:tabs>
        <w:spacing w:after="300"/>
      </w:pPr>
      <w:r w:rsidRPr="00E05666">
        <w:t>Il commence ses journées</w:t>
      </w:r>
      <w:r>
        <w:t xml:space="preserve"> à 7 :00 par l’accueil des élèves</w:t>
      </w:r>
      <w:r w:rsidRPr="00E05666">
        <w:t xml:space="preserve"> dans un local </w:t>
      </w:r>
      <w:r>
        <w:t xml:space="preserve">souvent </w:t>
      </w:r>
      <w:r w:rsidRPr="00E05666">
        <w:t xml:space="preserve">partagé </w:t>
      </w:r>
      <w:r>
        <w:t xml:space="preserve">avec un autre groupe. Par la suite, il </w:t>
      </w:r>
      <w:r w:rsidRPr="00E05666">
        <w:t>accompagne</w:t>
      </w:r>
      <w:r>
        <w:t xml:space="preserve"> les élèves</w:t>
      </w:r>
      <w:r w:rsidRPr="00E05666">
        <w:t xml:space="preserve"> à l’extérieur</w:t>
      </w:r>
      <w:r>
        <w:t xml:space="preserve"> avant le début des classes, à 8 :15</w:t>
      </w:r>
      <w:r w:rsidRPr="00E05666">
        <w:t>.</w:t>
      </w:r>
      <w:r>
        <w:t xml:space="preserve"> Sur l’heure du midi, entre 11 :15 et 13 :00</w:t>
      </w:r>
      <w:r w:rsidRPr="00374B2D">
        <w:t>, il supervise les repas et le</w:t>
      </w:r>
      <w:r>
        <w:t>s</w:t>
      </w:r>
      <w:r w:rsidRPr="00374B2D">
        <w:t xml:space="preserve"> jeu</w:t>
      </w:r>
      <w:r>
        <w:t>x</w:t>
      </w:r>
      <w:r w:rsidRPr="00374B2D">
        <w:t xml:space="preserve"> extérieur</w:t>
      </w:r>
      <w:r>
        <w:t>s</w:t>
      </w:r>
      <w:r w:rsidRPr="00374B2D">
        <w:t>, souvent avec plusieurs groupes réunis.</w:t>
      </w:r>
      <w:r>
        <w:t xml:space="preserve"> </w:t>
      </w:r>
      <w:r w:rsidRPr="00374B2D">
        <w:t xml:space="preserve">En fin de journée, il encadre des élèves de maternelle </w:t>
      </w:r>
      <w:r>
        <w:t xml:space="preserve">entre 14 :20 et 15 :10. Ensuite, il prend en charge son groupe </w:t>
      </w:r>
      <w:r w:rsidRPr="00374B2D">
        <w:t>d</w:t>
      </w:r>
      <w:r>
        <w:t>’</w:t>
      </w:r>
      <w:r w:rsidRPr="00374B2D">
        <w:t xml:space="preserve">élèves </w:t>
      </w:r>
      <w:r>
        <w:t>âgés de 9 à 12 ans (de niveau de 5</w:t>
      </w:r>
      <w:r w:rsidRPr="00374B2D">
        <w:rPr>
          <w:vertAlign w:val="superscript"/>
        </w:rPr>
        <w:t>e</w:t>
      </w:r>
      <w:r>
        <w:t xml:space="preserve"> et 6</w:t>
      </w:r>
      <w:r w:rsidRPr="00374B2D">
        <w:rPr>
          <w:vertAlign w:val="superscript"/>
        </w:rPr>
        <w:t>e</w:t>
      </w:r>
      <w:r>
        <w:t xml:space="preserve"> année du primaire) jusqu’à 17 :30, et ce, pendant les 20 premières années de son emploi. Depuis 15 ans, la période de fin de journée se termine à 17 :00</w:t>
      </w:r>
      <w:r w:rsidRPr="00374B2D">
        <w:t xml:space="preserve">. </w:t>
      </w:r>
      <w:r>
        <w:t xml:space="preserve">Lors de cette période, il </w:t>
      </w:r>
      <w:r w:rsidRPr="00374B2D">
        <w:t xml:space="preserve">anime des activités </w:t>
      </w:r>
      <w:r>
        <w:t xml:space="preserve">consistant principalement en </w:t>
      </w:r>
      <w:r w:rsidRPr="00374B2D">
        <w:t>de</w:t>
      </w:r>
      <w:r>
        <w:t>s</w:t>
      </w:r>
      <w:r w:rsidRPr="00374B2D">
        <w:t xml:space="preserve"> jeux sportifs et ludiques</w:t>
      </w:r>
      <w:r>
        <w:t xml:space="preserve"> impliquant un niveau de bruit élevé</w:t>
      </w:r>
      <w:r w:rsidRPr="00374B2D">
        <w:t xml:space="preserve">. </w:t>
      </w:r>
      <w:r>
        <w:t>C</w:t>
      </w:r>
      <w:r w:rsidRPr="00374B2D">
        <w:t>es activités se déroulent dans</w:t>
      </w:r>
      <w:r>
        <w:t xml:space="preserve"> une salle multifonctionnelle appelée « </w:t>
      </w:r>
      <w:r w:rsidRPr="00374B2D">
        <w:t>l’Agora</w:t>
      </w:r>
      <w:r>
        <w:t> »</w:t>
      </w:r>
      <w:r w:rsidRPr="00374B2D">
        <w:t xml:space="preserve"> (</w:t>
      </w:r>
      <w:r>
        <w:t xml:space="preserve">environ </w:t>
      </w:r>
      <w:r w:rsidRPr="00374B2D">
        <w:t>40</w:t>
      </w:r>
      <w:r>
        <w:t> </w:t>
      </w:r>
      <w:r w:rsidRPr="00374B2D">
        <w:t>%</w:t>
      </w:r>
      <w:r>
        <w:t xml:space="preserve"> du temps</w:t>
      </w:r>
      <w:r w:rsidRPr="00374B2D">
        <w:t xml:space="preserve">), </w:t>
      </w:r>
      <w:r>
        <w:t xml:space="preserve">dans </w:t>
      </w:r>
      <w:r w:rsidRPr="00374B2D">
        <w:t>le gymnase (</w:t>
      </w:r>
      <w:r>
        <w:t>environ 3</w:t>
      </w:r>
      <w:r w:rsidRPr="00374B2D">
        <w:t>0</w:t>
      </w:r>
      <w:r>
        <w:t> </w:t>
      </w:r>
      <w:r w:rsidRPr="00374B2D">
        <w:t>%</w:t>
      </w:r>
      <w:r>
        <w:t xml:space="preserve"> du temps</w:t>
      </w:r>
      <w:r w:rsidRPr="00374B2D">
        <w:t>) et à l’extérieur (</w:t>
      </w:r>
      <w:r>
        <w:t>environ 3</w:t>
      </w:r>
      <w:r w:rsidRPr="00374B2D">
        <w:t>0</w:t>
      </w:r>
      <w:r>
        <w:t> </w:t>
      </w:r>
      <w:r w:rsidRPr="00374B2D">
        <w:t>%</w:t>
      </w:r>
      <w:r>
        <w:t xml:space="preserve"> du temps</w:t>
      </w:r>
      <w:r w:rsidRPr="00374B2D">
        <w:t>)</w:t>
      </w:r>
      <w:r>
        <w:t xml:space="preserve">. S’ensuit, une période de transition où les élèves sont regroupés selon le ratio d’éducateur par élève au fur et à mesure que d’autres élèves quittent l’école. À la fin de la journée, tous les élèves demeurant au </w:t>
      </w:r>
      <w:r w:rsidRPr="008B349A">
        <w:t>servi</w:t>
      </w:r>
      <w:r w:rsidRPr="00374E5C">
        <w:t>ce</w:t>
      </w:r>
      <w:r w:rsidRPr="008B349A">
        <w:t xml:space="preserve"> d</w:t>
      </w:r>
      <w:r>
        <w:t>e garde se retrouvent au gymnase. Le travailleur termine ses tâches à 18 :00.</w:t>
      </w:r>
    </w:p>
    <w:p w14:paraId="2D87D0E0" w14:textId="77777777" w:rsidR="008619A5" w:rsidRPr="00DB55BE" w:rsidRDefault="008619A5" w:rsidP="008619A5">
      <w:pPr>
        <w:pStyle w:val="corpsdedcision"/>
        <w:tabs>
          <w:tab w:val="num" w:pos="360"/>
        </w:tabs>
        <w:spacing w:after="300"/>
        <w:rPr>
          <w:rFonts w:ascii="Times New Roman" w:hAnsi="Times New Roman"/>
        </w:rPr>
      </w:pPr>
      <w:r>
        <w:t>Le travailleur indique qu’il utilise un appareil de type «</w:t>
      </w:r>
      <w:r w:rsidRPr="00C365F4">
        <w:rPr>
          <w:i/>
          <w:iCs/>
          <w:sz w:val="22"/>
          <w:szCs w:val="22"/>
        </w:rPr>
        <w:t xml:space="preserve"> </w:t>
      </w:r>
      <w:r w:rsidRPr="003B0671">
        <w:rPr>
          <w:i/>
          <w:iCs/>
          <w:szCs w:val="24"/>
        </w:rPr>
        <w:t>talkie-walkie</w:t>
      </w:r>
      <w:r>
        <w:t> » pour communiquer avec les autres membres du service de garde. Il indique que les messages sont toujours transmis deux fois sur cet appareil. La première transmission d’un message n’est jamais comprise par son destinataire à cause du bruit ambiant. Lors de la deuxième transmission, celui-ci a eu l’occasion de coller l’appareil à son oreille pour entendre le message. Il indique aussi qu’un système d’interphone est utilisé, mais que le personnel du service de garde n’entend jamais les messages transmis par interphone.</w:t>
      </w:r>
    </w:p>
    <w:p w14:paraId="4E64DB25" w14:textId="77777777" w:rsidR="008619A5" w:rsidRDefault="008619A5" w:rsidP="005127F4">
      <w:pPr>
        <w:pStyle w:val="corpsdedcision"/>
        <w:tabs>
          <w:tab w:val="num" w:pos="720"/>
        </w:tabs>
        <w:spacing w:after="300"/>
      </w:pPr>
      <w:r>
        <w:t xml:space="preserve">Le travailleur décrit ses lieux de travail. Ceux-ci sont petits et aménagés avec un sol de tuile de pierre cuite jusqu’en 2019, des murs en briques et des plafonds suspendus ou en toile de métal dans le cas du gymnase. </w:t>
      </w:r>
    </w:p>
    <w:p w14:paraId="0E37F602" w14:textId="77777777" w:rsidR="008619A5" w:rsidRPr="00DB55BE" w:rsidRDefault="008619A5" w:rsidP="008619A5">
      <w:pPr>
        <w:pStyle w:val="corpsdedcision"/>
        <w:tabs>
          <w:tab w:val="num" w:pos="360"/>
        </w:tabs>
        <w:spacing w:after="300"/>
      </w:pPr>
      <w:r>
        <w:t>Pendant ses loisirs, il ne s’expose pas au bruit, préférant des activités comme la cuisine, la lecture, le vélo et les randonnées pédestres.</w:t>
      </w:r>
    </w:p>
    <w:p w14:paraId="13E55CDB" w14:textId="77777777" w:rsidR="008619A5" w:rsidRDefault="008619A5" w:rsidP="005127F4">
      <w:pPr>
        <w:pStyle w:val="corpsdedcision"/>
        <w:tabs>
          <w:tab w:val="num" w:pos="720"/>
        </w:tabs>
        <w:spacing w:after="300"/>
      </w:pPr>
      <w:r>
        <w:t>Le travailleur perd l’audition de façon graduelle. Il prend conscience d’une diminution importante de son audition entre 1998 et 2000 lorsqu’une collègue lui fait remarquer qu’il crie après un enfant alors qu’il pense avoir un ton posé. Au même moment, sa conjointe lui fait remarquer que le son de son téléviseur est anormalement élevé. De plus, lorsqu’il démarre sa voiture le matin, il constate qu’il a augmenté de façon importante le volume de la radio la veille en revenant du travail.</w:t>
      </w:r>
    </w:p>
    <w:p w14:paraId="612804E3" w14:textId="77777777" w:rsidR="008619A5" w:rsidRPr="008B349A" w:rsidRDefault="008619A5" w:rsidP="005127F4">
      <w:pPr>
        <w:pStyle w:val="corpsdedcision"/>
        <w:tabs>
          <w:tab w:val="num" w:pos="720"/>
        </w:tabs>
        <w:spacing w:after="300"/>
      </w:pPr>
      <w:r>
        <w:t xml:space="preserve">Le travailleur développe des méthodes pour pallier la baisse de son audition. Il demande aux élèves de lui parler dans l’oreille et aux adultes de se diriger vers lui lorsqu’ils parlent afin de déchiffrer les paroles sur les lèvres. Pendant la pandémie de COVID-19, le travailleur n’exerce pas ses </w:t>
      </w:r>
      <w:r w:rsidRPr="000945F4">
        <w:t>tâches à l’école entre mars 2020 et août</w:t>
      </w:r>
      <w:r>
        <w:t> </w:t>
      </w:r>
      <w:r w:rsidRPr="000945F4">
        <w:t xml:space="preserve">2021. </w:t>
      </w:r>
      <w:r>
        <w:t xml:space="preserve">À </w:t>
      </w:r>
      <w:r w:rsidRPr="000945F4">
        <w:t>son retour il constate qu’il lui est difficile d’entendre ses collègues dans une réunion entre adultes. Il consulte en orthophonie dans les mois</w:t>
      </w:r>
      <w:r>
        <w:t xml:space="preserve"> qui suivent.</w:t>
      </w:r>
    </w:p>
    <w:p w14:paraId="575075AB" w14:textId="77777777" w:rsidR="008619A5" w:rsidRPr="001B28A5" w:rsidRDefault="008619A5" w:rsidP="008619A5">
      <w:pPr>
        <w:pStyle w:val="corpsdedcision"/>
        <w:tabs>
          <w:tab w:val="num" w:pos="360"/>
        </w:tabs>
        <w:spacing w:after="300"/>
        <w:rPr>
          <w:rFonts w:ascii="Times New Roman" w:hAnsi="Times New Roman"/>
        </w:rPr>
      </w:pPr>
      <w:r>
        <w:t xml:space="preserve">Le Tribunal constate du témoignage du travailleur, auquel il accorde une grande fiabilité et crédibilité, que celui-ci est exposé à un bruit excessif dans le cadre de son travail d’éducateur. </w:t>
      </w:r>
    </w:p>
    <w:p w14:paraId="44BF0EF7" w14:textId="77777777" w:rsidR="008619A5" w:rsidRDefault="008619A5" w:rsidP="005127F4">
      <w:pPr>
        <w:pStyle w:val="corpsdedcision"/>
        <w:keepNext/>
        <w:tabs>
          <w:tab w:val="num" w:pos="720"/>
        </w:tabs>
        <w:spacing w:after="300"/>
      </w:pPr>
      <w:r>
        <w:t>Le travailleur dépose les documents suivants au soutien de son témoignage :</w:t>
      </w:r>
    </w:p>
    <w:p w14:paraId="70ADFE82" w14:textId="77777777" w:rsidR="008619A5" w:rsidRDefault="008619A5" w:rsidP="008619A5">
      <w:pPr>
        <w:pStyle w:val="corpsdedcision"/>
        <w:numPr>
          <w:ilvl w:val="0"/>
          <w:numId w:val="38"/>
        </w:numPr>
        <w:tabs>
          <w:tab w:val="clear" w:pos="720"/>
        </w:tabs>
        <w:spacing w:after="240"/>
        <w:ind w:left="993"/>
      </w:pPr>
      <w:r w:rsidRPr="003B0671">
        <w:rPr>
          <w:i/>
          <w:iCs/>
        </w:rPr>
        <w:t>Réduire le bruit dans les services de garde</w:t>
      </w:r>
      <w:r>
        <w:rPr>
          <w:i/>
          <w:iCs/>
        </w:rPr>
        <w:t> :</w:t>
      </w:r>
      <w:r w:rsidRPr="003B0671">
        <w:rPr>
          <w:i/>
          <w:iCs/>
        </w:rPr>
        <w:t xml:space="preserve"> solutions acoustiques</w:t>
      </w:r>
      <w:r>
        <w:rPr>
          <w:rStyle w:val="Appelnotedebasdep"/>
        </w:rPr>
        <w:footnoteReference w:id="32"/>
      </w:r>
      <w:r>
        <w:t xml:space="preserve">. </w:t>
      </w:r>
    </w:p>
    <w:p w14:paraId="5E09A6D4" w14:textId="77777777" w:rsidR="008619A5" w:rsidRDefault="008619A5" w:rsidP="008619A5">
      <w:pPr>
        <w:pStyle w:val="corpsdedcision"/>
        <w:numPr>
          <w:ilvl w:val="0"/>
          <w:numId w:val="38"/>
        </w:numPr>
        <w:spacing w:after="240"/>
        <w:ind w:left="993"/>
      </w:pPr>
      <w:r w:rsidRPr="003B0671">
        <w:rPr>
          <w:i/>
          <w:iCs/>
        </w:rPr>
        <w:t>Étude de l'exposition professionnelle au bruit des conducteurs d'autobus scolaires</w:t>
      </w:r>
      <w:r>
        <w:rPr>
          <w:rStyle w:val="Appelnotedebasdep"/>
        </w:rPr>
        <w:footnoteReference w:id="33"/>
      </w:r>
      <w:r>
        <w:t>.</w:t>
      </w:r>
    </w:p>
    <w:p w14:paraId="3351F88B" w14:textId="77777777" w:rsidR="008619A5" w:rsidRDefault="008619A5" w:rsidP="008619A5">
      <w:pPr>
        <w:pStyle w:val="corpsdedcision"/>
        <w:numPr>
          <w:ilvl w:val="0"/>
          <w:numId w:val="38"/>
        </w:numPr>
        <w:spacing w:after="300"/>
        <w:ind w:left="993"/>
      </w:pPr>
      <w:r>
        <w:t>Rapports d’évaluation du bruit ambiant par le travailleur utilisant un sonomètre (R8080)</w:t>
      </w:r>
      <w:r>
        <w:rPr>
          <w:rStyle w:val="Appelnotedebasdep"/>
        </w:rPr>
        <w:footnoteReference w:id="34"/>
      </w:r>
      <w:r>
        <w:t>.</w:t>
      </w:r>
    </w:p>
    <w:p w14:paraId="6AB8CB0E" w14:textId="77777777" w:rsidR="008619A5" w:rsidRPr="00843F64" w:rsidRDefault="008619A5" w:rsidP="003B0671">
      <w:pPr>
        <w:pStyle w:val="Titre4"/>
      </w:pPr>
      <w:r w:rsidRPr="00843F64">
        <w:t>Réduire le bruit dans les services de garde solutions acoustiques</w:t>
      </w:r>
    </w:p>
    <w:p w14:paraId="4E52BAC4" w14:textId="77777777" w:rsidR="008619A5" w:rsidRDefault="008619A5" w:rsidP="005127F4">
      <w:pPr>
        <w:pStyle w:val="corpsdedcision"/>
        <w:tabs>
          <w:tab w:val="num" w:pos="720"/>
        </w:tabs>
        <w:spacing w:after="300"/>
      </w:pPr>
      <w:r>
        <w:t xml:space="preserve">Cette étude est réalisée par </w:t>
      </w:r>
      <w:r w:rsidRPr="00F13CFC">
        <w:t>l’IRSST</w:t>
      </w:r>
      <w:r>
        <w:t xml:space="preserve"> en 2004 et 2005. Elle</w:t>
      </w:r>
      <w:r w:rsidRPr="0065370A">
        <w:t xml:space="preserve"> met en évidence des niveaux de bruit élevés dans les locaux des </w:t>
      </w:r>
      <w:r>
        <w:t>Centres de la petite enfance</w:t>
      </w:r>
      <w:r w:rsidRPr="00531956">
        <w:t xml:space="preserve">, </w:t>
      </w:r>
      <w:r w:rsidRPr="00374E5C">
        <w:t>CPE</w:t>
      </w:r>
      <w:r w:rsidRPr="00531956">
        <w:t>.</w:t>
      </w:r>
      <w:r w:rsidRPr="0065370A">
        <w:t xml:space="preserve"> </w:t>
      </w:r>
      <w:r>
        <w:t xml:space="preserve">Son </w:t>
      </w:r>
      <w:r w:rsidRPr="0065370A">
        <w:t xml:space="preserve">objectif est de fournir un guide </w:t>
      </w:r>
      <w:r>
        <w:t>préventif afin d’</w:t>
      </w:r>
      <w:r w:rsidRPr="0065370A">
        <w:t xml:space="preserve">améliorer l’environnement sonore </w:t>
      </w:r>
      <w:r w:rsidRPr="00447B5C">
        <w:t xml:space="preserve">et d’évaluer la pertinence d’utiliser des matériaux acoustiques absorbants </w:t>
      </w:r>
      <w:r w:rsidRPr="0065370A">
        <w:t>d</w:t>
      </w:r>
      <w:r>
        <w:t>ans les CPE.</w:t>
      </w:r>
      <w:r w:rsidRPr="00447B5C">
        <w:t xml:space="preserve"> </w:t>
      </w:r>
      <w:r>
        <w:t>L</w:t>
      </w:r>
      <w:r w:rsidRPr="00447B5C">
        <w:t>es chercheurs ont mesuré les niveaux de bruit, le temps de réverbération et le facteur de rayonnement des surfaces dans 40</w:t>
      </w:r>
      <w:r>
        <w:t> </w:t>
      </w:r>
      <w:r w:rsidRPr="00447B5C">
        <w:t>locaux de 20</w:t>
      </w:r>
      <w:r>
        <w:t> </w:t>
      </w:r>
      <w:r w:rsidRPr="00447B5C">
        <w:t>CPE à travers le Québec. Pour avoir une idée plus juste des niveaux de bruit auxquels</w:t>
      </w:r>
      <w:r>
        <w:t xml:space="preserve"> les éducateurs sont exposés, des mesures dosimétriques ont été effectuées en utilisant des dosimètres individuels portés par les éducateurs.</w:t>
      </w:r>
    </w:p>
    <w:p w14:paraId="56D3D382" w14:textId="77777777" w:rsidR="008619A5" w:rsidRDefault="008619A5" w:rsidP="005127F4">
      <w:pPr>
        <w:pStyle w:val="corpsdedcision"/>
        <w:spacing w:after="300"/>
      </w:pPr>
      <w:r>
        <w:t xml:space="preserve">Dans </w:t>
      </w:r>
      <w:r w:rsidRPr="005B0CE9">
        <w:rPr>
          <w:rFonts w:cs="Arial"/>
          <w:i/>
          <w:iCs/>
          <w:szCs w:val="24"/>
        </w:rPr>
        <w:t xml:space="preserve">Champagne </w:t>
      </w:r>
      <w:r w:rsidRPr="00670F66">
        <w:rPr>
          <w:rFonts w:cs="Arial"/>
          <w:szCs w:val="24"/>
        </w:rPr>
        <w:t>et</w:t>
      </w:r>
      <w:r w:rsidRPr="005B0CE9">
        <w:rPr>
          <w:rFonts w:cs="Arial"/>
          <w:i/>
          <w:iCs/>
          <w:szCs w:val="24"/>
        </w:rPr>
        <w:t xml:space="preserve"> CPE Baliballon</w:t>
      </w:r>
      <w:r w:rsidRPr="00670F66">
        <w:rPr>
          <w:rStyle w:val="Appelnotedebasdep"/>
          <w:rFonts w:cs="Arial"/>
          <w:szCs w:val="24"/>
        </w:rPr>
        <w:footnoteReference w:id="35"/>
      </w:r>
      <w:r w:rsidRPr="005B0CE9">
        <w:rPr>
          <w:rFonts w:cs="Arial"/>
          <w:i/>
          <w:iCs/>
          <w:szCs w:val="24"/>
        </w:rPr>
        <w:t>,</w:t>
      </w:r>
      <w:r>
        <w:rPr>
          <w:rFonts w:cs="Arial"/>
          <w:sz w:val="20"/>
        </w:rPr>
        <w:t xml:space="preserve"> </w:t>
      </w:r>
      <w:r>
        <w:t xml:space="preserve">cette étude de l’IRSST est déposée en preuve et le </w:t>
      </w:r>
      <w:r w:rsidRPr="00531956">
        <w:t xml:space="preserve">Tribunal </w:t>
      </w:r>
      <w:r w:rsidRPr="00374E5C">
        <w:t>y</w:t>
      </w:r>
      <w:r w:rsidRPr="00531956">
        <w:t xml:space="preserve"> indique</w:t>
      </w:r>
      <w:r>
        <w:t xml:space="preserve"> que</w:t>
      </w:r>
      <w:r w:rsidRPr="00447B5C">
        <w:t xml:space="preserve"> « […] </w:t>
      </w:r>
      <w:r w:rsidRPr="00447B5C">
        <w:rPr>
          <w:i/>
          <w:iCs/>
          <w:sz w:val="22"/>
          <w:szCs w:val="22"/>
        </w:rPr>
        <w:t>les</w:t>
      </w:r>
      <w:r w:rsidRPr="005B0CE9">
        <w:rPr>
          <w:i/>
          <w:iCs/>
          <w:sz w:val="22"/>
          <w:szCs w:val="22"/>
        </w:rPr>
        <w:t xml:space="preserve"> données recueillies sur les niveaux de bruit dans les locaux et ceux auxquels les éducatrices sont exposées le sont assurément</w:t>
      </w:r>
      <w:r>
        <w:rPr>
          <w:sz w:val="22"/>
          <w:szCs w:val="22"/>
        </w:rPr>
        <w:t> </w:t>
      </w:r>
      <w:r>
        <w:t>». En effet, « </w:t>
      </w:r>
      <w:r w:rsidRPr="005B0CE9">
        <w:rPr>
          <w:i/>
          <w:iCs/>
          <w:sz w:val="22"/>
          <w:szCs w:val="22"/>
        </w:rPr>
        <w:t>il s’agit de données indépendantes recueillies de façon sérieuse par un organisme dont la mission est d’éliminer les risques d’atteinte à la santé et à la sécurité des travailleurs</w:t>
      </w:r>
      <w:r>
        <w:rPr>
          <w:i/>
          <w:iCs/>
          <w:sz w:val="22"/>
          <w:szCs w:val="22"/>
        </w:rPr>
        <w:t> </w:t>
      </w:r>
      <w:r>
        <w:t>»</w:t>
      </w:r>
      <w:r>
        <w:rPr>
          <w:rStyle w:val="Appelnotedebasdep"/>
        </w:rPr>
        <w:footnoteReference w:id="36"/>
      </w:r>
      <w:r>
        <w:t>.</w:t>
      </w:r>
    </w:p>
    <w:p w14:paraId="1766080F" w14:textId="77777777" w:rsidR="008619A5" w:rsidRDefault="008619A5" w:rsidP="005127F4">
      <w:pPr>
        <w:pStyle w:val="corpsdedcision"/>
        <w:spacing w:after="300"/>
      </w:pPr>
      <w:r>
        <w:t>Selon cette étude, les niveaux de bruit moyens sur deux jours ont été de 74 dBA. Cependant, les mesures prises avec un dosimètre posé sur les travailleurs ont révélé des valeurs plus élevées. En effet, selon le tableau des résultats de dosimétrie apparaissant en annexe de l’étude, plus de 30 % des 40 éducatrices ont été exposées à des niveaux de bruit supérieur à 85 dBA</w:t>
      </w:r>
      <w:r>
        <w:rPr>
          <w:rStyle w:val="Appelnotedebasdep"/>
        </w:rPr>
        <w:footnoteReference w:id="37"/>
      </w:r>
      <w:r>
        <w:t>.</w:t>
      </w:r>
    </w:p>
    <w:p w14:paraId="404FD528" w14:textId="77777777" w:rsidR="008619A5" w:rsidRPr="00111D19" w:rsidRDefault="008619A5" w:rsidP="005127F4">
      <w:pPr>
        <w:pStyle w:val="corpsdedcision"/>
        <w:spacing w:after="300"/>
      </w:pPr>
      <w:r>
        <w:t xml:space="preserve">Dans la décision </w:t>
      </w:r>
      <w:r w:rsidRPr="00FC1A32">
        <w:rPr>
          <w:i/>
          <w:iCs/>
        </w:rPr>
        <w:t>Lachance</w:t>
      </w:r>
      <w:r w:rsidRPr="003B0671">
        <w:rPr>
          <w:rStyle w:val="Appelnotedebasdep"/>
        </w:rPr>
        <w:footnoteReference w:id="38"/>
      </w:r>
      <w:r>
        <w:rPr>
          <w:i/>
          <w:iCs/>
        </w:rPr>
        <w:t xml:space="preserve">, </w:t>
      </w:r>
      <w:r w:rsidRPr="00FC1A32">
        <w:t>citée par le travailleur</w:t>
      </w:r>
      <w:r>
        <w:t xml:space="preserve">, </w:t>
      </w:r>
      <w:r w:rsidRPr="00FC1A32">
        <w:t xml:space="preserve">le Tribunal </w:t>
      </w:r>
      <w:r w:rsidRPr="0094191D">
        <w:t>se réfère</w:t>
      </w:r>
      <w:r>
        <w:t xml:space="preserve"> à la décision </w:t>
      </w:r>
      <w:r w:rsidRPr="00A30634">
        <w:rPr>
          <w:i/>
          <w:iCs/>
        </w:rPr>
        <w:t>Champagne</w:t>
      </w:r>
      <w:r w:rsidRPr="00D75E38">
        <w:rPr>
          <w:rFonts w:cs="Arial"/>
          <w:i/>
          <w:iCs/>
          <w:szCs w:val="24"/>
        </w:rPr>
        <w:t xml:space="preserve"> </w:t>
      </w:r>
      <w:r w:rsidRPr="003B0671">
        <w:rPr>
          <w:rFonts w:cs="Arial"/>
          <w:szCs w:val="24"/>
        </w:rPr>
        <w:t>et</w:t>
      </w:r>
      <w:r w:rsidRPr="00D75E38">
        <w:rPr>
          <w:rFonts w:cs="Arial"/>
          <w:i/>
          <w:iCs/>
          <w:szCs w:val="24"/>
        </w:rPr>
        <w:t xml:space="preserve"> CPE Baliballon</w:t>
      </w:r>
      <w:r>
        <w:rPr>
          <w:rFonts w:cs="Arial"/>
          <w:i/>
          <w:iCs/>
          <w:szCs w:val="24"/>
        </w:rPr>
        <w:t xml:space="preserve"> </w:t>
      </w:r>
      <w:r>
        <w:rPr>
          <w:rFonts w:cs="Arial"/>
          <w:szCs w:val="24"/>
        </w:rPr>
        <w:t>et détermine que l’étude de l’IRSST constitue une preuve fiable</w:t>
      </w:r>
      <w:r w:rsidRPr="006651CE">
        <w:rPr>
          <w:rFonts w:cs="Arial"/>
          <w:szCs w:val="24"/>
        </w:rPr>
        <w:t>:</w:t>
      </w:r>
    </w:p>
    <w:p w14:paraId="51B131BA" w14:textId="77777777" w:rsidR="008619A5" w:rsidRPr="003B0671" w:rsidRDefault="008619A5" w:rsidP="00111D19">
      <w:pPr>
        <w:pStyle w:val="corpsdedcision"/>
        <w:numPr>
          <w:ilvl w:val="0"/>
          <w:numId w:val="0"/>
        </w:numPr>
        <w:ind w:left="709"/>
        <w:rPr>
          <w:sz w:val="20"/>
        </w:rPr>
      </w:pPr>
      <w:r w:rsidRPr="003B0671">
        <w:rPr>
          <w:rFonts w:cs="Arial"/>
          <w:sz w:val="20"/>
        </w:rPr>
        <w:t>[41]</w:t>
      </w:r>
      <w:r w:rsidRPr="003B0671">
        <w:rPr>
          <w:rFonts w:cs="Arial"/>
          <w:sz w:val="20"/>
        </w:rPr>
        <w:tab/>
      </w:r>
      <w:r w:rsidRPr="003B0671">
        <w:rPr>
          <w:sz w:val="20"/>
        </w:rPr>
        <w:t xml:space="preserve">Tout comme dans l’affaire </w:t>
      </w:r>
      <w:r w:rsidRPr="003B0671">
        <w:rPr>
          <w:rFonts w:cs="Arial"/>
          <w:i/>
          <w:iCs/>
          <w:sz w:val="20"/>
        </w:rPr>
        <w:t xml:space="preserve">Champagne </w:t>
      </w:r>
      <w:r w:rsidRPr="003B0671">
        <w:rPr>
          <w:rFonts w:cs="Arial"/>
          <w:sz w:val="20"/>
        </w:rPr>
        <w:t>et</w:t>
      </w:r>
      <w:r w:rsidRPr="003B0671">
        <w:rPr>
          <w:rFonts w:cs="Arial"/>
          <w:i/>
          <w:iCs/>
          <w:sz w:val="20"/>
        </w:rPr>
        <w:t xml:space="preserve"> CPE Baliballon </w:t>
      </w:r>
      <w:r w:rsidRPr="003B0671">
        <w:rPr>
          <w:rFonts w:cs="Arial"/>
          <w:sz w:val="20"/>
        </w:rPr>
        <w:t>citée plus haut</w:t>
      </w:r>
      <w:r w:rsidRPr="003B0671">
        <w:rPr>
          <w:rFonts w:cs="Arial"/>
          <w:i/>
          <w:iCs/>
          <w:sz w:val="20"/>
        </w:rPr>
        <w:t xml:space="preserve">, </w:t>
      </w:r>
      <w:r w:rsidRPr="003B0671">
        <w:rPr>
          <w:rFonts w:cs="Arial"/>
          <w:sz w:val="20"/>
          <w:u w:val="single"/>
        </w:rPr>
        <w:t>le Tribunal considère que les données de cette étude sont fiables et représentatives du niveau sonore auquel la travailleuse a probablement été exposée au cours de sa vie professionnelle. En fait, l’étude de l’IRSST est le repère le plus précis qui permet d’évaluer le niveau de bruit auquel elle a probablement été exposée pendant ses années d’activités en garderie</w:t>
      </w:r>
      <w:r w:rsidRPr="003B0671">
        <w:rPr>
          <w:rFonts w:cs="Arial"/>
          <w:sz w:val="20"/>
          <w:u w:val="single"/>
          <w:vertAlign w:val="superscript"/>
        </w:rPr>
        <w:t>20</w:t>
      </w:r>
      <w:r w:rsidRPr="003B0671">
        <w:rPr>
          <w:rFonts w:cs="Arial"/>
          <w:sz w:val="20"/>
        </w:rPr>
        <w:t>. Au surplus, il est permis de penser qu’elle a même été exposée à des niveaux de bruit supérieurs pendant les années qui ont précédé cette étude de 2005, puisqu’elle travaillait avant la mise en place des premières mesures d’atténuation de bruit dans les garderies. Dès lors, le Tribunal considère que pendant ses premières années de travail, la travailleuse a probablement été exposée à des niveaux de bruit égaux ou supérieurs à 85 dBA.</w:t>
      </w:r>
    </w:p>
    <w:p w14:paraId="15CD9061" w14:textId="77777777" w:rsidR="008619A5" w:rsidRPr="003B0671" w:rsidRDefault="008619A5" w:rsidP="00152724">
      <w:pPr>
        <w:pStyle w:val="corpsdedcision"/>
        <w:numPr>
          <w:ilvl w:val="0"/>
          <w:numId w:val="0"/>
        </w:numPr>
        <w:spacing w:after="0"/>
        <w:ind w:left="709"/>
        <w:rPr>
          <w:sz w:val="20"/>
        </w:rPr>
      </w:pPr>
      <w:r w:rsidRPr="003B0671">
        <w:rPr>
          <w:rFonts w:cs="Arial"/>
          <w:sz w:val="20"/>
        </w:rPr>
        <w:t>[42]</w:t>
      </w:r>
      <w:r w:rsidRPr="003B0671">
        <w:rPr>
          <w:rFonts w:cs="Arial"/>
          <w:sz w:val="20"/>
        </w:rPr>
        <w:tab/>
      </w:r>
      <w:r w:rsidRPr="003B0671">
        <w:rPr>
          <w:sz w:val="20"/>
        </w:rPr>
        <w:t>Dans ce contexte, le Tribunal conclut que la présomption à l’article 29 de la Loi s’applique, puisque la travailleuse souffre d’une atteinte auditive causée par le bruit et que son travail d’éducatrice en garderie impliquait une exposition à des niveaux de bruit excessifs.</w:t>
      </w:r>
    </w:p>
    <w:p w14:paraId="0A288A9F" w14:textId="77777777" w:rsidR="008619A5" w:rsidRPr="00447B5C" w:rsidRDefault="008619A5" w:rsidP="003B0671">
      <w:pPr>
        <w:pStyle w:val="corpsdedcision"/>
        <w:numPr>
          <w:ilvl w:val="0"/>
          <w:numId w:val="0"/>
        </w:numPr>
        <w:spacing w:after="0"/>
        <w:ind w:left="709"/>
      </w:pPr>
    </w:p>
    <w:p w14:paraId="505A9DC6" w14:textId="77777777" w:rsidR="008619A5" w:rsidRPr="003E3CDD" w:rsidRDefault="008619A5" w:rsidP="005127F4">
      <w:pPr>
        <w:pStyle w:val="citation"/>
        <w:keepNext/>
        <w:spacing w:after="300"/>
        <w:rPr>
          <w:sz w:val="24"/>
          <w:szCs w:val="24"/>
        </w:rPr>
      </w:pPr>
      <w:r>
        <w:rPr>
          <w:sz w:val="24"/>
          <w:szCs w:val="24"/>
        </w:rPr>
        <w:t>[</w:t>
      </w:r>
      <w:r w:rsidRPr="00F06998">
        <w:rPr>
          <w:sz w:val="24"/>
          <w:szCs w:val="24"/>
        </w:rPr>
        <w:t>Note omise</w:t>
      </w:r>
      <w:r>
        <w:rPr>
          <w:sz w:val="24"/>
          <w:szCs w:val="24"/>
        </w:rPr>
        <w:t xml:space="preserve"> et notre soulignement]</w:t>
      </w:r>
    </w:p>
    <w:p w14:paraId="3F638E9F" w14:textId="77777777" w:rsidR="008619A5" w:rsidRDefault="008619A5" w:rsidP="007F0BF2">
      <w:pPr>
        <w:pStyle w:val="corpsdedcision"/>
        <w:tabs>
          <w:tab w:val="num" w:pos="720"/>
        </w:tabs>
        <w:spacing w:after="300"/>
      </w:pPr>
      <w:r w:rsidRPr="00447B5C">
        <w:t xml:space="preserve">Tout comme dans l’affaire </w:t>
      </w:r>
      <w:r w:rsidRPr="00111D19">
        <w:rPr>
          <w:i/>
          <w:iCs/>
        </w:rPr>
        <w:t xml:space="preserve">Champagne </w:t>
      </w:r>
      <w:r w:rsidRPr="00111D19">
        <w:t>et</w:t>
      </w:r>
      <w:r w:rsidRPr="00111D19">
        <w:rPr>
          <w:i/>
          <w:iCs/>
        </w:rPr>
        <w:t xml:space="preserve"> CPE Baliballon, </w:t>
      </w:r>
      <w:r w:rsidRPr="00111D19">
        <w:t>le Tribunal considère que les données de cette étude sont fiables et représentatives du niveau sonore auquel l</w:t>
      </w:r>
      <w:r>
        <w:t>e</w:t>
      </w:r>
      <w:r w:rsidRPr="00111D19">
        <w:t xml:space="preserve"> travailleur a été exposé au cours de sa</w:t>
      </w:r>
      <w:r>
        <w:t xml:space="preserve"> carrière.</w:t>
      </w:r>
      <w:r w:rsidRPr="00111D19">
        <w:t xml:space="preserve"> </w:t>
      </w:r>
      <w:r>
        <w:t xml:space="preserve">De même, tout comme dans l’affaire </w:t>
      </w:r>
      <w:r w:rsidRPr="007F0BF2">
        <w:rPr>
          <w:i/>
          <w:iCs/>
        </w:rPr>
        <w:t>Lachance,</w:t>
      </w:r>
      <w:r>
        <w:t xml:space="preserve"> le travailleur a probablement été exposé à des niveaux sonores dépassant les 85 dBA au début de son emploi. En effet, il commence à travailler en 1990 alors que les normes de prévention acoustiques sont en développement. Il travaille dans une école qu’il qualifie de « </w:t>
      </w:r>
      <w:r w:rsidRPr="00374E5C">
        <w:rPr>
          <w:rStyle w:val="Citationintgre"/>
        </w:rPr>
        <w:t>vielle</w:t>
      </w:r>
      <w:r>
        <w:t xml:space="preserve"> » c’est-à-dire qui n’a pas été conçue avec la préoccupation de réduire le bruit d’exposition. Le travailleur ajoute d’ailleurs candidement que lorsqu’il visite une école de construction plus moderne, il est impressionné par la différence entre le bruit ambiant beaucoup moins </w:t>
      </w:r>
      <w:r w:rsidRPr="00531956">
        <w:t xml:space="preserve">intense </w:t>
      </w:r>
      <w:r w:rsidRPr="00374E5C">
        <w:t>et</w:t>
      </w:r>
      <w:r w:rsidRPr="00531956">
        <w:t xml:space="preserve"> celui</w:t>
      </w:r>
      <w:r>
        <w:t xml:space="preserve"> qu’il entend à son école.</w:t>
      </w:r>
    </w:p>
    <w:p w14:paraId="69632D7F" w14:textId="77777777" w:rsidR="008619A5" w:rsidRDefault="008619A5" w:rsidP="005127F4">
      <w:pPr>
        <w:pStyle w:val="corpsdedcision"/>
        <w:tabs>
          <w:tab w:val="num" w:pos="720"/>
        </w:tabs>
        <w:spacing w:after="300"/>
      </w:pPr>
      <w:r>
        <w:t xml:space="preserve">Dans </w:t>
      </w:r>
      <w:r w:rsidRPr="003A5287">
        <w:rPr>
          <w:i/>
          <w:iCs/>
        </w:rPr>
        <w:t xml:space="preserve">Boisclair </w:t>
      </w:r>
      <w:r w:rsidRPr="003B0671">
        <w:t>et</w:t>
      </w:r>
      <w:r w:rsidRPr="003A5287">
        <w:rPr>
          <w:i/>
          <w:iCs/>
        </w:rPr>
        <w:t xml:space="preserve"> Centre de services scolaire des Chênes</w:t>
      </w:r>
      <w:r w:rsidRPr="003B0671">
        <w:rPr>
          <w:rStyle w:val="Appelnotedebasdep"/>
          <w:rFonts w:cs="Arial"/>
          <w:szCs w:val="24"/>
        </w:rPr>
        <w:footnoteReference w:id="39"/>
      </w:r>
      <w:r>
        <w:rPr>
          <w:i/>
          <w:iCs/>
        </w:rPr>
        <w:t xml:space="preserve"> </w:t>
      </w:r>
      <w:r>
        <w:t xml:space="preserve">citée par l’employeur, le Tribunal écarte l’étude de l’IRSST comme preuve de l’exposition au bruit d’une éducatrice dans un service de garde en milieu scolaire. Or, dans cette décision, le Tribunal distingue les tâches de la travailleuse de celle d’une éducatrice. Il est d’avis que la travailleuse exerce plutôt des tâches de responsable et technicienne d’un service de garde impliquant davantage des tâches administratives et de gestion. Dans </w:t>
      </w:r>
      <w:r w:rsidRPr="003A5287">
        <w:rPr>
          <w:i/>
          <w:iCs/>
        </w:rPr>
        <w:t>Boisclair</w:t>
      </w:r>
      <w:r>
        <w:t>, la travailleuse n’est pas exposée aux mêmes bruits que ceux auxquels le travailleur est exposé par son travail d’éducateur.</w:t>
      </w:r>
    </w:p>
    <w:p w14:paraId="1CD542C5" w14:textId="77777777" w:rsidR="008619A5" w:rsidRPr="00111D19" w:rsidRDefault="008619A5" w:rsidP="003B0671">
      <w:pPr>
        <w:pStyle w:val="Titre4"/>
      </w:pPr>
      <w:r w:rsidRPr="00111D19">
        <w:t>Étude de l'exposition professionnelle au bruit des conducteurs d'autobus scolaires</w:t>
      </w:r>
    </w:p>
    <w:p w14:paraId="3C6F4D0B" w14:textId="77777777" w:rsidR="008619A5" w:rsidRPr="00AA581A" w:rsidRDefault="008619A5" w:rsidP="005127F4">
      <w:pPr>
        <w:pStyle w:val="corpsdedcision"/>
        <w:tabs>
          <w:tab w:val="num" w:pos="720"/>
        </w:tabs>
        <w:spacing w:after="300"/>
      </w:pPr>
      <w:r>
        <w:t xml:space="preserve">Lors des 14 journées pédagogiques, des activités ludiques sont offertes aux élèves par le service de garde. Généralement le travailleur se déplace avec les élèves par autobus scolaire. C’est afin de démontrer le bruit auquel il est exposé lors de ces déplacements qu’il dépose cette étude sur </w:t>
      </w:r>
      <w:r w:rsidRPr="00374E5C">
        <w:t>l'exposition professionnelle au bruit des conducteurs d'autobus scolaires</w:t>
      </w:r>
      <w:r w:rsidRPr="00AA581A">
        <w:t>.</w:t>
      </w:r>
    </w:p>
    <w:p w14:paraId="14EB71CB" w14:textId="77777777" w:rsidR="008619A5" w:rsidRDefault="008619A5" w:rsidP="005127F4">
      <w:pPr>
        <w:pStyle w:val="corpsdedcision"/>
        <w:tabs>
          <w:tab w:val="num" w:pos="720"/>
        </w:tabs>
        <w:spacing w:after="300"/>
      </w:pPr>
      <w:r>
        <w:t>Cette étude conclut que le bruit d’un autobus de 72 places, occupé par des élèves du primaire, varie entre 62,5 dBA et 83,5 dBA pour une moyenne de 78,1 dBA</w:t>
      </w:r>
      <w:r w:rsidRPr="003B0671">
        <w:rPr>
          <w:rStyle w:val="Appelnotedebasdep"/>
          <w:szCs w:val="24"/>
        </w:rPr>
        <w:footnoteReference w:id="40"/>
      </w:r>
      <w:r w:rsidRPr="00AA75BC">
        <w:rPr>
          <w:szCs w:val="24"/>
        </w:rPr>
        <w:t> </w:t>
      </w:r>
      <w:r>
        <w:t>:</w:t>
      </w:r>
    </w:p>
    <w:p w14:paraId="27794793" w14:textId="77777777" w:rsidR="008619A5" w:rsidRDefault="008619A5" w:rsidP="00F52755">
      <w:pPr>
        <w:pStyle w:val="Citationendoubleretrait"/>
        <w:ind w:left="709" w:right="713"/>
        <w:rPr>
          <w:rFonts w:cs="Arial"/>
          <w:sz w:val="24"/>
          <w:szCs w:val="24"/>
        </w:rPr>
      </w:pPr>
      <w:r w:rsidRPr="003B0671">
        <w:rPr>
          <w:rFonts w:cs="Arial"/>
          <w:sz w:val="24"/>
          <w:szCs w:val="24"/>
        </w:rPr>
        <w:t>[…]</w:t>
      </w:r>
      <w:r>
        <w:rPr>
          <w:rFonts w:cs="Arial"/>
        </w:rPr>
        <w:t xml:space="preserve"> </w:t>
      </w:r>
      <w:r w:rsidRPr="003B0671">
        <w:t>Par ailleurs, sur l’ensemble des véhicules, le bruit du moteur est en moyenne de 66,3 dB(A) lorsque le véhicule est au repos, de 73,4 dB(A) pour les trajets en milieu urbain, de 74,2 dB(A) pour les trajets en milieu rural, de 75,7 dB(A) pour les trajets effectués sur des routes secondaires et de 78,5 pour les trajets effectués sur autoroute. Mise à part la contribution du moteur, la contribution des différentes sources de bruit a été évaluée, en moyenne, à 78,1 dB(A) pour les élèves du niveau primaire</w:t>
      </w:r>
      <w:r>
        <w:t xml:space="preserve"> </w:t>
      </w:r>
      <w:r w:rsidRPr="00BB660A">
        <w:rPr>
          <w:rFonts w:cs="Arial"/>
          <w:sz w:val="24"/>
          <w:szCs w:val="24"/>
        </w:rPr>
        <w:t>[…]</w:t>
      </w:r>
    </w:p>
    <w:p w14:paraId="72BB892C" w14:textId="77777777" w:rsidR="008619A5" w:rsidRPr="003B0671" w:rsidRDefault="008619A5" w:rsidP="003B0671">
      <w:pPr>
        <w:pStyle w:val="Citationendoubleretrait"/>
        <w:ind w:left="709" w:right="713"/>
      </w:pPr>
    </w:p>
    <w:p w14:paraId="1F8A54B9" w14:textId="77777777" w:rsidR="008619A5" w:rsidRPr="003B0671" w:rsidRDefault="008619A5" w:rsidP="005127F4">
      <w:pPr>
        <w:pStyle w:val="Citationendoubleretrait"/>
        <w:spacing w:after="300"/>
        <w:ind w:left="709" w:right="713"/>
        <w:rPr>
          <w:rFonts w:cs="Arial"/>
        </w:rPr>
      </w:pPr>
      <w:r w:rsidRPr="003B0671">
        <w:rPr>
          <w:rFonts w:cs="Arial"/>
          <w:sz w:val="24"/>
          <w:szCs w:val="24"/>
        </w:rPr>
        <w:t>[…]</w:t>
      </w:r>
      <w:r>
        <w:rPr>
          <w:rFonts w:cs="Arial"/>
        </w:rPr>
        <w:t xml:space="preserve"> </w:t>
      </w:r>
      <w:r w:rsidRPr="003B0671">
        <w:t>Par ailleurs, les niveaux moyens de bruit produits par les élèves des niveaux primaire et secondaire sont de 78,1 et 74,3 dB(A) respectivement. Donc, en moyenne, les élèves du niveau primaire sont 3,8 dB(A) plus bruyants que les élèves du niveau secondaire. Cela s’explique par le fait que les élèves du primaire sont en général plus agités, et ont également la voix plus aiguë</w:t>
      </w:r>
      <w:r>
        <w:t xml:space="preserve"> </w:t>
      </w:r>
      <w:r w:rsidRPr="00BB660A">
        <w:rPr>
          <w:rFonts w:cs="Arial"/>
          <w:sz w:val="24"/>
          <w:szCs w:val="24"/>
        </w:rPr>
        <w:t>[…]</w:t>
      </w:r>
    </w:p>
    <w:p w14:paraId="18E0FAE0" w14:textId="77777777" w:rsidR="008619A5" w:rsidRDefault="008619A5" w:rsidP="005127F4">
      <w:pPr>
        <w:pStyle w:val="corpsdedcision"/>
        <w:tabs>
          <w:tab w:val="num" w:pos="720"/>
        </w:tabs>
        <w:spacing w:after="300"/>
      </w:pPr>
      <w:r>
        <w:t>Tout comme pour l’étude précédente, le Tribunal détermine que cette étude est fiable tant par sa méthodologie que</w:t>
      </w:r>
      <w:r w:rsidRPr="00374E5C">
        <w:t xml:space="preserve"> par</w:t>
      </w:r>
      <w:r>
        <w:t xml:space="preserve"> son caractère indépendant. Elle démontre que le travailleur est exposé à des bruits importants pouvant atteindre jusqu’à 83,5 dBA lorsqu’il accompagne les élèves lors des transports par autobus scolaire.</w:t>
      </w:r>
    </w:p>
    <w:p w14:paraId="0A0529A9" w14:textId="77777777" w:rsidR="008619A5" w:rsidRPr="0013350C" w:rsidRDefault="008619A5" w:rsidP="003B0671">
      <w:pPr>
        <w:pStyle w:val="Titre4"/>
      </w:pPr>
      <w:r w:rsidRPr="0013350C">
        <w:t xml:space="preserve">Rapports d’évaluation du bruit ambiant par le travailleur utilisant un sonomètre (R8080) </w:t>
      </w:r>
    </w:p>
    <w:p w14:paraId="031BFA69" w14:textId="77777777" w:rsidR="008619A5" w:rsidRDefault="008619A5" w:rsidP="005127F4">
      <w:pPr>
        <w:pStyle w:val="corpsdedcision"/>
        <w:keepNext/>
        <w:tabs>
          <w:tab w:val="num" w:pos="720"/>
        </w:tabs>
        <w:spacing w:after="300"/>
      </w:pPr>
      <w:r>
        <w:t>Le travailleur produit aussi des rapports d’évaluation du bruit ambiant dans son milieu de travail. Il utilise un sonomètre de type R8080. Il évalue le bruit à l’aide du sonomètre les 11, 15, 16, 18 et 19 avril 2024. Les données rapportées sont les suivantes :</w:t>
      </w:r>
    </w:p>
    <w:p w14:paraId="63624298" w14:textId="77777777" w:rsidR="008619A5" w:rsidRDefault="008619A5" w:rsidP="008619A5">
      <w:pPr>
        <w:pStyle w:val="corpsdedcision"/>
        <w:numPr>
          <w:ilvl w:val="0"/>
          <w:numId w:val="39"/>
        </w:numPr>
        <w:tabs>
          <w:tab w:val="clear" w:pos="720"/>
        </w:tabs>
        <w:spacing w:after="240"/>
        <w:ind w:left="993"/>
      </w:pPr>
      <w:r>
        <w:t>Pour la période de 11 :00 à 12 :50 la moyenne du bruit enregistré varie entre 74,3 dBA et 82, 4 dBA;</w:t>
      </w:r>
    </w:p>
    <w:p w14:paraId="4BA1A0C1" w14:textId="77777777" w:rsidR="008619A5" w:rsidRDefault="008619A5" w:rsidP="008619A5">
      <w:pPr>
        <w:pStyle w:val="corpsdedcision"/>
        <w:numPr>
          <w:ilvl w:val="0"/>
          <w:numId w:val="39"/>
        </w:numPr>
        <w:tabs>
          <w:tab w:val="clear" w:pos="720"/>
        </w:tabs>
        <w:spacing w:after="300"/>
        <w:ind w:left="993"/>
      </w:pPr>
      <w:r>
        <w:t>Pour la période de 14 :20 à 17 :30 la moyenne de bruit enregistré varie entre 77,1 dBA et 83,6 dBA.</w:t>
      </w:r>
    </w:p>
    <w:p w14:paraId="12A0ED4C" w14:textId="77777777" w:rsidR="008619A5" w:rsidRDefault="008619A5" w:rsidP="005127F4">
      <w:pPr>
        <w:pStyle w:val="corpsdedcision"/>
        <w:tabs>
          <w:tab w:val="num" w:pos="720"/>
        </w:tabs>
        <w:spacing w:after="300"/>
      </w:pPr>
      <w:r>
        <w:t xml:space="preserve">La preuve prépondérante démontre donc que le travailleur est exposé à un bruit excessif dans le cadre de son emploi. La deuxième condition d’application de la présomption est satisfaite. La causalité se présume ensuite par application de la présomption de maladie professionnelle. </w:t>
      </w:r>
    </w:p>
    <w:p w14:paraId="42BC46A4" w14:textId="77777777" w:rsidR="008619A5" w:rsidRDefault="008619A5" w:rsidP="005127F4">
      <w:pPr>
        <w:pStyle w:val="corpsdedcision"/>
        <w:tabs>
          <w:tab w:val="num" w:pos="720"/>
        </w:tabs>
        <w:spacing w:after="300"/>
      </w:pPr>
      <w:r>
        <w:t>L’employeur peut renverser cette présomption. Pour y parvenir, il doit démontrer que la surdité neurosensorielle bilatérale du travailleur résulte d’une cause étrangère au travail</w:t>
      </w:r>
      <w:r>
        <w:rPr>
          <w:rStyle w:val="Appelnotedebasdep"/>
        </w:rPr>
        <w:footnoteReference w:id="41"/>
      </w:r>
      <w:r>
        <w:t>.</w:t>
      </w:r>
    </w:p>
    <w:p w14:paraId="4BEEC6BD" w14:textId="77777777" w:rsidR="008619A5" w:rsidRDefault="008619A5" w:rsidP="005127F4">
      <w:pPr>
        <w:pStyle w:val="corpsdedcision"/>
        <w:spacing w:after="300"/>
      </w:pPr>
      <w:r>
        <w:t>L’employeur souligne que les courbes des examens par audiogramme ne sont pas typiques d’une atteinte auditive causée par le bruit et que le travailleur n’est pas exposé à un bruit excessif. Il ajoute que même si le niveau de bruit au travail est excessif, le travailleur n’y est pas exposé de façon constante au cours d’une journée de travail. Le travailleur plaide à bon droit qu’il ne s’agit pas de motifs permettant de renverser la présomption. Au soutien de son argument, il cite l’extrait de doctrine suivant</w:t>
      </w:r>
      <w:r>
        <w:rPr>
          <w:rStyle w:val="Appelnotedebasdep"/>
        </w:rPr>
        <w:footnoteReference w:id="42"/>
      </w:r>
      <w:r>
        <w:t> :</w:t>
      </w:r>
    </w:p>
    <w:p w14:paraId="224B0D3D" w14:textId="77777777" w:rsidR="008619A5" w:rsidRPr="00542103" w:rsidRDefault="008619A5" w:rsidP="0073676B">
      <w:pPr>
        <w:pStyle w:val="Citationendoubleretrait"/>
        <w:rPr>
          <w:b/>
          <w:bCs/>
        </w:rPr>
      </w:pPr>
      <w:r>
        <w:rPr>
          <w:b/>
          <w:bCs/>
        </w:rPr>
        <w:t xml:space="preserve">2.2.4 </w:t>
      </w:r>
      <w:r w:rsidRPr="00542103">
        <w:rPr>
          <w:b/>
          <w:bCs/>
        </w:rPr>
        <w:t>Le renversement des présomptions par l’employeur</w:t>
      </w:r>
    </w:p>
    <w:p w14:paraId="3447A910" w14:textId="77777777" w:rsidR="008619A5" w:rsidRPr="00B7436E" w:rsidRDefault="008619A5" w:rsidP="0073676B">
      <w:pPr>
        <w:pStyle w:val="Citationendoubleretrait"/>
      </w:pPr>
    </w:p>
    <w:p w14:paraId="3C2DA4BA" w14:textId="77777777" w:rsidR="008619A5" w:rsidRPr="00B7436E" w:rsidRDefault="008619A5" w:rsidP="0073676B">
      <w:pPr>
        <w:pStyle w:val="Citationendoubleretrait"/>
        <w:rPr>
          <w:u w:val="single"/>
        </w:rPr>
      </w:pPr>
      <w:r w:rsidRPr="00B7436E">
        <w:rPr>
          <w:u w:val="single"/>
        </w:rPr>
        <w:t>D’entrée de jeu, l’employeur ne pourra pas invoquer, à titre de moyen de renversement des présomptions édictées aux articles 29 et 30 de la Loi, que l’atteinte auditive que présente le travailleur ne possède pas toutes les caractéristiques de celle-ci</w:t>
      </w:r>
      <w:r w:rsidRPr="00C31C73">
        <w:t>.</w:t>
      </w:r>
    </w:p>
    <w:p w14:paraId="3E154C36" w14:textId="77777777" w:rsidR="008619A5" w:rsidRPr="00B7436E" w:rsidRDefault="008619A5" w:rsidP="0073676B">
      <w:pPr>
        <w:pStyle w:val="Citationendoubleretrait"/>
      </w:pPr>
    </w:p>
    <w:p w14:paraId="521988E3" w14:textId="77777777" w:rsidR="008619A5" w:rsidRPr="00B7436E" w:rsidRDefault="008619A5" w:rsidP="0073676B">
      <w:pPr>
        <w:pStyle w:val="Citationendoubleretrait"/>
      </w:pPr>
      <w:r w:rsidRPr="00065E72">
        <w:rPr>
          <w:u w:val="single"/>
        </w:rPr>
        <w:t>En effet, l’asymétrie</w:t>
      </w:r>
      <w:r w:rsidRPr="003B0671">
        <w:rPr>
          <w:u w:val="single"/>
          <w:vertAlign w:val="superscript"/>
        </w:rPr>
        <w:t>51</w:t>
      </w:r>
      <w:r w:rsidRPr="00065E72">
        <w:rPr>
          <w:u w:val="single"/>
        </w:rPr>
        <w:t xml:space="preserve"> ou l’atypisme de l’encoche</w:t>
      </w:r>
      <w:r w:rsidRPr="003B0671">
        <w:rPr>
          <w:u w:val="single"/>
          <w:vertAlign w:val="superscript"/>
        </w:rPr>
        <w:t>52</w:t>
      </w:r>
      <w:r w:rsidRPr="00065E72">
        <w:rPr>
          <w:u w:val="single"/>
        </w:rPr>
        <w:t xml:space="preserve"> ne seront pas des moyens de renversement de ces présomptions de maladie professionnelle, la CLP ayant d’ores et déjà fait mention du caractère plutôt relatif de ces deux caractéristiques</w:t>
      </w:r>
      <w:r w:rsidRPr="003B0671">
        <w:rPr>
          <w:vertAlign w:val="superscript"/>
        </w:rPr>
        <w:t>53</w:t>
      </w:r>
      <w:r w:rsidRPr="00B7436E">
        <w:t>.</w:t>
      </w:r>
    </w:p>
    <w:p w14:paraId="38A53B11" w14:textId="77777777" w:rsidR="008619A5" w:rsidRPr="00B7436E" w:rsidRDefault="008619A5" w:rsidP="0073676B">
      <w:pPr>
        <w:pStyle w:val="Citationendoubleretrait"/>
      </w:pPr>
    </w:p>
    <w:p w14:paraId="35D7C368" w14:textId="77777777" w:rsidR="008619A5" w:rsidRPr="00B7436E" w:rsidRDefault="008619A5" w:rsidP="0073676B">
      <w:pPr>
        <w:pStyle w:val="Citationendoubleretrait"/>
        <w:rPr>
          <w:u w:val="single"/>
        </w:rPr>
      </w:pPr>
      <w:r w:rsidRPr="00B7436E">
        <w:rPr>
          <w:u w:val="single"/>
        </w:rPr>
        <w:t xml:space="preserve">D’autre part, nous sommes d’avis que l’employeur ne pourra pas invoquer le respect des normes d’exposition au bruit contenues </w:t>
      </w:r>
      <w:r w:rsidRPr="00542103">
        <w:rPr>
          <w:i/>
          <w:iCs/>
          <w:u w:val="single"/>
        </w:rPr>
        <w:t xml:space="preserve">au </w:t>
      </w:r>
      <w:r w:rsidRPr="003B0671">
        <w:rPr>
          <w:b/>
          <w:bCs/>
          <w:i/>
          <w:iCs/>
          <w:u w:val="single"/>
        </w:rPr>
        <w:t>Règlement sur la santé et la sécurité du travail</w:t>
      </w:r>
      <w:r w:rsidRPr="00B7436E">
        <w:rPr>
          <w:u w:val="single"/>
        </w:rPr>
        <w:t xml:space="preserve"> pour renverser l’application des présomptions de maladie professionnelle</w:t>
      </w:r>
      <w:r w:rsidRPr="00C31C73">
        <w:t>.</w:t>
      </w:r>
    </w:p>
    <w:p w14:paraId="31704A85" w14:textId="77777777" w:rsidR="008619A5" w:rsidRPr="00B7436E" w:rsidRDefault="008619A5" w:rsidP="0073676B">
      <w:pPr>
        <w:pStyle w:val="Citationendoubleretrait"/>
      </w:pPr>
    </w:p>
    <w:p w14:paraId="3BE78CB6" w14:textId="77777777" w:rsidR="008619A5" w:rsidRPr="00B7436E" w:rsidRDefault="008619A5" w:rsidP="0073676B">
      <w:pPr>
        <w:pStyle w:val="Citationendoubleretrait"/>
      </w:pPr>
      <w:r w:rsidRPr="00B7436E">
        <w:t>Une telle affirmation puise sa source dans le refus du Tribunal de faire appel à cette réglementation</w:t>
      </w:r>
      <w:r w:rsidRPr="003B0671">
        <w:rPr>
          <w:vertAlign w:val="superscript"/>
        </w:rPr>
        <w:t>54</w:t>
      </w:r>
      <w:r w:rsidRPr="00B7436E">
        <w:t xml:space="preserve"> quant à l’évaluation de la notion de « bruit excessif » et à la reconnaissance de réclamations de travailleurs exposés en deçà des normes réglementaires édictées</w:t>
      </w:r>
      <w:r w:rsidRPr="003B0671">
        <w:rPr>
          <w:vertAlign w:val="superscript"/>
        </w:rPr>
        <w:t>55</w:t>
      </w:r>
      <w:r w:rsidRPr="00B7436E">
        <w:t>.</w:t>
      </w:r>
    </w:p>
    <w:p w14:paraId="3D0DE507" w14:textId="77777777" w:rsidR="008619A5" w:rsidRPr="00B7436E" w:rsidRDefault="008619A5" w:rsidP="0073676B">
      <w:pPr>
        <w:pStyle w:val="Citationendoubleretrait"/>
      </w:pPr>
    </w:p>
    <w:p w14:paraId="59181F40" w14:textId="77777777" w:rsidR="008619A5" w:rsidRPr="00B7436E" w:rsidRDefault="008619A5" w:rsidP="005127F4">
      <w:pPr>
        <w:pStyle w:val="Citationendoubleretrait"/>
        <w:keepLines/>
      </w:pPr>
      <w:r w:rsidRPr="00B7436E">
        <w:t xml:space="preserve">Ne pouvant s’appuyer sur les caractéristiques de l’atteinte auditive et sur les normes sonores édictées au </w:t>
      </w:r>
      <w:r w:rsidRPr="003B0671">
        <w:rPr>
          <w:b/>
          <w:bCs/>
          <w:i/>
          <w:iCs/>
        </w:rPr>
        <w:t>Règlement sur la santé et la sécurité du travail</w:t>
      </w:r>
      <w:r w:rsidRPr="00B7436E">
        <w:t>, quelle est la preuve que peut offrir l’employeur pour renverser l’application des présomptions de maladie professionnelle?</w:t>
      </w:r>
    </w:p>
    <w:p w14:paraId="0D73AEB3" w14:textId="77777777" w:rsidR="008619A5" w:rsidRPr="00B7436E" w:rsidRDefault="008619A5" w:rsidP="0073676B">
      <w:pPr>
        <w:pStyle w:val="Citationendoubleretrait"/>
      </w:pPr>
    </w:p>
    <w:p w14:paraId="2A01B157" w14:textId="77777777" w:rsidR="008619A5" w:rsidRPr="00065E72" w:rsidRDefault="008619A5" w:rsidP="0073676B">
      <w:pPr>
        <w:pStyle w:val="Citationendoubleretrait"/>
      </w:pPr>
      <w:r w:rsidRPr="00065E72">
        <w:t xml:space="preserve">Dans l’affaire </w:t>
      </w:r>
      <w:r w:rsidRPr="00065E72">
        <w:rPr>
          <w:i/>
          <w:iCs/>
        </w:rPr>
        <w:t>St-Pierre</w:t>
      </w:r>
      <w:r w:rsidRPr="003B0671">
        <w:rPr>
          <w:vertAlign w:val="superscript"/>
        </w:rPr>
        <w:t>56</w:t>
      </w:r>
      <w:r w:rsidRPr="00065E72">
        <w:t>, la juge administrative Burdett répond succinctement à ce questionnement en affirmant :</w:t>
      </w:r>
    </w:p>
    <w:p w14:paraId="1DFD25CF" w14:textId="77777777" w:rsidR="008619A5" w:rsidRPr="00B7436E" w:rsidRDefault="008619A5" w:rsidP="0073676B">
      <w:pPr>
        <w:pStyle w:val="Citationendoubleretrait"/>
        <w:rPr>
          <w:u w:val="single"/>
        </w:rPr>
      </w:pPr>
    </w:p>
    <w:p w14:paraId="13A02974" w14:textId="77777777" w:rsidR="008619A5" w:rsidRPr="003B0671" w:rsidRDefault="008619A5" w:rsidP="00542103">
      <w:pPr>
        <w:pStyle w:val="Citationendoubleretrait"/>
        <w:ind w:left="2127"/>
      </w:pPr>
      <w:r w:rsidRPr="003B0671">
        <w:t xml:space="preserve">[47] Cette présomption peut être renversée par une preuve prépondérante </w:t>
      </w:r>
      <w:r w:rsidRPr="003B0671">
        <w:rPr>
          <w:u w:val="single"/>
        </w:rPr>
        <w:t>que la surdité n’est pas d’origine professionnelle</w:t>
      </w:r>
      <w:r w:rsidRPr="003B0671">
        <w:t>.</w:t>
      </w:r>
      <w:r w:rsidRPr="003B0671">
        <w:rPr>
          <w:vertAlign w:val="superscript"/>
        </w:rPr>
        <w:t>57</w:t>
      </w:r>
      <w:r>
        <w:t xml:space="preserve"> </w:t>
      </w:r>
      <w:r>
        <w:rPr>
          <w:rFonts w:cs="Arial"/>
        </w:rPr>
        <w:t>[nos soulignements]</w:t>
      </w:r>
    </w:p>
    <w:p w14:paraId="026303E9" w14:textId="77777777" w:rsidR="008619A5" w:rsidRPr="003B0671" w:rsidRDefault="008619A5" w:rsidP="00DF568A">
      <w:pPr>
        <w:pStyle w:val="corpsdedcision"/>
        <w:numPr>
          <w:ilvl w:val="0"/>
          <w:numId w:val="0"/>
        </w:numPr>
        <w:spacing w:after="0"/>
        <w:ind w:left="2126"/>
        <w:rPr>
          <w:sz w:val="20"/>
        </w:rPr>
      </w:pPr>
    </w:p>
    <w:p w14:paraId="2B99C109" w14:textId="77777777" w:rsidR="008619A5" w:rsidRDefault="008619A5" w:rsidP="005127F4">
      <w:pPr>
        <w:pStyle w:val="corpsdedcision"/>
        <w:keepLines/>
        <w:numPr>
          <w:ilvl w:val="0"/>
          <w:numId w:val="0"/>
        </w:numPr>
        <w:spacing w:after="300"/>
      </w:pPr>
      <w:r>
        <w:tab/>
      </w:r>
      <w:r>
        <w:tab/>
      </w:r>
      <w:r>
        <w:rPr>
          <w:rFonts w:cs="Arial"/>
        </w:rPr>
        <w:t>[Notes omises et nos soulignements]</w:t>
      </w:r>
    </w:p>
    <w:p w14:paraId="448F4360" w14:textId="77777777" w:rsidR="008619A5" w:rsidRDefault="008619A5" w:rsidP="005127F4">
      <w:pPr>
        <w:pStyle w:val="corpsdedcision"/>
        <w:spacing w:after="300"/>
      </w:pPr>
      <w:r>
        <w:t>Or, l’employeur n’a pas démontré que l’atteinte auditive du travailleur résulte d’une cause étrangère au travail puisqu’il ne présente aucune preuve à cet effet. La présomption n’est donc pas renversée.</w:t>
      </w:r>
    </w:p>
    <w:p w14:paraId="471880D5" w14:textId="77777777" w:rsidR="008619A5" w:rsidRPr="007B3D8E" w:rsidRDefault="008619A5" w:rsidP="005127F4">
      <w:pPr>
        <w:pStyle w:val="corpsdedcision"/>
        <w:spacing w:after="300"/>
      </w:pPr>
      <w:r>
        <w:t xml:space="preserve">Par </w:t>
      </w:r>
      <w:r w:rsidRPr="007B3D8E">
        <w:t>conséquent, le Tribunal accueille la contestation du travailleur et conclut q</w:t>
      </w:r>
      <w:r w:rsidRPr="00374E5C">
        <w:t>u’il</w:t>
      </w:r>
      <w:r w:rsidRPr="007B3D8E">
        <w:t xml:space="preserve"> est atteint d’une maladie professionnelle, soit une atteinte auditive causée par le bruit lui donnant droit aux prestations prévues à </w:t>
      </w:r>
      <w:r w:rsidRPr="00374E5C">
        <w:t>par</w:t>
      </w:r>
      <w:r w:rsidRPr="007B3D8E">
        <w:t xml:space="preserve"> la Loi.</w:t>
      </w:r>
    </w:p>
    <w:p w14:paraId="121345BF" w14:textId="77777777" w:rsidR="008619A5" w:rsidRPr="007B5B03" w:rsidRDefault="008619A5" w:rsidP="005127F4">
      <w:pPr>
        <w:pStyle w:val="corpsdedcision"/>
        <w:keepNext/>
        <w:numPr>
          <w:ilvl w:val="0"/>
          <w:numId w:val="0"/>
        </w:numPr>
        <w:spacing w:after="300"/>
      </w:pPr>
      <w:r w:rsidRPr="00D275E2">
        <w:rPr>
          <w:b/>
          <w:bCs/>
        </w:rPr>
        <w:t>PAR CES MOTIFS, LE TRIBUNAL ADMINISTRATIF DU TRAVAIL</w:t>
      </w:r>
      <w:r w:rsidRPr="007B5B03">
        <w:t> :</w:t>
      </w:r>
    </w:p>
    <w:p w14:paraId="0867661D" w14:textId="77777777" w:rsidR="008619A5" w:rsidRPr="007B5B03" w:rsidRDefault="008619A5" w:rsidP="005127F4">
      <w:pPr>
        <w:pStyle w:val="corpsdedcision"/>
        <w:keepNext/>
        <w:numPr>
          <w:ilvl w:val="0"/>
          <w:numId w:val="0"/>
        </w:numPr>
        <w:spacing w:after="300"/>
      </w:pPr>
      <w:r w:rsidRPr="004F5061">
        <w:rPr>
          <w:b/>
          <w:bCs/>
        </w:rPr>
        <w:t>ACCUEILLE</w:t>
      </w:r>
      <w:r w:rsidRPr="004F5061">
        <w:t xml:space="preserve"> la</w:t>
      </w:r>
      <w:r w:rsidRPr="007B5B03">
        <w:t xml:space="preserve"> contestation </w:t>
      </w:r>
      <w:r w:rsidRPr="00E3591B">
        <w:t xml:space="preserve">de monsieur </w:t>
      </w:r>
      <w:r>
        <w:t>Daniel Dumais</w:t>
      </w:r>
      <w:r w:rsidRPr="00E3591B">
        <w:t>, le</w:t>
      </w:r>
      <w:r>
        <w:t xml:space="preserve"> </w:t>
      </w:r>
      <w:r w:rsidRPr="007B5B03">
        <w:t>travailleur</w:t>
      </w:r>
      <w:r>
        <w:t> </w:t>
      </w:r>
      <w:r w:rsidRPr="007B5B03">
        <w:t>;</w:t>
      </w:r>
    </w:p>
    <w:p w14:paraId="01C52315" w14:textId="77777777" w:rsidR="008619A5" w:rsidRPr="007F6997" w:rsidRDefault="008619A5" w:rsidP="005127F4">
      <w:pPr>
        <w:spacing w:after="300"/>
        <w:jc w:val="both"/>
        <w:rPr>
          <w:rFonts w:cs="Arial"/>
          <w:bCs/>
          <w:color w:val="000000"/>
          <w:szCs w:val="24"/>
        </w:rPr>
      </w:pPr>
      <w:r w:rsidRPr="00225EC9">
        <w:rPr>
          <w:rFonts w:cs="Arial"/>
          <w:b/>
          <w:bCs/>
          <w:color w:val="000000"/>
          <w:szCs w:val="24"/>
        </w:rPr>
        <w:t xml:space="preserve">INFIRME </w:t>
      </w:r>
      <w:r w:rsidRPr="00225EC9">
        <w:rPr>
          <w:rFonts w:cs="Arial"/>
          <w:bCs/>
          <w:color w:val="000000"/>
          <w:szCs w:val="24"/>
        </w:rPr>
        <w:t>la décision de la Commission des normes, de l’équité, de la santé et de la sécurité du travail rendue le</w:t>
      </w:r>
      <w:r>
        <w:rPr>
          <w:rFonts w:cs="Arial"/>
          <w:bCs/>
          <w:color w:val="000000"/>
          <w:szCs w:val="24"/>
        </w:rPr>
        <w:t xml:space="preserve"> 16 décembre 2022 </w:t>
      </w:r>
      <w:r w:rsidRPr="00225EC9">
        <w:rPr>
          <w:rFonts w:cs="Arial"/>
          <w:bCs/>
          <w:color w:val="000000"/>
          <w:szCs w:val="24"/>
        </w:rPr>
        <w:t>à la suite d’une révision administrative;</w:t>
      </w:r>
    </w:p>
    <w:p w14:paraId="02DF871E" w14:textId="77777777" w:rsidR="008619A5" w:rsidRPr="00225EC9" w:rsidRDefault="008619A5" w:rsidP="005127F4">
      <w:pPr>
        <w:spacing w:after="300"/>
        <w:jc w:val="both"/>
        <w:rPr>
          <w:rFonts w:cs="Arial"/>
          <w:color w:val="000000"/>
          <w:szCs w:val="24"/>
        </w:rPr>
      </w:pPr>
      <w:r w:rsidRPr="00225EC9">
        <w:rPr>
          <w:rFonts w:cs="Arial"/>
          <w:b/>
          <w:bCs/>
          <w:color w:val="000000"/>
          <w:szCs w:val="24"/>
        </w:rPr>
        <w:t>DÉCLARE</w:t>
      </w:r>
      <w:r w:rsidRPr="00225EC9">
        <w:rPr>
          <w:rFonts w:cs="Arial"/>
          <w:color w:val="000000"/>
          <w:szCs w:val="24"/>
        </w:rPr>
        <w:t xml:space="preserve"> que </w:t>
      </w:r>
      <w:r>
        <w:rPr>
          <w:rFonts w:cs="Arial"/>
          <w:color w:val="000000"/>
          <w:szCs w:val="24"/>
        </w:rPr>
        <w:t>le travailleur</w:t>
      </w:r>
      <w:r w:rsidRPr="00225EC9">
        <w:rPr>
          <w:rFonts w:cs="Arial"/>
          <w:color w:val="000000"/>
          <w:szCs w:val="24"/>
        </w:rPr>
        <w:t xml:space="preserve"> est atteint d’une maladie professionnelle</w:t>
      </w:r>
      <w:r>
        <w:rPr>
          <w:rFonts w:cs="Arial"/>
          <w:color w:val="000000"/>
          <w:szCs w:val="24"/>
        </w:rPr>
        <w:t xml:space="preserve"> s’étant manifestée le 31 mai 2022;</w:t>
      </w:r>
    </w:p>
    <w:p w14:paraId="544F3D00" w14:textId="77777777" w:rsidR="008619A5" w:rsidRPr="00225EC9" w:rsidRDefault="008619A5" w:rsidP="0034408B">
      <w:pPr>
        <w:keepNext/>
        <w:spacing w:after="360"/>
        <w:jc w:val="both"/>
        <w:rPr>
          <w:rFonts w:cs="Arial"/>
          <w:color w:val="000000"/>
          <w:szCs w:val="24"/>
        </w:rPr>
      </w:pPr>
      <w:r w:rsidRPr="00225EC9">
        <w:rPr>
          <w:rFonts w:cs="Arial"/>
          <w:b/>
          <w:bCs/>
          <w:color w:val="000000"/>
          <w:szCs w:val="24"/>
        </w:rPr>
        <w:t>DÉCLARE</w:t>
      </w:r>
      <w:r w:rsidRPr="00225EC9">
        <w:rPr>
          <w:rFonts w:cs="Arial"/>
          <w:color w:val="000000"/>
          <w:szCs w:val="24"/>
        </w:rPr>
        <w:t xml:space="preserve"> que </w:t>
      </w:r>
      <w:r>
        <w:rPr>
          <w:rFonts w:cs="Arial"/>
          <w:color w:val="000000"/>
          <w:szCs w:val="24"/>
        </w:rPr>
        <w:t>le travailleur</w:t>
      </w:r>
      <w:r w:rsidRPr="00225EC9">
        <w:rPr>
          <w:rFonts w:cs="Arial"/>
          <w:color w:val="000000"/>
          <w:szCs w:val="24"/>
        </w:rPr>
        <w:t xml:space="preserve"> a droit aux prestations prévues par la </w:t>
      </w:r>
      <w:r w:rsidRPr="00225EC9">
        <w:rPr>
          <w:rFonts w:cs="Arial"/>
          <w:i/>
          <w:color w:val="000000"/>
          <w:szCs w:val="24"/>
        </w:rPr>
        <w:t>Loi sur les accidents du travail et les maladies professionnelles</w:t>
      </w:r>
      <w:r w:rsidRPr="00225EC9">
        <w:rPr>
          <w:rFonts w:cs="Arial"/>
          <w:color w:val="000000"/>
          <w:szCs w:val="24"/>
        </w:rPr>
        <w:t>.</w:t>
      </w:r>
    </w:p>
    <w:p w14:paraId="7EE41530" w14:textId="77777777" w:rsidR="008619A5" w:rsidRDefault="008619A5" w:rsidP="006E1E83">
      <w:pPr>
        <w:pStyle w:val="corpsdedcision"/>
        <w:numPr>
          <w:ilvl w:val="0"/>
          <w:numId w:val="0"/>
        </w:numPr>
      </w:pPr>
    </w:p>
    <w:tbl>
      <w:tblPr>
        <w:tblW w:w="9590" w:type="dxa"/>
        <w:tblLayout w:type="fixed"/>
        <w:tblCellMar>
          <w:left w:w="70" w:type="dxa"/>
          <w:right w:w="70" w:type="dxa"/>
        </w:tblCellMar>
        <w:tblLook w:val="0000" w:firstRow="0" w:lastRow="0" w:firstColumn="0" w:lastColumn="0" w:noHBand="0" w:noVBand="0"/>
      </w:tblPr>
      <w:tblGrid>
        <w:gridCol w:w="4795"/>
        <w:gridCol w:w="4795"/>
      </w:tblGrid>
      <w:tr w:rsidR="008619A5" w14:paraId="0937EA7C" w14:textId="77777777">
        <w:tc>
          <w:tcPr>
            <w:tcW w:w="4795" w:type="dxa"/>
          </w:tcPr>
          <w:p w14:paraId="0F0DD617" w14:textId="77777777" w:rsidR="008619A5" w:rsidRDefault="008619A5"/>
        </w:tc>
        <w:tc>
          <w:tcPr>
            <w:tcW w:w="4795" w:type="dxa"/>
          </w:tcPr>
          <w:p w14:paraId="20DAE961" w14:textId="77777777" w:rsidR="008619A5" w:rsidRDefault="008619A5">
            <w:r>
              <w:t>__________________________________</w:t>
            </w:r>
          </w:p>
        </w:tc>
      </w:tr>
      <w:tr w:rsidR="008619A5" w14:paraId="4C5143E6" w14:textId="77777777">
        <w:tc>
          <w:tcPr>
            <w:tcW w:w="4795" w:type="dxa"/>
          </w:tcPr>
          <w:p w14:paraId="412B4C05" w14:textId="77777777" w:rsidR="008619A5" w:rsidRDefault="008619A5"/>
        </w:tc>
        <w:tc>
          <w:tcPr>
            <w:tcW w:w="4795" w:type="dxa"/>
          </w:tcPr>
          <w:p w14:paraId="351045C4" w14:textId="77777777" w:rsidR="008619A5" w:rsidRDefault="008619A5">
            <w:r>
              <w:t>Ève-Stéphanie Sauvé</w:t>
            </w:r>
          </w:p>
        </w:tc>
      </w:tr>
      <w:tr w:rsidR="008619A5" w14:paraId="67F8E379" w14:textId="77777777">
        <w:trPr>
          <w:cantSplit/>
        </w:trPr>
        <w:tc>
          <w:tcPr>
            <w:tcW w:w="9590" w:type="dxa"/>
            <w:gridSpan w:val="2"/>
          </w:tcPr>
          <w:p w14:paraId="64A6A445" w14:textId="77777777" w:rsidR="008619A5" w:rsidRDefault="008619A5"/>
        </w:tc>
      </w:tr>
      <w:tr w:rsidR="008619A5" w14:paraId="52D7326B" w14:textId="77777777">
        <w:trPr>
          <w:cantSplit/>
        </w:trPr>
        <w:tc>
          <w:tcPr>
            <w:tcW w:w="9590" w:type="dxa"/>
            <w:gridSpan w:val="2"/>
          </w:tcPr>
          <w:p w14:paraId="523B9530" w14:textId="77777777" w:rsidR="008619A5" w:rsidRDefault="008619A5"/>
        </w:tc>
      </w:tr>
      <w:tr w:rsidR="008619A5" w14:paraId="7AFDA6A7" w14:textId="77777777">
        <w:trPr>
          <w:cantSplit/>
        </w:trPr>
        <w:tc>
          <w:tcPr>
            <w:tcW w:w="9590" w:type="dxa"/>
            <w:gridSpan w:val="2"/>
          </w:tcPr>
          <w:p w14:paraId="24B626DD" w14:textId="77777777" w:rsidR="008619A5" w:rsidRDefault="008619A5"/>
        </w:tc>
      </w:tr>
      <w:tr w:rsidR="008619A5" w14:paraId="48B50212" w14:textId="77777777">
        <w:trPr>
          <w:cantSplit/>
        </w:trPr>
        <w:tc>
          <w:tcPr>
            <w:tcW w:w="9590" w:type="dxa"/>
            <w:gridSpan w:val="2"/>
          </w:tcPr>
          <w:p w14:paraId="6FEF419C" w14:textId="77777777" w:rsidR="008619A5" w:rsidRPr="00627BDF" w:rsidRDefault="008619A5">
            <w:pPr>
              <w:pStyle w:val="zSoquijdatNomProcureurDem"/>
            </w:pPr>
            <w:r>
              <w:t>M</w:t>
            </w:r>
            <w:r w:rsidRPr="003B0671">
              <w:rPr>
                <w:vertAlign w:val="superscript"/>
              </w:rPr>
              <w:t>m</w:t>
            </w:r>
            <w:r>
              <w:rPr>
                <w:vertAlign w:val="superscript"/>
              </w:rPr>
              <w:t xml:space="preserve">e </w:t>
            </w:r>
            <w:r>
              <w:t>Marie-Luce Morin</w:t>
            </w:r>
          </w:p>
        </w:tc>
      </w:tr>
      <w:tr w:rsidR="008619A5" w14:paraId="74E84B7E" w14:textId="77777777">
        <w:trPr>
          <w:cantSplit/>
        </w:trPr>
        <w:tc>
          <w:tcPr>
            <w:tcW w:w="9590" w:type="dxa"/>
            <w:gridSpan w:val="2"/>
          </w:tcPr>
          <w:p w14:paraId="631D44E1" w14:textId="77777777" w:rsidR="008619A5" w:rsidRDefault="008619A5">
            <w:pPr>
              <w:pStyle w:val="zSoquijdatNomProcureurDem"/>
            </w:pPr>
            <w:r>
              <w:t>S.E.P.B. QUÉBEC</w:t>
            </w:r>
          </w:p>
        </w:tc>
      </w:tr>
      <w:tr w:rsidR="008619A5" w14:paraId="70B81F83" w14:textId="77777777">
        <w:trPr>
          <w:cantSplit/>
        </w:trPr>
        <w:tc>
          <w:tcPr>
            <w:tcW w:w="9590" w:type="dxa"/>
            <w:gridSpan w:val="2"/>
          </w:tcPr>
          <w:p w14:paraId="0EA52639" w14:textId="77777777" w:rsidR="008619A5" w:rsidRDefault="008619A5">
            <w:pPr>
              <w:pStyle w:val="zSoquijdatCabinetProcureurDem"/>
            </w:pPr>
            <w:r>
              <w:t>Pour la demanderesse</w:t>
            </w:r>
          </w:p>
        </w:tc>
      </w:tr>
      <w:tr w:rsidR="008619A5" w14:paraId="5C5C8891" w14:textId="77777777">
        <w:trPr>
          <w:cantSplit/>
        </w:trPr>
        <w:tc>
          <w:tcPr>
            <w:tcW w:w="9590" w:type="dxa"/>
            <w:gridSpan w:val="2"/>
          </w:tcPr>
          <w:p w14:paraId="629DD761" w14:textId="77777777" w:rsidR="008619A5" w:rsidRDefault="008619A5">
            <w:pPr>
              <w:pStyle w:val="zSoquijdatCabinetProcureurDem"/>
            </w:pPr>
          </w:p>
        </w:tc>
      </w:tr>
      <w:tr w:rsidR="008619A5" w14:paraId="66F63745" w14:textId="77777777">
        <w:trPr>
          <w:cantSplit/>
        </w:trPr>
        <w:tc>
          <w:tcPr>
            <w:tcW w:w="9590" w:type="dxa"/>
            <w:gridSpan w:val="2"/>
          </w:tcPr>
          <w:p w14:paraId="64F004D4" w14:textId="77777777" w:rsidR="008619A5" w:rsidRPr="00627BDF" w:rsidRDefault="008619A5">
            <w:pPr>
              <w:pStyle w:val="zSoquijdatCabinetProcureurDem"/>
            </w:pPr>
            <w:r>
              <w:t>M</w:t>
            </w:r>
            <w:r>
              <w:rPr>
                <w:vertAlign w:val="superscript"/>
              </w:rPr>
              <w:t>e</w:t>
            </w:r>
            <w:r>
              <w:t xml:space="preserve"> Janie-Pier Joyal</w:t>
            </w:r>
          </w:p>
        </w:tc>
      </w:tr>
      <w:tr w:rsidR="008619A5" w:rsidRPr="005C537C" w14:paraId="0B0710B0" w14:textId="77777777">
        <w:trPr>
          <w:cantSplit/>
        </w:trPr>
        <w:tc>
          <w:tcPr>
            <w:tcW w:w="9590" w:type="dxa"/>
            <w:gridSpan w:val="2"/>
          </w:tcPr>
          <w:p w14:paraId="0EB32E62" w14:textId="77777777" w:rsidR="008619A5" w:rsidRPr="00627BDF" w:rsidRDefault="008619A5">
            <w:pPr>
              <w:pStyle w:val="zSoquijdatCabinetProcureurDem"/>
              <w:rPr>
                <w:lang w:val="en-CA"/>
              </w:rPr>
            </w:pPr>
            <w:r w:rsidRPr="00627BDF">
              <w:rPr>
                <w:lang w:val="en-CA"/>
              </w:rPr>
              <w:t>MONETTE BARAKETT, S.E.N</w:t>
            </w:r>
            <w:r>
              <w:rPr>
                <w:lang w:val="en-CA"/>
              </w:rPr>
              <w:t>.C.</w:t>
            </w:r>
          </w:p>
        </w:tc>
      </w:tr>
      <w:tr w:rsidR="008619A5" w:rsidRPr="00627BDF" w14:paraId="1708ADD3" w14:textId="77777777">
        <w:trPr>
          <w:cantSplit/>
        </w:trPr>
        <w:tc>
          <w:tcPr>
            <w:tcW w:w="9590" w:type="dxa"/>
            <w:gridSpan w:val="2"/>
          </w:tcPr>
          <w:p w14:paraId="2917F46C" w14:textId="77777777" w:rsidR="008619A5" w:rsidRPr="00627BDF" w:rsidRDefault="008619A5">
            <w:pPr>
              <w:pStyle w:val="zSoquijdatCabinetProcureurDem"/>
            </w:pPr>
            <w:r w:rsidRPr="00627BDF">
              <w:t>Pour la mise en c</w:t>
            </w:r>
            <w:r>
              <w:t>ause</w:t>
            </w:r>
          </w:p>
        </w:tc>
      </w:tr>
      <w:tr w:rsidR="008619A5" w:rsidRPr="00627BDF" w14:paraId="22589AB3" w14:textId="77777777">
        <w:trPr>
          <w:cantSplit/>
        </w:trPr>
        <w:tc>
          <w:tcPr>
            <w:tcW w:w="9590" w:type="dxa"/>
            <w:gridSpan w:val="2"/>
          </w:tcPr>
          <w:p w14:paraId="43014248" w14:textId="77777777" w:rsidR="008619A5" w:rsidRPr="00627BDF" w:rsidRDefault="008619A5"/>
        </w:tc>
      </w:tr>
      <w:tr w:rsidR="008619A5" w14:paraId="2234A9E7" w14:textId="77777777">
        <w:trPr>
          <w:cantSplit/>
        </w:trPr>
        <w:tc>
          <w:tcPr>
            <w:tcW w:w="9590" w:type="dxa"/>
            <w:gridSpan w:val="2"/>
          </w:tcPr>
          <w:p w14:paraId="3C339700" w14:textId="77777777" w:rsidR="008619A5" w:rsidRDefault="008619A5" w:rsidP="000E56A6">
            <w:pPr>
              <w:pStyle w:val="zSoquijdatDateAudience"/>
            </w:pPr>
            <w:bookmarkStart w:id="15" w:name="Date_derniere_audience"/>
            <w:bookmarkEnd w:id="15"/>
            <w:r>
              <w:t>Date de la mise en délibéré :</w:t>
            </w:r>
            <w:r>
              <w:tab/>
              <w:t>28 mars 2025</w:t>
            </w:r>
          </w:p>
        </w:tc>
      </w:tr>
    </w:tbl>
    <w:p w14:paraId="5966C0A8" w14:textId="77777777" w:rsidR="008619A5" w:rsidRDefault="008619A5" w:rsidP="002542E0">
      <w:pPr>
        <w:pStyle w:val="corpsdedcision"/>
        <w:numPr>
          <w:ilvl w:val="0"/>
          <w:numId w:val="0"/>
        </w:numPr>
        <w:tabs>
          <w:tab w:val="clear" w:pos="720"/>
        </w:tabs>
      </w:pPr>
    </w:p>
    <w:p w14:paraId="40EDE2FF" w14:textId="77777777" w:rsidR="00F576E7" w:rsidRPr="00441ADA" w:rsidRDefault="00F576E7" w:rsidP="00CF05CC"/>
    <w:sectPr w:rsidR="00F576E7" w:rsidRPr="00441ADA" w:rsidSect="008619A5">
      <w:headerReference w:type="default" r:id="rId10"/>
      <w:pgSz w:w="12240" w:h="15840" w:code="1"/>
      <w:pgMar w:top="1152" w:right="1440" w:bottom="1440" w:left="1440" w:header="706" w:footer="706"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92F2073" w14:textId="77777777" w:rsidR="00546554" w:rsidRDefault="00546554">
      <w:r>
        <w:separator/>
      </w:r>
    </w:p>
  </w:endnote>
  <w:endnote w:type="continuationSeparator" w:id="0">
    <w:p w14:paraId="44CBDC69" w14:textId="77777777" w:rsidR="00546554" w:rsidRDefault="005465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9E2F989" w14:textId="77777777" w:rsidR="00546554" w:rsidRDefault="00546554">
      <w:r>
        <w:separator/>
      </w:r>
    </w:p>
  </w:footnote>
  <w:footnote w:type="continuationSeparator" w:id="0">
    <w:p w14:paraId="46675F4D" w14:textId="77777777" w:rsidR="00546554" w:rsidRDefault="00546554">
      <w:r>
        <w:continuationSeparator/>
      </w:r>
    </w:p>
  </w:footnote>
  <w:footnote w:id="1">
    <w:p w14:paraId="55F9E0A5" w14:textId="77777777" w:rsidR="008619A5" w:rsidRPr="00DD5CCF" w:rsidRDefault="008619A5" w:rsidP="002A7E9B">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DD5CCF">
        <w:rPr>
          <w:rFonts w:cs="Arial"/>
          <w:sz w:val="20"/>
        </w:rPr>
        <w:t>Décision de la Commission du 16 décembre 2022, rendue à la suite d’une révision administrative.</w:t>
      </w:r>
    </w:p>
  </w:footnote>
  <w:footnote w:id="2">
    <w:p w14:paraId="6E2BFE31" w14:textId="77777777" w:rsidR="008619A5" w:rsidRPr="003B0671" w:rsidRDefault="008619A5" w:rsidP="00EC5772">
      <w:pPr>
        <w:pStyle w:val="Notedebasdepage"/>
        <w:tabs>
          <w:tab w:val="left" w:pos="720"/>
        </w:tabs>
        <w:ind w:left="720" w:hanging="720"/>
        <w:jc w:val="both"/>
        <w:rPr>
          <w:rFonts w:cs="Arial"/>
          <w:sz w:val="20"/>
        </w:rPr>
      </w:pPr>
      <w:r w:rsidRPr="003B0671">
        <w:rPr>
          <w:rStyle w:val="Appelnotedebasdep"/>
        </w:rPr>
        <w:footnoteRef/>
      </w:r>
      <w:r w:rsidRPr="003B0671">
        <w:t xml:space="preserve"> </w:t>
      </w:r>
      <w:r w:rsidRPr="003B0671">
        <w:rPr>
          <w:rFonts w:cs="Arial"/>
          <w:sz w:val="20"/>
        </w:rPr>
        <w:tab/>
        <w:t>Attestation médicale du docteur Youssef Haikal du 31 mai 2022.</w:t>
      </w:r>
    </w:p>
  </w:footnote>
  <w:footnote w:id="3">
    <w:p w14:paraId="28C39F5B" w14:textId="77777777" w:rsidR="008619A5" w:rsidRPr="003B0671" w:rsidRDefault="008619A5" w:rsidP="00EC5772">
      <w:pPr>
        <w:pStyle w:val="Notedebasdepage"/>
        <w:tabs>
          <w:tab w:val="left" w:pos="720"/>
        </w:tabs>
        <w:ind w:left="720" w:hanging="720"/>
        <w:jc w:val="both"/>
        <w:rPr>
          <w:rFonts w:cs="Arial"/>
          <w:sz w:val="20"/>
        </w:rPr>
      </w:pPr>
      <w:r w:rsidRPr="003B0671">
        <w:rPr>
          <w:rStyle w:val="Appelnotedebasdep"/>
        </w:rPr>
        <w:footnoteRef/>
      </w:r>
      <w:r w:rsidRPr="003B0671">
        <w:t xml:space="preserve"> </w:t>
      </w:r>
      <w:r w:rsidRPr="003B0671">
        <w:rPr>
          <w:rFonts w:cs="Arial"/>
          <w:sz w:val="20"/>
        </w:rPr>
        <w:tab/>
        <w:t>RLRQ, c. A-3.001.</w:t>
      </w:r>
    </w:p>
  </w:footnote>
  <w:footnote w:id="4">
    <w:p w14:paraId="73C51BC8" w14:textId="77777777" w:rsidR="008619A5" w:rsidRPr="003B0671" w:rsidRDefault="008619A5" w:rsidP="00EC5772">
      <w:pPr>
        <w:pStyle w:val="Notedebasdepage"/>
        <w:tabs>
          <w:tab w:val="left" w:pos="720"/>
        </w:tabs>
        <w:ind w:left="720" w:hanging="720"/>
        <w:jc w:val="both"/>
        <w:rPr>
          <w:rFonts w:cs="Arial"/>
          <w:sz w:val="20"/>
        </w:rPr>
      </w:pPr>
      <w:r w:rsidRPr="003B0671">
        <w:rPr>
          <w:rStyle w:val="Appelnotedebasdep"/>
        </w:rPr>
        <w:footnoteRef/>
      </w:r>
      <w:r w:rsidRPr="003B0671">
        <w:t xml:space="preserve"> </w:t>
      </w:r>
      <w:r w:rsidRPr="003B0671">
        <w:rPr>
          <w:rFonts w:cs="Arial"/>
          <w:sz w:val="20"/>
        </w:rPr>
        <w:tab/>
        <w:t>Art. 224 et 358 de la Loi</w:t>
      </w:r>
      <w:r w:rsidRPr="00DD5CCF">
        <w:rPr>
          <w:rFonts w:cs="Arial"/>
          <w:sz w:val="20"/>
        </w:rPr>
        <w:t>.</w:t>
      </w:r>
    </w:p>
  </w:footnote>
  <w:footnote w:id="5">
    <w:p w14:paraId="6BC7AA8F" w14:textId="77777777" w:rsidR="008619A5" w:rsidRPr="00596265" w:rsidRDefault="008619A5" w:rsidP="00596265">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Article 2 de la Loi.</w:t>
      </w:r>
    </w:p>
  </w:footnote>
  <w:footnote w:id="6">
    <w:p w14:paraId="65E72728" w14:textId="77777777" w:rsidR="008619A5" w:rsidRPr="00522BB5" w:rsidRDefault="008619A5">
      <w:pPr>
        <w:pStyle w:val="Notedebasdepage"/>
      </w:pPr>
      <w:r w:rsidRPr="003B0671">
        <w:rPr>
          <w:rStyle w:val="Appelnotedebasdep"/>
          <w:szCs w:val="24"/>
        </w:rPr>
        <w:footnoteRef/>
      </w:r>
      <w:r w:rsidRPr="003B0671">
        <w:rPr>
          <w:szCs w:val="24"/>
        </w:rPr>
        <w:t xml:space="preserve"> </w:t>
      </w:r>
      <w:r w:rsidRPr="00522BB5">
        <w:rPr>
          <w:sz w:val="20"/>
          <w:szCs w:val="16"/>
        </w:rPr>
        <w:tab/>
      </w:r>
      <w:r w:rsidRPr="00522BB5">
        <w:rPr>
          <w:i/>
          <w:iCs/>
          <w:sz w:val="20"/>
          <w:szCs w:val="16"/>
        </w:rPr>
        <w:t>Id</w:t>
      </w:r>
      <w:r w:rsidRPr="00522BB5">
        <w:rPr>
          <w:sz w:val="20"/>
          <w:szCs w:val="16"/>
        </w:rPr>
        <w:t>.</w:t>
      </w:r>
    </w:p>
  </w:footnote>
  <w:footnote w:id="7">
    <w:p w14:paraId="6FD6296E" w14:textId="77777777" w:rsidR="008619A5" w:rsidRPr="00522BB5" w:rsidRDefault="008619A5">
      <w:pPr>
        <w:pStyle w:val="Notedebasdepage"/>
      </w:pPr>
      <w:r>
        <w:rPr>
          <w:rStyle w:val="Appelnotedebasdep"/>
        </w:rPr>
        <w:footnoteRef/>
      </w:r>
      <w:r w:rsidRPr="00522BB5">
        <w:t xml:space="preserve"> </w:t>
      </w:r>
      <w:r w:rsidRPr="00522BB5">
        <w:tab/>
      </w:r>
      <w:r w:rsidRPr="00522BB5">
        <w:rPr>
          <w:sz w:val="20"/>
        </w:rPr>
        <w:t>L.Q. 2021, c. 27.</w:t>
      </w:r>
    </w:p>
  </w:footnote>
  <w:footnote w:id="8">
    <w:p w14:paraId="0600637D" w14:textId="77777777" w:rsidR="008619A5" w:rsidRPr="00522BB5" w:rsidRDefault="008619A5" w:rsidP="00065E72">
      <w:pPr>
        <w:pStyle w:val="Notedebasdepage"/>
        <w:tabs>
          <w:tab w:val="left" w:pos="720"/>
        </w:tabs>
        <w:ind w:left="720" w:hanging="720"/>
        <w:jc w:val="both"/>
        <w:rPr>
          <w:rFonts w:cs="Arial"/>
          <w:sz w:val="20"/>
        </w:rPr>
      </w:pPr>
      <w:r>
        <w:rPr>
          <w:rStyle w:val="Appelnotedebasdep"/>
        </w:rPr>
        <w:footnoteRef/>
      </w:r>
      <w:r w:rsidRPr="00522BB5">
        <w:t xml:space="preserve"> </w:t>
      </w:r>
      <w:r w:rsidRPr="00522BB5">
        <w:rPr>
          <w:rFonts w:cs="Arial"/>
          <w:sz w:val="20"/>
        </w:rPr>
        <w:tab/>
        <w:t>RLRQ c. A-3.001, r</w:t>
      </w:r>
      <w:r>
        <w:rPr>
          <w:rFonts w:cs="Arial"/>
          <w:sz w:val="20"/>
        </w:rPr>
        <w:t>.</w:t>
      </w:r>
      <w:r w:rsidRPr="00522BB5">
        <w:rPr>
          <w:rFonts w:cs="Arial"/>
          <w:sz w:val="20"/>
        </w:rPr>
        <w:t xml:space="preserve"> 8.1.</w:t>
      </w:r>
    </w:p>
  </w:footnote>
  <w:footnote w:id="9">
    <w:p w14:paraId="57F57612" w14:textId="77777777" w:rsidR="008619A5" w:rsidRPr="00065E72" w:rsidRDefault="008619A5" w:rsidP="00065E72">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3B0671">
        <w:rPr>
          <w:rFonts w:cs="Arial"/>
          <w:i/>
          <w:iCs/>
          <w:sz w:val="20"/>
        </w:rPr>
        <w:t>Tadros</w:t>
      </w:r>
      <w:r>
        <w:rPr>
          <w:rFonts w:cs="Arial"/>
          <w:sz w:val="20"/>
        </w:rPr>
        <w:t xml:space="preserve"> et </w:t>
      </w:r>
      <w:r w:rsidRPr="003B0671">
        <w:rPr>
          <w:rFonts w:cs="Arial"/>
          <w:i/>
          <w:iCs/>
          <w:sz w:val="20"/>
        </w:rPr>
        <w:t>Bombardier inc. (Bombardier Aérospace)</w:t>
      </w:r>
      <w:r>
        <w:rPr>
          <w:rFonts w:cs="Arial"/>
          <w:sz w:val="20"/>
        </w:rPr>
        <w:t>, 2022 QCTAT 3528, par. 21.</w:t>
      </w:r>
    </w:p>
  </w:footnote>
  <w:footnote w:id="10">
    <w:p w14:paraId="7EBF6B33" w14:textId="77777777" w:rsidR="008619A5" w:rsidRPr="00065E72" w:rsidRDefault="008619A5" w:rsidP="00065E72">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3B0671">
        <w:rPr>
          <w:sz w:val="20"/>
        </w:rPr>
        <w:t>2023 QCTAT 557</w:t>
      </w:r>
      <w:r>
        <w:t>.</w:t>
      </w:r>
    </w:p>
  </w:footnote>
  <w:footnote w:id="11">
    <w:p w14:paraId="10807B7E" w14:textId="77777777" w:rsidR="008619A5" w:rsidRPr="00065E72" w:rsidRDefault="008619A5" w:rsidP="00065E72">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3B0671">
        <w:rPr>
          <w:rFonts w:cs="Arial"/>
          <w:i/>
          <w:iCs/>
          <w:sz w:val="20"/>
        </w:rPr>
        <w:t>Tadros</w:t>
      </w:r>
      <w:r>
        <w:rPr>
          <w:rFonts w:cs="Arial"/>
          <w:sz w:val="20"/>
        </w:rPr>
        <w:t xml:space="preserve"> et </w:t>
      </w:r>
      <w:r w:rsidRPr="003B0671">
        <w:rPr>
          <w:rFonts w:cs="Arial"/>
          <w:i/>
          <w:iCs/>
          <w:sz w:val="20"/>
        </w:rPr>
        <w:t>Bombardier inc.</w:t>
      </w:r>
      <w:r>
        <w:rPr>
          <w:rFonts w:cs="Arial"/>
          <w:i/>
          <w:iCs/>
          <w:sz w:val="20"/>
        </w:rPr>
        <w:t xml:space="preserve"> </w:t>
      </w:r>
      <w:r w:rsidRPr="00BB660A">
        <w:rPr>
          <w:rFonts w:cs="Arial"/>
          <w:i/>
          <w:iCs/>
          <w:sz w:val="20"/>
        </w:rPr>
        <w:t>(Bombardier Aérospace)</w:t>
      </w:r>
      <w:r>
        <w:rPr>
          <w:rFonts w:cs="Arial"/>
          <w:sz w:val="20"/>
        </w:rPr>
        <w:t xml:space="preserve">, précité note 9; </w:t>
      </w:r>
      <w:r w:rsidRPr="00643643">
        <w:rPr>
          <w:rFonts w:cs="Arial"/>
          <w:i/>
          <w:sz w:val="20"/>
        </w:rPr>
        <w:t>Rousseau</w:t>
      </w:r>
      <w:r w:rsidRPr="00B42879">
        <w:rPr>
          <w:rFonts w:cs="Arial"/>
          <w:sz w:val="20"/>
        </w:rPr>
        <w:t>, 2023 QCTAT 24</w:t>
      </w:r>
      <w:r>
        <w:rPr>
          <w:rFonts w:cs="Arial"/>
          <w:sz w:val="20"/>
        </w:rPr>
        <w:t xml:space="preserve">; </w:t>
      </w:r>
      <w:r w:rsidRPr="00BB660A">
        <w:rPr>
          <w:i/>
          <w:iCs/>
          <w:sz w:val="20"/>
        </w:rPr>
        <w:t>Pelletier</w:t>
      </w:r>
      <w:r w:rsidRPr="00BB660A">
        <w:rPr>
          <w:sz w:val="20"/>
        </w:rPr>
        <w:t xml:space="preserve"> et </w:t>
      </w:r>
      <w:r w:rsidRPr="00BB660A">
        <w:rPr>
          <w:i/>
          <w:iCs/>
          <w:sz w:val="20"/>
        </w:rPr>
        <w:t>Thiro Construction ltée</w:t>
      </w:r>
      <w:r w:rsidRPr="00BB660A">
        <w:rPr>
          <w:sz w:val="20"/>
        </w:rPr>
        <w:t>,</w:t>
      </w:r>
      <w:r>
        <w:rPr>
          <w:sz w:val="20"/>
        </w:rPr>
        <w:t xml:space="preserve"> </w:t>
      </w:r>
      <w:r w:rsidRPr="00BB660A">
        <w:rPr>
          <w:sz w:val="20"/>
        </w:rPr>
        <w:t>précité</w:t>
      </w:r>
      <w:r>
        <w:rPr>
          <w:sz w:val="20"/>
        </w:rPr>
        <w:t>e,</w:t>
      </w:r>
      <w:r w:rsidRPr="00BB660A">
        <w:rPr>
          <w:sz w:val="20"/>
        </w:rPr>
        <w:t xml:space="preserve"> note 10</w:t>
      </w:r>
      <w:r>
        <w:rPr>
          <w:sz w:val="20"/>
        </w:rPr>
        <w:t xml:space="preserve">; </w:t>
      </w:r>
      <w:r w:rsidRPr="003B0671">
        <w:rPr>
          <w:rFonts w:cs="Arial"/>
          <w:i/>
          <w:iCs/>
          <w:sz w:val="20"/>
        </w:rPr>
        <w:t>Robert</w:t>
      </w:r>
      <w:r w:rsidRPr="00F47C9E">
        <w:rPr>
          <w:rFonts w:cs="Arial"/>
          <w:sz w:val="20"/>
        </w:rPr>
        <w:t xml:space="preserve"> et </w:t>
      </w:r>
      <w:r w:rsidRPr="003B0671">
        <w:rPr>
          <w:rFonts w:cs="Arial"/>
          <w:i/>
          <w:iCs/>
          <w:sz w:val="20"/>
        </w:rPr>
        <w:t>Société canadienne des postes</w:t>
      </w:r>
      <w:r>
        <w:rPr>
          <w:rFonts w:cs="Arial"/>
          <w:i/>
          <w:iCs/>
          <w:sz w:val="20"/>
        </w:rPr>
        <w:t>,</w:t>
      </w:r>
      <w:r>
        <w:rPr>
          <w:rFonts w:cs="Arial"/>
          <w:sz w:val="20"/>
        </w:rPr>
        <w:t xml:space="preserve"> 2023 QCTAT</w:t>
      </w:r>
      <w:r w:rsidRPr="003B0671">
        <w:rPr>
          <w:rFonts w:cs="Arial"/>
          <w:i/>
          <w:iCs/>
          <w:sz w:val="20"/>
        </w:rPr>
        <w:t xml:space="preserve"> </w:t>
      </w:r>
      <w:r w:rsidRPr="00FC5B42">
        <w:rPr>
          <w:rFonts w:cs="Arial"/>
          <w:sz w:val="20"/>
        </w:rPr>
        <w:t>2191</w:t>
      </w:r>
      <w:r w:rsidRPr="003B0671">
        <w:rPr>
          <w:sz w:val="20"/>
        </w:rPr>
        <w:t>.</w:t>
      </w:r>
    </w:p>
  </w:footnote>
  <w:footnote w:id="12">
    <w:p w14:paraId="2C0E3CE8" w14:textId="77777777" w:rsidR="008619A5" w:rsidRPr="0003010A" w:rsidRDefault="008619A5" w:rsidP="0003010A">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2012 QCCLP 7859, voir aussi </w:t>
      </w:r>
      <w:r w:rsidRPr="0003010A">
        <w:rPr>
          <w:rFonts w:cs="Arial"/>
          <w:i/>
          <w:iCs/>
          <w:sz w:val="20"/>
        </w:rPr>
        <w:t>Burelle</w:t>
      </w:r>
      <w:r>
        <w:rPr>
          <w:rFonts w:cs="Arial"/>
          <w:sz w:val="20"/>
        </w:rPr>
        <w:t xml:space="preserve"> et </w:t>
      </w:r>
      <w:r w:rsidRPr="0003010A">
        <w:rPr>
          <w:rFonts w:cs="Arial"/>
          <w:i/>
          <w:iCs/>
          <w:sz w:val="20"/>
        </w:rPr>
        <w:t>Beloeil (Ville de)</w:t>
      </w:r>
      <w:r>
        <w:rPr>
          <w:rFonts w:cs="Arial"/>
          <w:sz w:val="20"/>
        </w:rPr>
        <w:t xml:space="preserve">, 2012 QCCLP 1485; </w:t>
      </w:r>
      <w:r w:rsidRPr="0003010A">
        <w:rPr>
          <w:rFonts w:cs="Arial"/>
          <w:i/>
          <w:iCs/>
          <w:sz w:val="20"/>
        </w:rPr>
        <w:t>St-Pierre</w:t>
      </w:r>
      <w:r>
        <w:rPr>
          <w:rFonts w:cs="Arial"/>
          <w:sz w:val="20"/>
        </w:rPr>
        <w:t xml:space="preserve">, 2012 QCCLP 4819; </w:t>
      </w:r>
      <w:r w:rsidRPr="0003010A">
        <w:rPr>
          <w:rFonts w:cs="Arial"/>
          <w:i/>
          <w:iCs/>
          <w:sz w:val="20"/>
        </w:rPr>
        <w:t>Compagnie de chemin de fer Canadien Pacifique</w:t>
      </w:r>
      <w:r>
        <w:rPr>
          <w:rFonts w:cs="Arial"/>
          <w:sz w:val="20"/>
        </w:rPr>
        <w:t xml:space="preserve"> et </w:t>
      </w:r>
      <w:r w:rsidRPr="0003010A">
        <w:rPr>
          <w:rFonts w:cs="Arial"/>
          <w:i/>
          <w:iCs/>
          <w:sz w:val="20"/>
        </w:rPr>
        <w:t>Loranger</w:t>
      </w:r>
      <w:r>
        <w:rPr>
          <w:rFonts w:cs="Arial"/>
          <w:sz w:val="20"/>
        </w:rPr>
        <w:t>, 2020 QCTAT 3003.</w:t>
      </w:r>
    </w:p>
  </w:footnote>
  <w:footnote w:id="13">
    <w:p w14:paraId="39436999" w14:textId="77777777" w:rsidR="008619A5" w:rsidRPr="00E808A2" w:rsidRDefault="008619A5" w:rsidP="00313FBA">
      <w:pPr>
        <w:pStyle w:val="Notedebasdepage"/>
        <w:tabs>
          <w:tab w:val="left" w:pos="720"/>
        </w:tabs>
        <w:ind w:left="720" w:hanging="720"/>
        <w:jc w:val="both"/>
        <w:rPr>
          <w:rFonts w:cs="Arial"/>
          <w:sz w:val="20"/>
        </w:rPr>
      </w:pPr>
      <w:r w:rsidRPr="003B0671">
        <w:rPr>
          <w:rStyle w:val="Appelnotedebasdep"/>
          <w:rFonts w:cs="Arial"/>
          <w:szCs w:val="24"/>
        </w:rPr>
        <w:footnoteRef/>
      </w:r>
      <w:r w:rsidRPr="007703A5">
        <w:rPr>
          <w:rFonts w:cs="Arial"/>
          <w:sz w:val="20"/>
        </w:rPr>
        <w:t xml:space="preserve"> </w:t>
      </w:r>
      <w:r w:rsidRPr="007703A5">
        <w:rPr>
          <w:rFonts w:cs="Arial"/>
          <w:sz w:val="20"/>
        </w:rPr>
        <w:tab/>
      </w:r>
      <w:r w:rsidRPr="007703A5">
        <w:rPr>
          <w:rFonts w:cs="Arial"/>
          <w:i/>
          <w:sz w:val="20"/>
        </w:rPr>
        <w:t>Multitemp ltée</w:t>
      </w:r>
      <w:r w:rsidRPr="007703A5">
        <w:rPr>
          <w:rFonts w:cs="Arial"/>
          <w:sz w:val="20"/>
        </w:rPr>
        <w:t xml:space="preserve"> et </w:t>
      </w:r>
      <w:r w:rsidRPr="007703A5">
        <w:rPr>
          <w:rFonts w:cs="Arial"/>
          <w:i/>
          <w:sz w:val="20"/>
        </w:rPr>
        <w:t>Taing</w:t>
      </w:r>
      <w:r w:rsidRPr="007703A5">
        <w:rPr>
          <w:rFonts w:cs="Arial"/>
          <w:sz w:val="20"/>
        </w:rPr>
        <w:t xml:space="preserve">, 2011 QCCLP 4531; </w:t>
      </w:r>
      <w:r w:rsidRPr="007703A5">
        <w:rPr>
          <w:rFonts w:cs="Arial"/>
          <w:i/>
          <w:sz w:val="20"/>
        </w:rPr>
        <w:t>STM</w:t>
      </w:r>
      <w:r w:rsidRPr="007703A5">
        <w:rPr>
          <w:rFonts w:cs="Arial"/>
          <w:sz w:val="20"/>
        </w:rPr>
        <w:t xml:space="preserve"> et </w:t>
      </w:r>
      <w:r w:rsidRPr="007703A5">
        <w:rPr>
          <w:rFonts w:cs="Arial"/>
          <w:i/>
          <w:sz w:val="20"/>
        </w:rPr>
        <w:t>Marcil</w:t>
      </w:r>
      <w:r w:rsidRPr="007703A5">
        <w:rPr>
          <w:rFonts w:cs="Arial"/>
          <w:sz w:val="20"/>
        </w:rPr>
        <w:t>, 2016 QCTAT 419.</w:t>
      </w:r>
    </w:p>
  </w:footnote>
  <w:footnote w:id="14">
    <w:p w14:paraId="6A36D9D6" w14:textId="77777777" w:rsidR="008619A5" w:rsidRPr="00E808A2" w:rsidRDefault="008619A5" w:rsidP="00313FBA">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A6040A">
        <w:rPr>
          <w:rFonts w:cs="Arial"/>
          <w:i/>
          <w:iCs/>
          <w:sz w:val="20"/>
        </w:rPr>
        <w:t>Rodrigue</w:t>
      </w:r>
      <w:r>
        <w:rPr>
          <w:rFonts w:cs="Arial"/>
          <w:sz w:val="20"/>
        </w:rPr>
        <w:t xml:space="preserve"> et </w:t>
      </w:r>
      <w:r w:rsidRPr="00A6040A">
        <w:rPr>
          <w:rFonts w:cs="Arial"/>
          <w:i/>
          <w:iCs/>
          <w:sz w:val="20"/>
        </w:rPr>
        <w:t>Telus Communications inc</w:t>
      </w:r>
      <w:r>
        <w:rPr>
          <w:rFonts w:cs="Arial"/>
          <w:sz w:val="20"/>
        </w:rPr>
        <w:t xml:space="preserve">., 2016 QCTAT 6627; </w:t>
      </w:r>
      <w:r w:rsidRPr="00E808A2">
        <w:rPr>
          <w:i/>
          <w:sz w:val="20"/>
        </w:rPr>
        <w:t xml:space="preserve">Cloutier </w:t>
      </w:r>
      <w:r w:rsidRPr="00A6040A">
        <w:rPr>
          <w:iCs/>
          <w:sz w:val="20"/>
        </w:rPr>
        <w:t>et</w:t>
      </w:r>
      <w:r w:rsidRPr="00E808A2">
        <w:rPr>
          <w:i/>
          <w:sz w:val="20"/>
        </w:rPr>
        <w:t xml:space="preserve"> Germain Cloutier Transport, </w:t>
      </w:r>
      <w:r w:rsidRPr="00A6040A">
        <w:rPr>
          <w:iCs/>
          <w:sz w:val="20"/>
        </w:rPr>
        <w:t>2019 QCTAT 2570</w:t>
      </w:r>
      <w:r w:rsidRPr="003B0671">
        <w:rPr>
          <w:iCs/>
          <w:sz w:val="20"/>
        </w:rPr>
        <w:t>;</w:t>
      </w:r>
      <w:r w:rsidRPr="00E808A2">
        <w:rPr>
          <w:i/>
          <w:sz w:val="20"/>
        </w:rPr>
        <w:t xml:space="preserve"> Rivard</w:t>
      </w:r>
      <w:r w:rsidRPr="00B60100">
        <w:rPr>
          <w:iCs/>
          <w:sz w:val="20"/>
        </w:rPr>
        <w:t>,</w:t>
      </w:r>
      <w:r w:rsidRPr="00E808A2">
        <w:rPr>
          <w:i/>
          <w:sz w:val="20"/>
        </w:rPr>
        <w:t xml:space="preserve"> </w:t>
      </w:r>
      <w:r w:rsidRPr="00A6040A">
        <w:rPr>
          <w:iCs/>
          <w:sz w:val="20"/>
        </w:rPr>
        <w:t>2021 QCTAT 1068</w:t>
      </w:r>
      <w:r w:rsidRPr="00E808A2">
        <w:rPr>
          <w:i/>
          <w:sz w:val="20"/>
        </w:rPr>
        <w:t>.</w:t>
      </w:r>
    </w:p>
  </w:footnote>
  <w:footnote w:id="15">
    <w:p w14:paraId="554FDCFA" w14:textId="77777777" w:rsidR="008619A5" w:rsidRPr="00423A87" w:rsidRDefault="008619A5" w:rsidP="00313FBA">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423A87">
        <w:rPr>
          <w:rFonts w:cs="Arial"/>
          <w:i/>
          <w:iCs/>
          <w:sz w:val="20"/>
        </w:rPr>
        <w:t>Roza</w:t>
      </w:r>
      <w:r w:rsidRPr="00423A87">
        <w:rPr>
          <w:rFonts w:cs="Arial"/>
          <w:sz w:val="20"/>
        </w:rPr>
        <w:t xml:space="preserve">, 2021 QCTAT 3811; </w:t>
      </w:r>
      <w:r w:rsidRPr="00423A87">
        <w:rPr>
          <w:rFonts w:cs="Arial"/>
          <w:i/>
          <w:iCs/>
          <w:sz w:val="20"/>
        </w:rPr>
        <w:t xml:space="preserve">Larivée </w:t>
      </w:r>
      <w:r w:rsidRPr="00423A87">
        <w:rPr>
          <w:rFonts w:cs="Arial"/>
          <w:sz w:val="20"/>
        </w:rPr>
        <w:t>et</w:t>
      </w:r>
      <w:r w:rsidRPr="00423A87">
        <w:rPr>
          <w:rFonts w:cs="Arial"/>
          <w:i/>
          <w:iCs/>
          <w:sz w:val="20"/>
        </w:rPr>
        <w:t xml:space="preserve"> Centre de services scolaire des Grandes-Seigneuries</w:t>
      </w:r>
      <w:r w:rsidRPr="00423A87">
        <w:rPr>
          <w:rFonts w:cs="Arial"/>
          <w:sz w:val="20"/>
        </w:rPr>
        <w:t>, 2023</w:t>
      </w:r>
      <w:r>
        <w:rPr>
          <w:rFonts w:cs="Arial"/>
          <w:sz w:val="20"/>
        </w:rPr>
        <w:t> </w:t>
      </w:r>
      <w:r w:rsidRPr="00423A87">
        <w:rPr>
          <w:rFonts w:cs="Arial"/>
          <w:sz w:val="20"/>
        </w:rPr>
        <w:t xml:space="preserve">QCTAT 30; </w:t>
      </w:r>
      <w:bookmarkStart w:id="13" w:name="_Hlk195011709"/>
      <w:r w:rsidRPr="00423A87">
        <w:rPr>
          <w:rFonts w:cs="Arial"/>
          <w:i/>
          <w:iCs/>
          <w:sz w:val="20"/>
        </w:rPr>
        <w:t xml:space="preserve">Beaudoin </w:t>
      </w:r>
      <w:r w:rsidRPr="00423A87">
        <w:rPr>
          <w:rFonts w:cs="Arial"/>
          <w:sz w:val="20"/>
        </w:rPr>
        <w:t>et</w:t>
      </w:r>
      <w:r w:rsidRPr="00423A87">
        <w:rPr>
          <w:rFonts w:cs="Arial"/>
          <w:i/>
          <w:iCs/>
          <w:sz w:val="20"/>
        </w:rPr>
        <w:t xml:space="preserve"> Centre de services scolaire Marie-Victorin</w:t>
      </w:r>
      <w:bookmarkEnd w:id="13"/>
      <w:r w:rsidRPr="00423A87">
        <w:rPr>
          <w:rFonts w:cs="Arial"/>
          <w:sz w:val="20"/>
        </w:rPr>
        <w:t>, 2024 QCTAT 4408.</w:t>
      </w:r>
    </w:p>
  </w:footnote>
  <w:footnote w:id="16">
    <w:p w14:paraId="73DD54C9" w14:textId="77777777" w:rsidR="008619A5" w:rsidRPr="00423A87" w:rsidRDefault="008619A5" w:rsidP="00AA44AE">
      <w:pPr>
        <w:pStyle w:val="Notedebasdepage"/>
        <w:tabs>
          <w:tab w:val="left" w:pos="720"/>
        </w:tabs>
        <w:ind w:left="720" w:hanging="720"/>
        <w:jc w:val="both"/>
        <w:rPr>
          <w:rFonts w:cs="Arial"/>
          <w:sz w:val="20"/>
        </w:rPr>
      </w:pPr>
      <w:r w:rsidRPr="00423A87">
        <w:rPr>
          <w:rStyle w:val="Appelnotedebasdep"/>
        </w:rPr>
        <w:footnoteRef/>
      </w:r>
      <w:r w:rsidRPr="00423A87">
        <w:t xml:space="preserve"> </w:t>
      </w:r>
      <w:r w:rsidRPr="00423A87">
        <w:rPr>
          <w:rFonts w:cs="Arial"/>
          <w:sz w:val="20"/>
        </w:rPr>
        <w:tab/>
      </w:r>
      <w:r w:rsidRPr="00423A87">
        <w:rPr>
          <w:rFonts w:cs="Arial"/>
          <w:i/>
          <w:iCs/>
          <w:sz w:val="20"/>
        </w:rPr>
        <w:t>Chartrand</w:t>
      </w:r>
      <w:r w:rsidRPr="00423A87">
        <w:rPr>
          <w:rFonts w:cs="Arial"/>
          <w:sz w:val="20"/>
        </w:rPr>
        <w:t>, 2024 QCTAT 1062.</w:t>
      </w:r>
    </w:p>
  </w:footnote>
  <w:footnote w:id="17">
    <w:p w14:paraId="0D0A876D" w14:textId="77777777" w:rsidR="008619A5" w:rsidRPr="00423A87" w:rsidRDefault="008619A5" w:rsidP="00DA2590">
      <w:pPr>
        <w:pStyle w:val="Notedebasdepage"/>
        <w:tabs>
          <w:tab w:val="left" w:pos="720"/>
        </w:tabs>
        <w:ind w:left="720" w:hanging="720"/>
        <w:jc w:val="both"/>
        <w:rPr>
          <w:rFonts w:cs="Arial"/>
          <w:sz w:val="20"/>
        </w:rPr>
      </w:pPr>
      <w:r w:rsidRPr="00423A87">
        <w:rPr>
          <w:rStyle w:val="Appelnotedebasdep"/>
        </w:rPr>
        <w:footnoteRef/>
      </w:r>
      <w:r w:rsidRPr="00423A87">
        <w:t xml:space="preserve"> </w:t>
      </w:r>
      <w:r w:rsidRPr="00423A87">
        <w:rPr>
          <w:rFonts w:cs="Arial"/>
          <w:sz w:val="20"/>
        </w:rPr>
        <w:tab/>
      </w:r>
      <w:r w:rsidRPr="00423A87">
        <w:rPr>
          <w:rFonts w:cs="Arial"/>
          <w:i/>
          <w:iCs/>
          <w:sz w:val="20"/>
        </w:rPr>
        <w:t xml:space="preserve">Champagne </w:t>
      </w:r>
      <w:r w:rsidRPr="00423A87">
        <w:rPr>
          <w:rFonts w:cs="Arial"/>
          <w:sz w:val="20"/>
        </w:rPr>
        <w:t>et</w:t>
      </w:r>
      <w:r w:rsidRPr="00423A87">
        <w:rPr>
          <w:rFonts w:cs="Arial"/>
          <w:i/>
          <w:iCs/>
          <w:sz w:val="20"/>
        </w:rPr>
        <w:t xml:space="preserve"> CPE Baliballon</w:t>
      </w:r>
      <w:r w:rsidRPr="00423A87">
        <w:rPr>
          <w:rFonts w:cs="Arial"/>
          <w:sz w:val="20"/>
        </w:rPr>
        <w:t>, 2023 QCTAT 2228.</w:t>
      </w:r>
    </w:p>
  </w:footnote>
  <w:footnote w:id="18">
    <w:p w14:paraId="67FA235B" w14:textId="77777777" w:rsidR="008619A5" w:rsidRPr="008504C4" w:rsidRDefault="008619A5" w:rsidP="008504C4">
      <w:pPr>
        <w:pStyle w:val="Notedebasdepage"/>
        <w:tabs>
          <w:tab w:val="left" w:pos="720"/>
        </w:tabs>
        <w:ind w:left="720" w:hanging="720"/>
        <w:jc w:val="both"/>
        <w:rPr>
          <w:rFonts w:cs="Arial"/>
          <w:sz w:val="20"/>
        </w:rPr>
      </w:pPr>
      <w:r w:rsidRPr="00423A87">
        <w:rPr>
          <w:rStyle w:val="Appelnotedebasdep"/>
        </w:rPr>
        <w:footnoteRef/>
      </w:r>
      <w:r w:rsidRPr="00423A87">
        <w:t xml:space="preserve"> </w:t>
      </w:r>
      <w:r w:rsidRPr="00423A87">
        <w:rPr>
          <w:rFonts w:cs="Arial"/>
          <w:sz w:val="20"/>
        </w:rPr>
        <w:tab/>
      </w:r>
      <w:r w:rsidRPr="00423A87">
        <w:rPr>
          <w:rFonts w:cs="Arial"/>
          <w:i/>
          <w:iCs/>
          <w:sz w:val="20"/>
        </w:rPr>
        <w:t xml:space="preserve">Beaudoin </w:t>
      </w:r>
      <w:r w:rsidRPr="003B0671">
        <w:rPr>
          <w:rFonts w:cs="Arial"/>
          <w:sz w:val="20"/>
        </w:rPr>
        <w:t>et</w:t>
      </w:r>
      <w:r w:rsidRPr="00374E5C">
        <w:rPr>
          <w:rFonts w:cs="Arial"/>
          <w:i/>
          <w:iCs/>
          <w:sz w:val="20"/>
        </w:rPr>
        <w:t xml:space="preserve"> Centre de services scolaire Marie</w:t>
      </w:r>
      <w:r w:rsidRPr="00550C4C">
        <w:rPr>
          <w:rFonts w:cs="Arial"/>
          <w:sz w:val="20"/>
        </w:rPr>
        <w:t>-</w:t>
      </w:r>
      <w:r w:rsidRPr="00550C4C">
        <w:rPr>
          <w:rFonts w:cs="Arial"/>
          <w:i/>
          <w:iCs/>
          <w:sz w:val="20"/>
        </w:rPr>
        <w:t>Victorin</w:t>
      </w:r>
      <w:r w:rsidRPr="00550C4C">
        <w:rPr>
          <w:rFonts w:cs="Arial"/>
          <w:sz w:val="20"/>
        </w:rPr>
        <w:t xml:space="preserve">, </w:t>
      </w:r>
      <w:r w:rsidRPr="00374E5C">
        <w:rPr>
          <w:rFonts w:cs="Arial"/>
          <w:sz w:val="20"/>
        </w:rPr>
        <w:t xml:space="preserve">précitée, note </w:t>
      </w:r>
      <w:r>
        <w:rPr>
          <w:rFonts w:cs="Arial"/>
          <w:sz w:val="20"/>
        </w:rPr>
        <w:t>15</w:t>
      </w:r>
      <w:r w:rsidRPr="00550C4C">
        <w:rPr>
          <w:rFonts w:cs="Arial"/>
          <w:sz w:val="20"/>
        </w:rPr>
        <w:t>.</w:t>
      </w:r>
      <w:r>
        <w:rPr>
          <w:rFonts w:cs="Arial"/>
          <w:sz w:val="20"/>
        </w:rPr>
        <w:t xml:space="preserve"> </w:t>
      </w:r>
    </w:p>
  </w:footnote>
  <w:footnote w:id="19">
    <w:p w14:paraId="022B5432" w14:textId="77777777" w:rsidR="008619A5" w:rsidRPr="000945F4" w:rsidRDefault="008619A5" w:rsidP="008504C4">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E03CAE">
        <w:rPr>
          <w:rFonts w:cs="Arial"/>
          <w:i/>
          <w:iCs/>
          <w:sz w:val="20"/>
        </w:rPr>
        <w:t>Lachance,</w:t>
      </w:r>
      <w:r>
        <w:rPr>
          <w:rFonts w:cs="Arial"/>
          <w:i/>
          <w:iCs/>
          <w:sz w:val="20"/>
        </w:rPr>
        <w:t xml:space="preserve"> </w:t>
      </w:r>
      <w:r w:rsidRPr="00374E5C">
        <w:rPr>
          <w:rFonts w:cs="Arial"/>
          <w:sz w:val="20"/>
        </w:rPr>
        <w:t>2024 QCTAT 1739</w:t>
      </w:r>
      <w:r w:rsidRPr="00550C4C">
        <w:rPr>
          <w:rFonts w:cs="Arial"/>
          <w:i/>
          <w:iCs/>
          <w:sz w:val="20"/>
        </w:rPr>
        <w:t>.</w:t>
      </w:r>
    </w:p>
  </w:footnote>
  <w:footnote w:id="20">
    <w:p w14:paraId="5349B87C" w14:textId="77777777" w:rsidR="008619A5" w:rsidRPr="00C63088" w:rsidRDefault="008619A5" w:rsidP="00C63088">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C63088">
        <w:rPr>
          <w:rFonts w:cs="Arial"/>
          <w:i/>
          <w:iCs/>
          <w:sz w:val="20"/>
        </w:rPr>
        <w:t xml:space="preserve">Beaudoin </w:t>
      </w:r>
      <w:r w:rsidRPr="003B0671">
        <w:rPr>
          <w:rFonts w:cs="Arial"/>
          <w:sz w:val="20"/>
        </w:rPr>
        <w:t>et</w:t>
      </w:r>
      <w:r w:rsidRPr="00C63088">
        <w:rPr>
          <w:rFonts w:cs="Arial"/>
          <w:i/>
          <w:iCs/>
          <w:sz w:val="20"/>
        </w:rPr>
        <w:t xml:space="preserve"> Centre de services scolaire Marie-Victorin</w:t>
      </w:r>
      <w:r w:rsidRPr="00C63088">
        <w:rPr>
          <w:rFonts w:cs="Arial"/>
          <w:sz w:val="20"/>
        </w:rPr>
        <w:t>, précitée, note 1</w:t>
      </w:r>
      <w:r>
        <w:rPr>
          <w:rFonts w:cs="Arial"/>
          <w:sz w:val="20"/>
        </w:rPr>
        <w:t>5</w:t>
      </w:r>
      <w:r w:rsidRPr="00C63088">
        <w:rPr>
          <w:rFonts w:cs="Arial"/>
          <w:sz w:val="20"/>
        </w:rPr>
        <w:t>, par.</w:t>
      </w:r>
      <w:r>
        <w:rPr>
          <w:rFonts w:cs="Arial"/>
          <w:sz w:val="20"/>
        </w:rPr>
        <w:t xml:space="preserve"> </w:t>
      </w:r>
      <w:r w:rsidRPr="00C63088">
        <w:rPr>
          <w:rFonts w:cs="Arial"/>
          <w:sz w:val="20"/>
        </w:rPr>
        <w:t>48.</w:t>
      </w:r>
    </w:p>
  </w:footnote>
  <w:footnote w:id="21">
    <w:p w14:paraId="4E376156" w14:textId="77777777" w:rsidR="008619A5" w:rsidRPr="00AD6E39" w:rsidRDefault="008619A5" w:rsidP="00213936">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AD6E39">
        <w:rPr>
          <w:rFonts w:cs="Arial"/>
          <w:i/>
          <w:iCs/>
          <w:sz w:val="20"/>
        </w:rPr>
        <w:t>Lemieux</w:t>
      </w:r>
      <w:r>
        <w:rPr>
          <w:rFonts w:cs="Arial"/>
          <w:sz w:val="20"/>
        </w:rPr>
        <w:t xml:space="preserve"> et </w:t>
      </w:r>
      <w:r w:rsidRPr="00AD6E39">
        <w:rPr>
          <w:rFonts w:cs="Arial"/>
          <w:i/>
          <w:iCs/>
          <w:sz w:val="20"/>
        </w:rPr>
        <w:t>Société Radio-Canada</w:t>
      </w:r>
      <w:r>
        <w:rPr>
          <w:rFonts w:cs="Arial"/>
          <w:sz w:val="20"/>
        </w:rPr>
        <w:t>, 2021 QCTAT 5335.</w:t>
      </w:r>
    </w:p>
  </w:footnote>
  <w:footnote w:id="22">
    <w:p w14:paraId="3D9E0D7D" w14:textId="77777777" w:rsidR="008619A5" w:rsidRPr="005B3262" w:rsidRDefault="008619A5" w:rsidP="00DA2590">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Rapport </w:t>
      </w:r>
      <w:r w:rsidRPr="005B3262">
        <w:rPr>
          <w:rFonts w:cs="Arial"/>
          <w:sz w:val="20"/>
        </w:rPr>
        <w:t xml:space="preserve">audiologique du 2 mai 2022. </w:t>
      </w:r>
    </w:p>
  </w:footnote>
  <w:footnote w:id="23">
    <w:p w14:paraId="737847CD" w14:textId="77777777" w:rsidR="008619A5" w:rsidRPr="0029658D" w:rsidRDefault="008619A5" w:rsidP="0029658D">
      <w:pPr>
        <w:pStyle w:val="Notedebasdepage"/>
        <w:tabs>
          <w:tab w:val="left" w:pos="720"/>
        </w:tabs>
        <w:ind w:left="720" w:hanging="720"/>
        <w:jc w:val="both"/>
        <w:rPr>
          <w:rFonts w:cs="Arial"/>
          <w:sz w:val="20"/>
        </w:rPr>
      </w:pPr>
      <w:r w:rsidRPr="005B3262">
        <w:rPr>
          <w:rStyle w:val="Appelnotedebasdep"/>
        </w:rPr>
        <w:footnoteRef/>
      </w:r>
      <w:r w:rsidRPr="005B3262">
        <w:t xml:space="preserve"> </w:t>
      </w:r>
      <w:r w:rsidRPr="005B3262">
        <w:rPr>
          <w:rFonts w:cs="Arial"/>
          <w:sz w:val="20"/>
        </w:rPr>
        <w:tab/>
        <w:t>Rapport audiologique du 10 décembre 2024.</w:t>
      </w:r>
      <w:r>
        <w:rPr>
          <w:rFonts w:cs="Arial"/>
          <w:sz w:val="20"/>
        </w:rPr>
        <w:t xml:space="preserve"> </w:t>
      </w:r>
    </w:p>
  </w:footnote>
  <w:footnote w:id="24">
    <w:p w14:paraId="68678A0B" w14:textId="77777777" w:rsidR="008619A5" w:rsidRPr="000B08C4" w:rsidRDefault="008619A5" w:rsidP="00AA44AE">
      <w:pPr>
        <w:pStyle w:val="Notedebasdepage"/>
        <w:tabs>
          <w:tab w:val="left" w:pos="720"/>
        </w:tabs>
        <w:ind w:left="720" w:hanging="720"/>
        <w:jc w:val="both"/>
        <w:rPr>
          <w:rFonts w:cs="Arial"/>
          <w:sz w:val="20"/>
        </w:rPr>
      </w:pPr>
      <w:r>
        <w:rPr>
          <w:rStyle w:val="Appelnotedebasdep"/>
        </w:rPr>
        <w:footnoteRef/>
      </w:r>
      <w:r>
        <w:rPr>
          <w:rFonts w:cs="Arial"/>
          <w:sz w:val="20"/>
        </w:rPr>
        <w:tab/>
      </w:r>
      <w:r w:rsidRPr="000B08C4">
        <w:rPr>
          <w:rFonts w:cs="Arial"/>
          <w:i/>
          <w:sz w:val="20"/>
        </w:rPr>
        <w:t>Laurin</w:t>
      </w:r>
      <w:r w:rsidRPr="000B08C4">
        <w:rPr>
          <w:rFonts w:cs="Arial"/>
          <w:sz w:val="20"/>
        </w:rPr>
        <w:t xml:space="preserve"> et </w:t>
      </w:r>
      <w:r w:rsidRPr="000B08C4">
        <w:rPr>
          <w:rFonts w:cs="Arial"/>
          <w:i/>
          <w:sz w:val="20"/>
        </w:rPr>
        <w:t>Purolator Courrier ltée</w:t>
      </w:r>
      <w:r w:rsidRPr="000B08C4">
        <w:rPr>
          <w:rFonts w:cs="Arial"/>
          <w:sz w:val="20"/>
        </w:rPr>
        <w:t>, C.L.P. 190107-07-0209, 1</w:t>
      </w:r>
      <w:r w:rsidRPr="000B08C4">
        <w:rPr>
          <w:rFonts w:cs="Arial"/>
          <w:sz w:val="20"/>
          <w:vertAlign w:val="superscript"/>
        </w:rPr>
        <w:t>er</w:t>
      </w:r>
      <w:r w:rsidRPr="000B08C4">
        <w:rPr>
          <w:rFonts w:cs="Arial"/>
          <w:sz w:val="20"/>
        </w:rPr>
        <w:t xml:space="preserve"> mars 2004, A. Suicco, révision </w:t>
      </w:r>
      <w:r w:rsidRPr="00374E5C">
        <w:rPr>
          <w:rFonts w:cs="Arial"/>
          <w:sz w:val="20"/>
        </w:rPr>
        <w:t>judicaire</w:t>
      </w:r>
      <w:r w:rsidRPr="000B08C4">
        <w:rPr>
          <w:rFonts w:cs="Arial"/>
          <w:sz w:val="20"/>
        </w:rPr>
        <w:t xml:space="preserve"> rejetée, </w:t>
      </w:r>
      <w:r w:rsidRPr="00374E5C">
        <w:rPr>
          <w:rFonts w:cs="Arial"/>
          <w:sz w:val="20"/>
        </w:rPr>
        <w:t>C.S. Hull, 550-17-001705-043</w:t>
      </w:r>
      <w:r w:rsidRPr="000B08C4">
        <w:rPr>
          <w:rFonts w:cs="Arial"/>
          <w:sz w:val="20"/>
        </w:rPr>
        <w:t xml:space="preserve">, 27 avril 2005, M. Bédard; </w:t>
      </w:r>
      <w:r w:rsidRPr="000B08C4">
        <w:rPr>
          <w:rFonts w:cs="Arial"/>
          <w:i/>
          <w:sz w:val="20"/>
        </w:rPr>
        <w:t>Jacques</w:t>
      </w:r>
      <w:r w:rsidRPr="000B08C4">
        <w:rPr>
          <w:rFonts w:cs="Arial"/>
          <w:sz w:val="20"/>
        </w:rPr>
        <w:t xml:space="preserve"> et </w:t>
      </w:r>
      <w:r w:rsidRPr="000B08C4">
        <w:rPr>
          <w:rFonts w:cs="Arial"/>
          <w:i/>
          <w:sz w:val="20"/>
        </w:rPr>
        <w:t>Les</w:t>
      </w:r>
      <w:r w:rsidRPr="000B08C4">
        <w:rPr>
          <w:rFonts w:cs="Arial"/>
          <w:sz w:val="20"/>
        </w:rPr>
        <w:t xml:space="preserve"> </w:t>
      </w:r>
      <w:r w:rsidRPr="000B08C4">
        <w:rPr>
          <w:rFonts w:cs="Arial"/>
          <w:i/>
          <w:sz w:val="20"/>
        </w:rPr>
        <w:t>Habitations du Carrefour</w:t>
      </w:r>
      <w:r w:rsidRPr="000B08C4">
        <w:rPr>
          <w:rFonts w:cs="Arial"/>
          <w:sz w:val="20"/>
        </w:rPr>
        <w:t>, 2019 QCTAT 3853.</w:t>
      </w:r>
    </w:p>
  </w:footnote>
  <w:footnote w:id="25">
    <w:p w14:paraId="6727AA86" w14:textId="77777777" w:rsidR="008619A5" w:rsidRPr="000B08C4" w:rsidRDefault="008619A5" w:rsidP="000E269C">
      <w:pPr>
        <w:pStyle w:val="Notedebasdepage"/>
        <w:tabs>
          <w:tab w:val="left" w:pos="720"/>
        </w:tabs>
        <w:ind w:left="720" w:hanging="720"/>
        <w:jc w:val="both"/>
        <w:rPr>
          <w:rFonts w:cs="Arial"/>
          <w:sz w:val="20"/>
        </w:rPr>
      </w:pPr>
      <w:r w:rsidRPr="000B08C4">
        <w:rPr>
          <w:rStyle w:val="Appelnotedebasdep"/>
        </w:rPr>
        <w:footnoteRef/>
      </w:r>
      <w:r w:rsidRPr="000B08C4">
        <w:t xml:space="preserve"> </w:t>
      </w:r>
      <w:r w:rsidRPr="000B08C4">
        <w:rPr>
          <w:rFonts w:cs="Arial"/>
          <w:sz w:val="20"/>
        </w:rPr>
        <w:tab/>
        <w:t>RLRQ, c. S-2.1, r.</w:t>
      </w:r>
      <w:r>
        <w:rPr>
          <w:rFonts w:cs="Arial"/>
          <w:sz w:val="20"/>
        </w:rPr>
        <w:t xml:space="preserve"> </w:t>
      </w:r>
      <w:r w:rsidRPr="000B08C4">
        <w:rPr>
          <w:rFonts w:cs="Arial"/>
          <w:sz w:val="20"/>
        </w:rPr>
        <w:t>13.</w:t>
      </w:r>
    </w:p>
  </w:footnote>
  <w:footnote w:id="26">
    <w:p w14:paraId="77C5D169" w14:textId="77777777" w:rsidR="008619A5" w:rsidRPr="000E269C" w:rsidRDefault="008619A5" w:rsidP="000E269C">
      <w:pPr>
        <w:pStyle w:val="Notedebasdepage"/>
        <w:tabs>
          <w:tab w:val="left" w:pos="720"/>
        </w:tabs>
        <w:ind w:left="720" w:hanging="720"/>
        <w:jc w:val="both"/>
        <w:rPr>
          <w:rFonts w:cs="Arial"/>
          <w:sz w:val="20"/>
        </w:rPr>
      </w:pPr>
      <w:r w:rsidRPr="000B08C4">
        <w:rPr>
          <w:rStyle w:val="Appelnotedebasdep"/>
        </w:rPr>
        <w:footnoteRef/>
      </w:r>
      <w:r w:rsidRPr="000B08C4">
        <w:t xml:space="preserve"> </w:t>
      </w:r>
      <w:r w:rsidRPr="000B08C4">
        <w:rPr>
          <w:rFonts w:cs="Arial"/>
          <w:sz w:val="20"/>
        </w:rPr>
        <w:tab/>
        <w:t xml:space="preserve">2015 QCCLP 1285, citée dans </w:t>
      </w:r>
      <w:r w:rsidRPr="000B08C4">
        <w:rPr>
          <w:rFonts w:cs="Arial"/>
          <w:i/>
          <w:iCs/>
          <w:sz w:val="20"/>
        </w:rPr>
        <w:t xml:space="preserve">Champagne </w:t>
      </w:r>
      <w:r w:rsidRPr="003B0671">
        <w:rPr>
          <w:rFonts w:cs="Arial"/>
          <w:sz w:val="20"/>
        </w:rPr>
        <w:t>et</w:t>
      </w:r>
      <w:r w:rsidRPr="000B08C4">
        <w:rPr>
          <w:rFonts w:cs="Arial"/>
          <w:i/>
          <w:iCs/>
          <w:sz w:val="20"/>
        </w:rPr>
        <w:t xml:space="preserve"> CPE Baliballon</w:t>
      </w:r>
      <w:r w:rsidRPr="000B08C4">
        <w:rPr>
          <w:rFonts w:cs="Arial"/>
          <w:sz w:val="20"/>
        </w:rPr>
        <w:t xml:space="preserve">, </w:t>
      </w:r>
      <w:r w:rsidRPr="00374E5C">
        <w:rPr>
          <w:rFonts w:cs="Arial"/>
          <w:sz w:val="20"/>
        </w:rPr>
        <w:t>précitée, note 1</w:t>
      </w:r>
      <w:r>
        <w:rPr>
          <w:rFonts w:cs="Arial"/>
          <w:sz w:val="20"/>
        </w:rPr>
        <w:t>7</w:t>
      </w:r>
      <w:r w:rsidRPr="000B08C4">
        <w:rPr>
          <w:rFonts w:cs="Arial"/>
          <w:sz w:val="20"/>
        </w:rPr>
        <w:t xml:space="preserve"> et </w:t>
      </w:r>
      <w:r>
        <w:rPr>
          <w:rFonts w:cs="Arial"/>
          <w:sz w:val="20"/>
        </w:rPr>
        <w:t xml:space="preserve">dans </w:t>
      </w:r>
      <w:r w:rsidRPr="000B08C4">
        <w:rPr>
          <w:rFonts w:cs="Arial"/>
          <w:i/>
          <w:iCs/>
          <w:sz w:val="20"/>
        </w:rPr>
        <w:t>Lachance</w:t>
      </w:r>
      <w:r w:rsidRPr="000B08C4">
        <w:rPr>
          <w:rFonts w:cs="Arial"/>
          <w:sz w:val="20"/>
        </w:rPr>
        <w:t xml:space="preserve">, </w:t>
      </w:r>
      <w:r w:rsidRPr="00374E5C">
        <w:rPr>
          <w:rFonts w:cs="Arial"/>
          <w:sz w:val="20"/>
        </w:rPr>
        <w:t>précitée, note 1</w:t>
      </w:r>
      <w:r>
        <w:rPr>
          <w:rFonts w:cs="Arial"/>
          <w:sz w:val="20"/>
        </w:rPr>
        <w:t>9</w:t>
      </w:r>
      <w:r w:rsidRPr="00374E5C">
        <w:rPr>
          <w:rFonts w:cs="Arial"/>
          <w:sz w:val="20"/>
        </w:rPr>
        <w:t>.</w:t>
      </w:r>
      <w:r>
        <w:rPr>
          <w:rFonts w:cs="Arial"/>
          <w:sz w:val="20"/>
        </w:rPr>
        <w:t xml:space="preserve"> </w:t>
      </w:r>
    </w:p>
  </w:footnote>
  <w:footnote w:id="27">
    <w:p w14:paraId="7AFF9736" w14:textId="77777777" w:rsidR="008619A5" w:rsidRPr="00374E5C" w:rsidRDefault="008619A5" w:rsidP="00B81542">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447B5C">
        <w:rPr>
          <w:rFonts w:cs="Arial"/>
          <w:sz w:val="20"/>
        </w:rPr>
        <w:t xml:space="preserve">COMMISSION DE LA SANTÉ ET DE LA SÉCURITÉ DU TRAVAIL DU QUÉBEC, ASSOCIATION PARITAIRE POUR LA SANTÉ ET LA SÉCURITÉ DU TRAVAIL DU SECTEUR AFFAIRES SOCIALES, « Réduire le bruit dans les services de garde : solutions acoustiques », (2006) 8 </w:t>
      </w:r>
      <w:r w:rsidRPr="00447B5C">
        <w:rPr>
          <w:rFonts w:cs="Arial"/>
          <w:i/>
          <w:iCs/>
          <w:sz w:val="20"/>
        </w:rPr>
        <w:t xml:space="preserve">Sans pépins : Revue d'information de l'Association paritaire </w:t>
      </w:r>
      <w:r w:rsidRPr="00374E5C">
        <w:rPr>
          <w:rFonts w:cs="Arial"/>
          <w:i/>
          <w:iCs/>
          <w:sz w:val="20"/>
        </w:rPr>
        <w:t>pour la santé et la sécurité du travail du secteur affaires sociales</w:t>
      </w:r>
      <w:r w:rsidRPr="00374E5C">
        <w:rPr>
          <w:rFonts w:cs="Arial"/>
          <w:sz w:val="20"/>
        </w:rPr>
        <w:t>, [En ligne], &lt;https://www.cnesst.gouv.qc.ca/sites/default/files/publications</w:t>
      </w:r>
    </w:p>
    <w:p w14:paraId="3A58EC60" w14:textId="77777777" w:rsidR="008619A5" w:rsidRPr="00C53C8E" w:rsidRDefault="008619A5" w:rsidP="00B81542">
      <w:pPr>
        <w:pStyle w:val="Notedebasdepage"/>
        <w:tabs>
          <w:tab w:val="left" w:pos="720"/>
        </w:tabs>
        <w:ind w:left="720" w:hanging="720"/>
        <w:jc w:val="both"/>
        <w:rPr>
          <w:rFonts w:cs="Arial"/>
          <w:sz w:val="20"/>
        </w:rPr>
      </w:pPr>
      <w:r>
        <w:rPr>
          <w:rFonts w:cs="Arial"/>
          <w:sz w:val="20"/>
        </w:rPr>
        <w:tab/>
      </w:r>
      <w:r w:rsidRPr="00374E5C">
        <w:rPr>
          <w:rFonts w:cs="Arial"/>
          <w:sz w:val="20"/>
        </w:rPr>
        <w:t>/reduire-bruit-services-garde-solutions-acoustiques.pdf&gt;. (Date de consultation inconnue).</w:t>
      </w:r>
    </w:p>
  </w:footnote>
  <w:footnote w:id="28">
    <w:p w14:paraId="0070FF29" w14:textId="77777777" w:rsidR="008619A5" w:rsidRPr="00854831" w:rsidRDefault="008619A5" w:rsidP="00AA44AE">
      <w:pPr>
        <w:pStyle w:val="Notedebasdepage"/>
        <w:tabs>
          <w:tab w:val="left" w:pos="720"/>
        </w:tabs>
        <w:ind w:left="720" w:hanging="720"/>
        <w:jc w:val="both"/>
        <w:rPr>
          <w:rFonts w:cs="Arial"/>
          <w:sz w:val="20"/>
        </w:rPr>
      </w:pPr>
      <w:r>
        <w:rPr>
          <w:rStyle w:val="Appelnotedebasdep"/>
        </w:rPr>
        <w:footnoteRef/>
      </w:r>
      <w:r>
        <w:rPr>
          <w:rFonts w:cs="Arial"/>
          <w:sz w:val="20"/>
        </w:rPr>
        <w:tab/>
      </w:r>
      <w:r w:rsidRPr="00854831">
        <w:rPr>
          <w:rFonts w:cs="Arial"/>
          <w:i/>
          <w:sz w:val="20"/>
        </w:rPr>
        <w:t>Bond</w:t>
      </w:r>
      <w:r w:rsidRPr="00854831">
        <w:rPr>
          <w:rFonts w:cs="Arial"/>
          <w:sz w:val="20"/>
        </w:rPr>
        <w:t xml:space="preserve"> et </w:t>
      </w:r>
      <w:r w:rsidRPr="00854831">
        <w:rPr>
          <w:rFonts w:cs="Arial"/>
          <w:i/>
          <w:sz w:val="20"/>
        </w:rPr>
        <w:t>BG Checo inc.</w:t>
      </w:r>
      <w:r w:rsidRPr="00854831">
        <w:rPr>
          <w:rFonts w:cs="Arial"/>
          <w:sz w:val="20"/>
        </w:rPr>
        <w:t xml:space="preserve">, [1999] C.L.P. 270; </w:t>
      </w:r>
      <w:r w:rsidRPr="00854831">
        <w:rPr>
          <w:rFonts w:cs="Arial"/>
          <w:i/>
          <w:sz w:val="20"/>
        </w:rPr>
        <w:t>Poirier</w:t>
      </w:r>
      <w:r w:rsidRPr="00854831">
        <w:rPr>
          <w:rFonts w:cs="Arial"/>
          <w:sz w:val="20"/>
        </w:rPr>
        <w:t xml:space="preserve"> et </w:t>
      </w:r>
      <w:r w:rsidRPr="00854831">
        <w:rPr>
          <w:rFonts w:cs="Arial"/>
          <w:i/>
          <w:sz w:val="20"/>
        </w:rPr>
        <w:t>Armstrong-Hunt inc.</w:t>
      </w:r>
      <w:r>
        <w:rPr>
          <w:rFonts w:cs="Arial"/>
          <w:sz w:val="20"/>
        </w:rPr>
        <w:t xml:space="preserve">, 2011 QCCLP 2197; </w:t>
      </w:r>
      <w:r w:rsidRPr="00CA4C4E">
        <w:rPr>
          <w:rFonts w:cs="Arial"/>
          <w:i/>
          <w:sz w:val="20"/>
        </w:rPr>
        <w:t>Legal</w:t>
      </w:r>
      <w:r w:rsidRPr="00CA4C4E">
        <w:rPr>
          <w:rFonts w:cs="Arial"/>
          <w:sz w:val="20"/>
        </w:rPr>
        <w:t xml:space="preserve"> et </w:t>
      </w:r>
      <w:r w:rsidRPr="00CA4C4E">
        <w:rPr>
          <w:rFonts w:cs="Arial"/>
          <w:i/>
          <w:sz w:val="20"/>
        </w:rPr>
        <w:t>Commission scolaire de Montréal</w:t>
      </w:r>
      <w:r w:rsidRPr="00CA4C4E">
        <w:rPr>
          <w:rFonts w:cs="Arial"/>
          <w:sz w:val="20"/>
        </w:rPr>
        <w:t>,</w:t>
      </w:r>
      <w:r>
        <w:rPr>
          <w:rFonts w:cs="Arial"/>
          <w:sz w:val="20"/>
        </w:rPr>
        <w:t> 201</w:t>
      </w:r>
      <w:r w:rsidRPr="00CA4C4E">
        <w:rPr>
          <w:rFonts w:cs="Arial"/>
          <w:sz w:val="20"/>
        </w:rPr>
        <w:t>8 QCTAT 181</w:t>
      </w:r>
      <w:r>
        <w:rPr>
          <w:rFonts w:cs="Arial"/>
          <w:sz w:val="20"/>
        </w:rPr>
        <w:t>.</w:t>
      </w:r>
    </w:p>
  </w:footnote>
  <w:footnote w:id="29">
    <w:p w14:paraId="09F98B09" w14:textId="77777777" w:rsidR="008619A5" w:rsidRPr="009274A0" w:rsidRDefault="008619A5" w:rsidP="00DF568A">
      <w:pPr>
        <w:rPr>
          <w:rFonts w:cs="Arial"/>
          <w:sz w:val="20"/>
        </w:rPr>
      </w:pPr>
      <w:r>
        <w:rPr>
          <w:rStyle w:val="Appelnotedebasdep"/>
        </w:rPr>
        <w:footnoteRef/>
      </w:r>
      <w:r>
        <w:t xml:space="preserve"> </w:t>
      </w:r>
      <w:r>
        <w:rPr>
          <w:rFonts w:cs="Arial"/>
          <w:sz w:val="20"/>
        </w:rPr>
        <w:tab/>
      </w:r>
      <w:r w:rsidRPr="00374E5C">
        <w:rPr>
          <w:rFonts w:cs="Arial"/>
          <w:i/>
          <w:iCs/>
          <w:sz w:val="20"/>
        </w:rPr>
        <w:t>Larivée</w:t>
      </w:r>
      <w:r>
        <w:rPr>
          <w:rFonts w:cs="Arial"/>
          <w:sz w:val="20"/>
        </w:rPr>
        <w:t xml:space="preserve"> et </w:t>
      </w:r>
      <w:r w:rsidRPr="00374E5C">
        <w:rPr>
          <w:rFonts w:cs="Arial"/>
          <w:i/>
          <w:iCs/>
          <w:sz w:val="20"/>
        </w:rPr>
        <w:t>Centre de services scolaires des Grandes-Seigneuries</w:t>
      </w:r>
      <w:r w:rsidRPr="009274A0">
        <w:rPr>
          <w:rFonts w:cs="Arial"/>
          <w:sz w:val="20"/>
        </w:rPr>
        <w:t xml:space="preserve">, </w:t>
      </w:r>
      <w:r w:rsidRPr="00374E5C">
        <w:rPr>
          <w:rFonts w:cs="Arial"/>
          <w:sz w:val="20"/>
        </w:rPr>
        <w:t>précitée, note 1</w:t>
      </w:r>
      <w:r>
        <w:rPr>
          <w:rFonts w:cs="Arial"/>
          <w:sz w:val="20"/>
        </w:rPr>
        <w:t>5</w:t>
      </w:r>
      <w:r w:rsidRPr="009274A0">
        <w:rPr>
          <w:rFonts w:cs="Arial"/>
          <w:sz w:val="20"/>
        </w:rPr>
        <w:t xml:space="preserve">; </w:t>
      </w:r>
      <w:r w:rsidRPr="009274A0">
        <w:rPr>
          <w:rFonts w:cs="Arial"/>
          <w:i/>
          <w:iCs/>
          <w:sz w:val="20"/>
        </w:rPr>
        <w:t xml:space="preserve">Verreault </w:t>
      </w:r>
      <w:r w:rsidRPr="009274A0">
        <w:rPr>
          <w:rFonts w:cs="Arial"/>
          <w:sz w:val="20"/>
        </w:rPr>
        <w:t xml:space="preserve">et </w:t>
      </w:r>
      <w:r w:rsidRPr="009274A0">
        <w:rPr>
          <w:rFonts w:cs="Arial"/>
          <w:i/>
          <w:iCs/>
          <w:sz w:val="20"/>
        </w:rPr>
        <w:tab/>
        <w:t>Commission scolaire des Rives-du Saguenay</w:t>
      </w:r>
      <w:r w:rsidRPr="009274A0">
        <w:rPr>
          <w:rFonts w:cs="Arial"/>
          <w:sz w:val="20"/>
        </w:rPr>
        <w:t>,</w:t>
      </w:r>
      <w:r w:rsidRPr="009274A0">
        <w:t xml:space="preserve"> </w:t>
      </w:r>
      <w:r w:rsidRPr="00374E5C">
        <w:rPr>
          <w:rFonts w:cs="Arial"/>
          <w:sz w:val="20"/>
        </w:rPr>
        <w:t>2018 QCTAT 3866</w:t>
      </w:r>
      <w:r>
        <w:rPr>
          <w:rFonts w:cs="Arial"/>
          <w:sz w:val="20"/>
        </w:rPr>
        <w:t>.</w:t>
      </w:r>
    </w:p>
  </w:footnote>
  <w:footnote w:id="30">
    <w:p w14:paraId="45578228" w14:textId="77777777" w:rsidR="008619A5" w:rsidRPr="009274A0" w:rsidRDefault="008619A5" w:rsidP="00116681">
      <w:pPr>
        <w:pStyle w:val="Notedebasdepage"/>
        <w:tabs>
          <w:tab w:val="left" w:pos="720"/>
        </w:tabs>
        <w:ind w:left="720" w:hanging="720"/>
        <w:jc w:val="both"/>
        <w:rPr>
          <w:rFonts w:cs="Arial"/>
          <w:sz w:val="20"/>
        </w:rPr>
      </w:pPr>
      <w:r w:rsidRPr="009274A0">
        <w:rPr>
          <w:rStyle w:val="Appelnotedebasdep"/>
        </w:rPr>
        <w:footnoteRef/>
      </w:r>
      <w:r w:rsidRPr="009274A0">
        <w:t xml:space="preserve"> </w:t>
      </w:r>
      <w:r w:rsidRPr="009274A0">
        <w:rPr>
          <w:rFonts w:cs="Arial"/>
          <w:sz w:val="20"/>
        </w:rPr>
        <w:tab/>
      </w:r>
      <w:r w:rsidRPr="009274A0">
        <w:rPr>
          <w:rFonts w:cs="Arial"/>
          <w:i/>
          <w:iCs/>
          <w:sz w:val="20"/>
        </w:rPr>
        <w:t>Lachance,</w:t>
      </w:r>
      <w:r w:rsidRPr="009274A0">
        <w:rPr>
          <w:rFonts w:cs="Arial"/>
          <w:sz w:val="20"/>
        </w:rPr>
        <w:t xml:space="preserve"> </w:t>
      </w:r>
      <w:r w:rsidRPr="00374E5C">
        <w:rPr>
          <w:rFonts w:cs="Arial"/>
          <w:sz w:val="20"/>
        </w:rPr>
        <w:t>précitée, note 1</w:t>
      </w:r>
      <w:r>
        <w:rPr>
          <w:rFonts w:cs="Arial"/>
          <w:sz w:val="20"/>
        </w:rPr>
        <w:t>9</w:t>
      </w:r>
      <w:r w:rsidRPr="00374E5C">
        <w:rPr>
          <w:rFonts w:cs="Arial"/>
          <w:sz w:val="20"/>
        </w:rPr>
        <w:t>;</w:t>
      </w:r>
      <w:r w:rsidRPr="009274A0">
        <w:rPr>
          <w:rFonts w:cs="Arial"/>
          <w:sz w:val="20"/>
        </w:rPr>
        <w:t xml:space="preserve"> </w:t>
      </w:r>
      <w:r w:rsidRPr="009274A0">
        <w:rPr>
          <w:rFonts w:cs="Arial"/>
          <w:i/>
          <w:iCs/>
          <w:sz w:val="20"/>
        </w:rPr>
        <w:t xml:space="preserve">Champagne </w:t>
      </w:r>
      <w:r w:rsidRPr="009274A0">
        <w:rPr>
          <w:rFonts w:cs="Arial"/>
          <w:sz w:val="20"/>
        </w:rPr>
        <w:t>et</w:t>
      </w:r>
      <w:r w:rsidRPr="009274A0">
        <w:rPr>
          <w:rFonts w:cs="Arial"/>
          <w:i/>
          <w:iCs/>
          <w:sz w:val="20"/>
        </w:rPr>
        <w:t xml:space="preserve"> CPE Baliballon</w:t>
      </w:r>
      <w:r w:rsidRPr="009274A0">
        <w:rPr>
          <w:rFonts w:cs="Arial"/>
          <w:sz w:val="20"/>
        </w:rPr>
        <w:t xml:space="preserve">, </w:t>
      </w:r>
      <w:r w:rsidRPr="00374E5C">
        <w:rPr>
          <w:rFonts w:cs="Arial"/>
          <w:sz w:val="20"/>
        </w:rPr>
        <w:t>précitée</w:t>
      </w:r>
      <w:r w:rsidRPr="009274A0">
        <w:rPr>
          <w:rFonts w:cs="Arial"/>
          <w:sz w:val="20"/>
        </w:rPr>
        <w:t xml:space="preserve">, </w:t>
      </w:r>
      <w:r w:rsidRPr="00374E5C">
        <w:rPr>
          <w:rFonts w:cs="Arial"/>
          <w:sz w:val="20"/>
        </w:rPr>
        <w:t>note 1</w:t>
      </w:r>
      <w:r>
        <w:rPr>
          <w:rFonts w:cs="Arial"/>
          <w:sz w:val="20"/>
        </w:rPr>
        <w:t>7</w:t>
      </w:r>
      <w:r w:rsidRPr="00374E5C">
        <w:rPr>
          <w:rFonts w:cs="Arial"/>
          <w:sz w:val="20"/>
        </w:rPr>
        <w:t>.</w:t>
      </w:r>
    </w:p>
  </w:footnote>
  <w:footnote w:id="31">
    <w:p w14:paraId="49290C1D" w14:textId="77777777" w:rsidR="008619A5" w:rsidRPr="00323B32" w:rsidRDefault="008619A5" w:rsidP="00323B32">
      <w:pPr>
        <w:pStyle w:val="Notedebasdepage"/>
        <w:tabs>
          <w:tab w:val="left" w:pos="720"/>
        </w:tabs>
        <w:ind w:left="720" w:hanging="720"/>
        <w:jc w:val="both"/>
        <w:rPr>
          <w:rFonts w:cs="Arial"/>
          <w:sz w:val="20"/>
        </w:rPr>
      </w:pPr>
      <w:r w:rsidRPr="009274A0">
        <w:rPr>
          <w:rStyle w:val="Appelnotedebasdep"/>
        </w:rPr>
        <w:footnoteRef/>
      </w:r>
      <w:r w:rsidRPr="009274A0">
        <w:t xml:space="preserve"> </w:t>
      </w:r>
      <w:r w:rsidRPr="009274A0">
        <w:rPr>
          <w:rFonts w:cs="Arial"/>
          <w:sz w:val="20"/>
        </w:rPr>
        <w:tab/>
      </w:r>
      <w:r w:rsidRPr="009274A0">
        <w:rPr>
          <w:rFonts w:cs="Arial"/>
          <w:i/>
          <w:iCs/>
          <w:sz w:val="20"/>
        </w:rPr>
        <w:t xml:space="preserve">Boisclair </w:t>
      </w:r>
      <w:r w:rsidRPr="009274A0">
        <w:rPr>
          <w:rFonts w:cs="Arial"/>
          <w:sz w:val="20"/>
        </w:rPr>
        <w:t>et</w:t>
      </w:r>
      <w:r w:rsidRPr="009274A0">
        <w:rPr>
          <w:rFonts w:cs="Arial"/>
          <w:i/>
          <w:iCs/>
          <w:sz w:val="20"/>
        </w:rPr>
        <w:t xml:space="preserve"> Centre de services scolaire des Chênes</w:t>
      </w:r>
      <w:r w:rsidRPr="009274A0">
        <w:rPr>
          <w:rFonts w:cs="Arial"/>
          <w:sz w:val="20"/>
        </w:rPr>
        <w:t>,</w:t>
      </w:r>
      <w:r>
        <w:rPr>
          <w:rFonts w:cs="Arial"/>
          <w:sz w:val="20"/>
        </w:rPr>
        <w:t xml:space="preserve"> 2024 QCTAT 3626</w:t>
      </w:r>
      <w:r w:rsidRPr="009274A0">
        <w:rPr>
          <w:rFonts w:cs="Arial"/>
          <w:sz w:val="20"/>
        </w:rPr>
        <w:t xml:space="preserve">; </w:t>
      </w:r>
      <w:r w:rsidRPr="009274A0">
        <w:rPr>
          <w:rFonts w:cs="Arial"/>
          <w:i/>
          <w:iCs/>
          <w:sz w:val="20"/>
        </w:rPr>
        <w:t xml:space="preserve">Beaudoin </w:t>
      </w:r>
      <w:r w:rsidRPr="009274A0">
        <w:rPr>
          <w:rFonts w:cs="Arial"/>
          <w:sz w:val="20"/>
        </w:rPr>
        <w:t>et</w:t>
      </w:r>
      <w:r w:rsidRPr="009274A0">
        <w:rPr>
          <w:rFonts w:cs="Arial"/>
          <w:i/>
          <w:iCs/>
          <w:sz w:val="20"/>
        </w:rPr>
        <w:t xml:space="preserve"> Centre de services scolaire Marie-Victorin</w:t>
      </w:r>
      <w:r w:rsidRPr="009274A0">
        <w:rPr>
          <w:rFonts w:cs="Arial"/>
          <w:sz w:val="20"/>
        </w:rPr>
        <w:t xml:space="preserve">, </w:t>
      </w:r>
      <w:r w:rsidRPr="00374E5C">
        <w:rPr>
          <w:rFonts w:cs="Arial"/>
          <w:sz w:val="20"/>
        </w:rPr>
        <w:t>précitée, note</w:t>
      </w:r>
      <w:r>
        <w:rPr>
          <w:rFonts w:cs="Arial"/>
          <w:sz w:val="20"/>
        </w:rPr>
        <w:t xml:space="preserve"> 15.</w:t>
      </w:r>
    </w:p>
  </w:footnote>
  <w:footnote w:id="32">
    <w:p w14:paraId="46C292F2" w14:textId="77777777" w:rsidR="008619A5" w:rsidRPr="00FE4FA1" w:rsidRDefault="008619A5" w:rsidP="003B0671">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Précitée, note 27.</w:t>
      </w:r>
    </w:p>
  </w:footnote>
  <w:footnote w:id="33">
    <w:p w14:paraId="318C22A9" w14:textId="77777777" w:rsidR="008619A5" w:rsidRPr="00843F64" w:rsidRDefault="008619A5" w:rsidP="00843F64">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Pr>
          <w:rFonts w:cs="Arial"/>
          <w:color w:val="000000"/>
          <w:sz w:val="20"/>
        </w:rPr>
        <w:t xml:space="preserve">Pierre MARCOTTE, Paul-Émile BOILEAU et Jérôme BOUTIN, </w:t>
      </w:r>
      <w:r>
        <w:rPr>
          <w:rFonts w:cs="Arial"/>
          <w:i/>
          <w:iCs/>
          <w:color w:val="000000"/>
          <w:sz w:val="20"/>
        </w:rPr>
        <w:t xml:space="preserve">Étude de l'exposition professionnelle au bruit des conducteurs d'autobus scolaires, </w:t>
      </w:r>
      <w:r>
        <w:rPr>
          <w:rFonts w:cs="Arial"/>
          <w:color w:val="000000"/>
          <w:sz w:val="20"/>
        </w:rPr>
        <w:t>coll. « Études et recherches, R</w:t>
      </w:r>
      <w:r>
        <w:rPr>
          <w:rFonts w:cs="Arial"/>
          <w:color w:val="000000"/>
          <w:sz w:val="20"/>
        </w:rPr>
        <w:noBreakHyphen/>
        <w:t xml:space="preserve">364 », Montréal, Institut de recherche Robert-Sauvé en santé et en sécurité du travail, 2004, [En ligne], </w:t>
      </w:r>
      <w:r w:rsidRPr="00D6300C">
        <w:rPr>
          <w:rFonts w:cs="Arial"/>
          <w:sz w:val="20"/>
        </w:rPr>
        <w:t>&lt;</w:t>
      </w:r>
      <w:hyperlink r:id="rId1" w:history="1">
        <w:r w:rsidRPr="00D6300C">
          <w:rPr>
            <w:rFonts w:cs="Arial"/>
            <w:sz w:val="20"/>
          </w:rPr>
          <w:t>https://www.irsst.qc.ca/media/documents/PubIRSST/R-364.pdf</w:t>
        </w:r>
      </w:hyperlink>
      <w:r>
        <w:rPr>
          <w:rFonts w:cs="Arial"/>
          <w:color w:val="000000"/>
          <w:sz w:val="20"/>
        </w:rPr>
        <w:t>&gt; (Date de consultation inconnue).</w:t>
      </w:r>
    </w:p>
  </w:footnote>
  <w:footnote w:id="34">
    <w:p w14:paraId="681A7194" w14:textId="77777777" w:rsidR="008619A5" w:rsidRPr="00F3053B" w:rsidRDefault="008619A5" w:rsidP="00F3053B">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Données prises par sonomètre en date des 11, 15, 16, 18 et 19 avril 2024. </w:t>
      </w:r>
    </w:p>
  </w:footnote>
  <w:footnote w:id="35">
    <w:p w14:paraId="59841FD8" w14:textId="77777777" w:rsidR="008619A5" w:rsidRPr="002D2823" w:rsidRDefault="008619A5" w:rsidP="00697B41">
      <w:pPr>
        <w:pStyle w:val="Notedebasdepage"/>
        <w:tabs>
          <w:tab w:val="left" w:pos="720"/>
        </w:tabs>
        <w:ind w:left="720" w:hanging="720"/>
        <w:jc w:val="both"/>
        <w:rPr>
          <w:rFonts w:cs="Arial"/>
          <w:sz w:val="20"/>
        </w:rPr>
      </w:pPr>
      <w:r w:rsidRPr="00447B5C">
        <w:rPr>
          <w:rStyle w:val="Appelnotedebasdep"/>
        </w:rPr>
        <w:footnoteRef/>
      </w:r>
      <w:r w:rsidRPr="00447B5C">
        <w:t xml:space="preserve"> </w:t>
      </w:r>
      <w:r w:rsidRPr="00447B5C">
        <w:rPr>
          <w:rFonts w:cs="Arial"/>
          <w:sz w:val="20"/>
        </w:rPr>
        <w:tab/>
      </w:r>
      <w:r w:rsidRPr="003B0671">
        <w:rPr>
          <w:rFonts w:cs="Arial"/>
          <w:sz w:val="20"/>
        </w:rPr>
        <w:t>P</w:t>
      </w:r>
      <w:r w:rsidRPr="00374E5C">
        <w:rPr>
          <w:rFonts w:cs="Arial"/>
          <w:sz w:val="20"/>
        </w:rPr>
        <w:t>récitée, note 1</w:t>
      </w:r>
      <w:r>
        <w:rPr>
          <w:rFonts w:cs="Arial"/>
          <w:sz w:val="20"/>
        </w:rPr>
        <w:t>7</w:t>
      </w:r>
      <w:r w:rsidRPr="00374E5C">
        <w:rPr>
          <w:rFonts w:cs="Arial"/>
          <w:sz w:val="20"/>
        </w:rPr>
        <w:t>.</w:t>
      </w:r>
    </w:p>
  </w:footnote>
  <w:footnote w:id="36">
    <w:p w14:paraId="3CC67C95" w14:textId="77777777" w:rsidR="008619A5" w:rsidRPr="000A622F" w:rsidRDefault="008619A5" w:rsidP="00697B41">
      <w:pPr>
        <w:pStyle w:val="Notedebasdepage"/>
        <w:tabs>
          <w:tab w:val="left" w:pos="720"/>
        </w:tabs>
        <w:ind w:left="720" w:hanging="720"/>
        <w:jc w:val="both"/>
        <w:rPr>
          <w:rFonts w:cs="Arial"/>
          <w:sz w:val="20"/>
        </w:rPr>
      </w:pPr>
      <w:r w:rsidRPr="002D2823">
        <w:rPr>
          <w:rStyle w:val="Appelnotedebasdep"/>
        </w:rPr>
        <w:footnoteRef/>
      </w:r>
      <w:r w:rsidRPr="002D2823">
        <w:t xml:space="preserve"> </w:t>
      </w:r>
      <w:r w:rsidRPr="002D2823">
        <w:rPr>
          <w:rFonts w:cs="Arial"/>
          <w:sz w:val="20"/>
        </w:rPr>
        <w:tab/>
      </w:r>
      <w:r w:rsidRPr="00374E5C">
        <w:rPr>
          <w:rFonts w:cs="Arial"/>
          <w:i/>
          <w:iCs/>
          <w:sz w:val="20"/>
        </w:rPr>
        <w:t>Id.</w:t>
      </w:r>
    </w:p>
  </w:footnote>
  <w:footnote w:id="37">
    <w:p w14:paraId="25A6352D" w14:textId="77777777" w:rsidR="008619A5" w:rsidRPr="003D0C81" w:rsidRDefault="008619A5" w:rsidP="00C66603">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w:t>
      </w:r>
      <w:r w:rsidRPr="00961C80">
        <w:rPr>
          <w:rFonts w:cs="Arial"/>
          <w:sz w:val="20"/>
        </w:rPr>
        <w:t>Une valeur exprimée en dB (A) est l'évaluation en </w:t>
      </w:r>
      <w:hyperlink r:id="rId2" w:tooltip="Décibel" w:history="1">
        <w:r w:rsidRPr="00961C80">
          <w:rPr>
            <w:rStyle w:val="Lienhypertexte"/>
            <w:rFonts w:cs="Arial"/>
            <w:sz w:val="20"/>
          </w:rPr>
          <w:t>décibels</w:t>
        </w:r>
      </w:hyperlink>
      <w:r w:rsidRPr="00961C80">
        <w:rPr>
          <w:rFonts w:cs="Arial"/>
          <w:sz w:val="20"/>
        </w:rPr>
        <w:t> d'un niveau </w:t>
      </w:r>
      <w:hyperlink r:id="rId3" w:tooltip="Son (physique)" w:history="1">
        <w:r w:rsidRPr="00961C80">
          <w:rPr>
            <w:rStyle w:val="Lienhypertexte"/>
            <w:rFonts w:cs="Arial"/>
            <w:sz w:val="20"/>
          </w:rPr>
          <w:t>sonore</w:t>
        </w:r>
      </w:hyperlink>
      <w:r w:rsidRPr="00961C80">
        <w:rPr>
          <w:rFonts w:cs="Arial"/>
          <w:sz w:val="20"/>
        </w:rPr>
        <w:t> avec la </w:t>
      </w:r>
      <w:hyperlink r:id="rId4" w:anchor="Math%C3%A9matiques" w:tooltip="Poids" w:history="1">
        <w:r w:rsidRPr="00961C80">
          <w:rPr>
            <w:rStyle w:val="Lienhypertexte"/>
            <w:rFonts w:cs="Arial"/>
            <w:sz w:val="20"/>
          </w:rPr>
          <w:t>pondération</w:t>
        </w:r>
      </w:hyperlink>
      <w:r w:rsidRPr="00961C80">
        <w:rPr>
          <w:rFonts w:cs="Arial"/>
          <w:sz w:val="20"/>
        </w:rPr>
        <w:t> A de la norme </w:t>
      </w:r>
      <w:hyperlink r:id="rId5" w:tooltip="Commission électrotechnique internationale" w:history="1">
        <w:r w:rsidRPr="00961C80">
          <w:rPr>
            <w:rStyle w:val="Lienhypertexte"/>
            <w:rFonts w:cs="Arial"/>
            <w:sz w:val="20"/>
          </w:rPr>
          <w:t>CEI</w:t>
        </w:r>
      </w:hyperlink>
      <w:r w:rsidRPr="00961C80">
        <w:rPr>
          <w:rFonts w:cs="Arial"/>
          <w:sz w:val="20"/>
        </w:rPr>
        <w:t> 61672-1 « </w:t>
      </w:r>
      <w:hyperlink r:id="rId6" w:tooltip="Électroacoustique" w:history="1">
        <w:r w:rsidRPr="00961C80">
          <w:rPr>
            <w:rStyle w:val="Lienhypertexte"/>
            <w:rFonts w:cs="Arial"/>
            <w:sz w:val="20"/>
          </w:rPr>
          <w:t>Électroacoustique</w:t>
        </w:r>
      </w:hyperlink>
      <w:r w:rsidRPr="00961C80">
        <w:rPr>
          <w:rFonts w:cs="Arial"/>
          <w:sz w:val="20"/>
        </w:rPr>
        <w:t> – </w:t>
      </w:r>
      <w:hyperlink r:id="rId7" w:tooltip="Sonomètre" w:history="1">
        <w:r w:rsidRPr="00961C80">
          <w:rPr>
            <w:rStyle w:val="Lienhypertexte"/>
            <w:rFonts w:cs="Arial"/>
            <w:sz w:val="20"/>
          </w:rPr>
          <w:t>Sonomètres</w:t>
        </w:r>
      </w:hyperlink>
      <w:r w:rsidRPr="00961C80">
        <w:rPr>
          <w:rFonts w:cs="Arial"/>
          <w:sz w:val="20"/>
        </w:rPr>
        <w:t> », établie pour tenir compte de la </w:t>
      </w:r>
      <w:hyperlink r:id="rId8" w:tooltip="Sensation" w:history="1">
        <w:r w:rsidRPr="00961C80">
          <w:rPr>
            <w:rStyle w:val="Lienhypertexte"/>
            <w:rFonts w:cs="Arial"/>
            <w:sz w:val="20"/>
          </w:rPr>
          <w:t>sensibilité</w:t>
        </w:r>
      </w:hyperlink>
      <w:r w:rsidRPr="00961C80">
        <w:rPr>
          <w:rFonts w:cs="Arial"/>
          <w:sz w:val="20"/>
        </w:rPr>
        <w:t> moyenne, à un faible volume sonore, des personnes ayant une </w:t>
      </w:r>
      <w:hyperlink r:id="rId9" w:tooltip="Audition humaine" w:history="1">
        <w:r w:rsidRPr="00961C80">
          <w:rPr>
            <w:rStyle w:val="Lienhypertexte"/>
            <w:rFonts w:cs="Arial"/>
            <w:sz w:val="20"/>
          </w:rPr>
          <w:t>audition</w:t>
        </w:r>
      </w:hyperlink>
      <w:r w:rsidRPr="00961C80">
        <w:rPr>
          <w:rFonts w:cs="Arial"/>
          <w:sz w:val="20"/>
        </w:rPr>
        <w:t> considérée comme normale, pour chaque bande de </w:t>
      </w:r>
      <w:hyperlink r:id="rId10" w:tooltip="Fréquence" w:history="1">
        <w:r w:rsidRPr="00961C80">
          <w:rPr>
            <w:rStyle w:val="Lienhypertexte"/>
            <w:rFonts w:cs="Arial"/>
            <w:sz w:val="20"/>
          </w:rPr>
          <w:t>fréquences</w:t>
        </w:r>
      </w:hyperlink>
      <w:r w:rsidRPr="00961C80">
        <w:rPr>
          <w:rFonts w:cs="Arial"/>
          <w:sz w:val="20"/>
        </w:rPr>
        <w:t>. La pondération A sert fréquemment pour l'évaluation de la </w:t>
      </w:r>
      <w:hyperlink r:id="rId11" w:tooltip="Sonie" w:history="1">
        <w:r w:rsidRPr="00961C80">
          <w:rPr>
            <w:rStyle w:val="Lienhypertexte"/>
            <w:rFonts w:cs="Arial"/>
            <w:sz w:val="20"/>
          </w:rPr>
          <w:t>sonie</w:t>
        </w:r>
      </w:hyperlink>
      <w:r w:rsidRPr="00961C80">
        <w:rPr>
          <w:rFonts w:cs="Arial"/>
          <w:sz w:val="20"/>
        </w:rPr>
        <w:t> des </w:t>
      </w:r>
      <w:hyperlink r:id="rId12" w:tooltip="Bruit" w:history="1">
        <w:r w:rsidRPr="00961C80">
          <w:rPr>
            <w:rStyle w:val="Lienhypertexte"/>
            <w:rFonts w:cs="Arial"/>
            <w:sz w:val="20"/>
          </w:rPr>
          <w:t>bruits</w:t>
        </w:r>
      </w:hyperlink>
      <w:r w:rsidRPr="00961C80">
        <w:rPr>
          <w:rFonts w:cs="Arial"/>
          <w:sz w:val="20"/>
        </w:rPr>
        <w:t> </w:t>
      </w:r>
      <w:hyperlink r:id="rId13" w:tooltip="Acoustique environnementale" w:history="1">
        <w:r w:rsidRPr="00961C80">
          <w:rPr>
            <w:rStyle w:val="Lienhypertexte"/>
            <w:rFonts w:cs="Arial"/>
            <w:sz w:val="20"/>
          </w:rPr>
          <w:t>environnementaux</w:t>
        </w:r>
      </w:hyperlink>
      <w:r>
        <w:t> </w:t>
      </w:r>
      <w:r w:rsidRPr="00D8543C">
        <w:rPr>
          <w:sz w:val="20"/>
        </w:rPr>
        <w:t>»</w:t>
      </w:r>
      <w:r w:rsidRPr="00961C80">
        <w:rPr>
          <w:sz w:val="20"/>
        </w:rPr>
        <w:t xml:space="preserve">, </w:t>
      </w:r>
      <w:r w:rsidRPr="00D8543C">
        <w:rPr>
          <w:sz w:val="20"/>
        </w:rPr>
        <w:t xml:space="preserve">WIKIPÉDIA, </w:t>
      </w:r>
      <w:r w:rsidRPr="00D8543C">
        <w:rPr>
          <w:i/>
          <w:iCs/>
          <w:sz w:val="20"/>
        </w:rPr>
        <w:t xml:space="preserve">Décibel A, </w:t>
      </w:r>
      <w:r w:rsidRPr="00D8543C">
        <w:rPr>
          <w:sz w:val="20"/>
        </w:rPr>
        <w:t>(6 janvier 2025), [En ligne], &lt;</w:t>
      </w:r>
      <w:hyperlink r:id="rId14" w:history="1">
        <w:r w:rsidRPr="00D8543C">
          <w:rPr>
            <w:rStyle w:val="Lienhypertexte"/>
            <w:sz w:val="20"/>
          </w:rPr>
          <w:t>https://fr.wikipedia.org/wiki/D%C3%A9cibel_A</w:t>
        </w:r>
      </w:hyperlink>
      <w:r w:rsidRPr="00D8543C">
        <w:rPr>
          <w:sz w:val="20"/>
        </w:rPr>
        <w:t>&gt; (Date de consultation inconnue).</w:t>
      </w:r>
    </w:p>
  </w:footnote>
  <w:footnote w:id="38">
    <w:p w14:paraId="7452B90A" w14:textId="77777777" w:rsidR="008619A5" w:rsidRPr="00010C06" w:rsidRDefault="008619A5" w:rsidP="00FC1A32">
      <w:pPr>
        <w:pStyle w:val="Notedebasdepage"/>
        <w:tabs>
          <w:tab w:val="left" w:pos="720"/>
        </w:tabs>
        <w:ind w:left="720" w:hanging="720"/>
        <w:jc w:val="both"/>
        <w:rPr>
          <w:rFonts w:cs="Arial"/>
          <w:sz w:val="20"/>
        </w:rPr>
      </w:pPr>
      <w:r>
        <w:rPr>
          <w:rStyle w:val="Appelnotedebasdep"/>
        </w:rPr>
        <w:footnoteRef/>
      </w:r>
      <w:r w:rsidRPr="00010C06">
        <w:t xml:space="preserve"> </w:t>
      </w:r>
      <w:r w:rsidRPr="00010C06">
        <w:rPr>
          <w:rFonts w:cs="Arial"/>
          <w:sz w:val="20"/>
        </w:rPr>
        <w:tab/>
      </w:r>
      <w:r w:rsidRPr="00374E5C">
        <w:rPr>
          <w:rFonts w:cs="Arial"/>
          <w:sz w:val="20"/>
        </w:rPr>
        <w:t>Précitée, note 1</w:t>
      </w:r>
      <w:r>
        <w:rPr>
          <w:rFonts w:cs="Arial"/>
          <w:sz w:val="20"/>
        </w:rPr>
        <w:t>9</w:t>
      </w:r>
      <w:r w:rsidRPr="00374E5C">
        <w:rPr>
          <w:rFonts w:cs="Arial"/>
          <w:sz w:val="20"/>
        </w:rPr>
        <w:t>.</w:t>
      </w:r>
    </w:p>
  </w:footnote>
  <w:footnote w:id="39">
    <w:p w14:paraId="2491AF98" w14:textId="77777777" w:rsidR="008619A5" w:rsidRPr="003A5287" w:rsidRDefault="008619A5" w:rsidP="003A5287">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374E5C">
        <w:rPr>
          <w:rFonts w:cs="Arial"/>
          <w:sz w:val="20"/>
        </w:rPr>
        <w:t xml:space="preserve">Précitée, note </w:t>
      </w:r>
      <w:r>
        <w:rPr>
          <w:rFonts w:cs="Arial"/>
          <w:sz w:val="20"/>
        </w:rPr>
        <w:t>3</w:t>
      </w:r>
      <w:r w:rsidRPr="00374E5C">
        <w:rPr>
          <w:rFonts w:cs="Arial"/>
          <w:sz w:val="20"/>
        </w:rPr>
        <w:t>1.</w:t>
      </w:r>
    </w:p>
  </w:footnote>
  <w:footnote w:id="40">
    <w:p w14:paraId="040A108C" w14:textId="77777777" w:rsidR="008619A5" w:rsidRPr="00843F64" w:rsidRDefault="008619A5" w:rsidP="00AA75BC">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2F7780">
        <w:rPr>
          <w:rFonts w:cs="Arial"/>
          <w:sz w:val="20"/>
        </w:rPr>
        <w:t>Pierre MARCOTTE, Paul-Émile BOILEAU et Jérôme BOUTIN, Étude de l'exposition professionnelle au bruit des conducteurs d'autobus scolaires, coll. « Études et recherches,</w:t>
      </w:r>
      <w:r w:rsidRPr="002F7780">
        <w:t xml:space="preserve"> </w:t>
      </w:r>
      <w:r w:rsidRPr="002F7780">
        <w:rPr>
          <w:rFonts w:cs="Arial"/>
          <w:sz w:val="20"/>
        </w:rPr>
        <w:t>Rapport n° R-364</w:t>
      </w:r>
      <w:r>
        <w:rPr>
          <w:rFonts w:cs="Arial"/>
          <w:sz w:val="20"/>
        </w:rPr>
        <w:t xml:space="preserve"> </w:t>
      </w:r>
      <w:r w:rsidRPr="002F7780">
        <w:rPr>
          <w:rFonts w:cs="Arial"/>
          <w:sz w:val="20"/>
        </w:rPr>
        <w:t xml:space="preserve">», </w:t>
      </w:r>
      <w:r>
        <w:rPr>
          <w:rFonts w:cs="Arial"/>
          <w:sz w:val="20"/>
        </w:rPr>
        <w:t>IRSST, précité note 30, pages 1 et 12.</w:t>
      </w:r>
    </w:p>
    <w:p w14:paraId="1129726D" w14:textId="77777777" w:rsidR="008619A5" w:rsidRPr="002629A5" w:rsidRDefault="008619A5" w:rsidP="00AA75BC">
      <w:pPr>
        <w:pStyle w:val="Notedebasdepage"/>
        <w:tabs>
          <w:tab w:val="left" w:pos="720"/>
        </w:tabs>
        <w:ind w:left="720" w:hanging="720"/>
        <w:jc w:val="both"/>
        <w:rPr>
          <w:rFonts w:cs="Arial"/>
          <w:sz w:val="20"/>
        </w:rPr>
      </w:pPr>
    </w:p>
  </w:footnote>
  <w:footnote w:id="41">
    <w:p w14:paraId="7E176F79" w14:textId="77777777" w:rsidR="008619A5" w:rsidRPr="002D5C97" w:rsidRDefault="008619A5" w:rsidP="00313FBA">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2D5C97">
        <w:rPr>
          <w:rFonts w:cs="Arial"/>
          <w:i/>
          <w:sz w:val="20"/>
        </w:rPr>
        <w:t>Savoie</w:t>
      </w:r>
      <w:r w:rsidRPr="002D5C97">
        <w:rPr>
          <w:rFonts w:cs="Arial"/>
          <w:sz w:val="20"/>
        </w:rPr>
        <w:t xml:space="preserve"> et </w:t>
      </w:r>
      <w:r w:rsidRPr="002D5C97">
        <w:rPr>
          <w:rFonts w:cs="Arial"/>
          <w:i/>
          <w:sz w:val="20"/>
        </w:rPr>
        <w:t>Hydro-Québec</w:t>
      </w:r>
      <w:r>
        <w:rPr>
          <w:rFonts w:cs="Arial"/>
          <w:sz w:val="20"/>
        </w:rPr>
        <w:t xml:space="preserve">, </w:t>
      </w:r>
      <w:r w:rsidRPr="002D5C97">
        <w:rPr>
          <w:rFonts w:cs="Arial"/>
          <w:sz w:val="20"/>
        </w:rPr>
        <w:t>C.L.P. 283658-64-0</w:t>
      </w:r>
      <w:r>
        <w:rPr>
          <w:rFonts w:cs="Arial"/>
          <w:sz w:val="20"/>
        </w:rPr>
        <w:t xml:space="preserve">602, 29 janvier 2008, R. Daniel; </w:t>
      </w:r>
      <w:r w:rsidRPr="006930C9">
        <w:rPr>
          <w:rFonts w:cs="Arial"/>
          <w:i/>
          <w:iCs/>
          <w:sz w:val="20"/>
        </w:rPr>
        <w:t>St-Pierre</w:t>
      </w:r>
      <w:r>
        <w:rPr>
          <w:rFonts w:cs="Arial"/>
          <w:sz w:val="20"/>
        </w:rPr>
        <w:t>, précitée, note 12; Boucher</w:t>
      </w:r>
      <w:r w:rsidRPr="002D5C97">
        <w:rPr>
          <w:rFonts w:cs="Arial"/>
          <w:sz w:val="20"/>
        </w:rPr>
        <w:t xml:space="preserve"> et </w:t>
      </w:r>
      <w:r w:rsidRPr="002D5C97">
        <w:rPr>
          <w:rFonts w:cs="Arial"/>
          <w:i/>
          <w:sz w:val="20"/>
        </w:rPr>
        <w:t>Algorithme Pharma inc.</w:t>
      </w:r>
      <w:r w:rsidRPr="002D5C97">
        <w:rPr>
          <w:rFonts w:cs="Arial"/>
          <w:sz w:val="20"/>
        </w:rPr>
        <w:t>,</w:t>
      </w:r>
      <w:r>
        <w:rPr>
          <w:rFonts w:cs="Arial"/>
          <w:sz w:val="20"/>
        </w:rPr>
        <w:t> 201</w:t>
      </w:r>
      <w:r w:rsidRPr="002D5C97">
        <w:rPr>
          <w:rFonts w:cs="Arial"/>
          <w:sz w:val="20"/>
        </w:rPr>
        <w:t>6 QCTAT 4052</w:t>
      </w:r>
      <w:r>
        <w:rPr>
          <w:rFonts w:cs="Arial"/>
          <w:sz w:val="20"/>
        </w:rPr>
        <w:t xml:space="preserve">; </w:t>
      </w:r>
      <w:r w:rsidRPr="002D5C97">
        <w:rPr>
          <w:rFonts w:cs="Arial"/>
          <w:i/>
          <w:sz w:val="20"/>
        </w:rPr>
        <w:t>Compagnie de chemin de fer Canadien Pacifique</w:t>
      </w:r>
      <w:r w:rsidRPr="002D5C97">
        <w:rPr>
          <w:rFonts w:cs="Arial"/>
          <w:sz w:val="20"/>
        </w:rPr>
        <w:t xml:space="preserve"> et </w:t>
      </w:r>
      <w:r w:rsidRPr="002D5C97">
        <w:rPr>
          <w:rFonts w:cs="Arial"/>
          <w:i/>
          <w:sz w:val="20"/>
        </w:rPr>
        <w:t>Scalia</w:t>
      </w:r>
      <w:r w:rsidRPr="002D5C97">
        <w:rPr>
          <w:rFonts w:cs="Arial"/>
          <w:sz w:val="20"/>
        </w:rPr>
        <w:t>,</w:t>
      </w:r>
      <w:r>
        <w:rPr>
          <w:rFonts w:cs="Arial"/>
          <w:sz w:val="20"/>
        </w:rPr>
        <w:t> 202</w:t>
      </w:r>
      <w:r w:rsidRPr="002D5C97">
        <w:rPr>
          <w:rFonts w:cs="Arial"/>
          <w:sz w:val="20"/>
        </w:rPr>
        <w:t>0 QCTAT 4086</w:t>
      </w:r>
      <w:r>
        <w:rPr>
          <w:rFonts w:cs="Arial"/>
          <w:sz w:val="20"/>
        </w:rPr>
        <w:t>.</w:t>
      </w:r>
    </w:p>
  </w:footnote>
  <w:footnote w:id="42">
    <w:p w14:paraId="641C77C8" w14:textId="77777777" w:rsidR="008619A5" w:rsidRPr="00113144" w:rsidRDefault="008619A5" w:rsidP="00113144">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Jean-François </w:t>
      </w:r>
      <w:r w:rsidRPr="007B3D8E">
        <w:rPr>
          <w:rFonts w:cs="Arial"/>
          <w:sz w:val="20"/>
        </w:rPr>
        <w:t xml:space="preserve">DUFOUR, « La surdité professionnelle dans tous ses états : de l’admissibilité à l’impact financier » dans </w:t>
      </w:r>
      <w:r w:rsidRPr="00374E5C">
        <w:rPr>
          <w:rFonts w:cs="Arial"/>
          <w:sz w:val="20"/>
        </w:rPr>
        <w:t>BARREAU DU QUÉBEC, SERVICE DE LA FORMATION PERMANENTE,</w:t>
      </w:r>
      <w:r w:rsidRPr="007B3D8E">
        <w:rPr>
          <w:rFonts w:cs="Arial"/>
          <w:sz w:val="20"/>
        </w:rPr>
        <w:t xml:space="preserve"> </w:t>
      </w:r>
      <w:r w:rsidRPr="007B3D8E">
        <w:rPr>
          <w:rFonts w:cs="Arial"/>
          <w:i/>
          <w:iCs/>
          <w:sz w:val="20"/>
        </w:rPr>
        <w:t>Développements</w:t>
      </w:r>
      <w:r w:rsidRPr="001F4FF7">
        <w:rPr>
          <w:rFonts w:cs="Arial"/>
          <w:i/>
          <w:iCs/>
          <w:sz w:val="20"/>
        </w:rPr>
        <w:t xml:space="preserve"> récents en droit de la santé et sécurité au travail</w:t>
      </w:r>
      <w:r w:rsidRPr="00AA581A">
        <w:rPr>
          <w:rFonts w:cs="Arial"/>
          <w:sz w:val="20"/>
        </w:rPr>
        <w:t xml:space="preserve">, </w:t>
      </w:r>
      <w:r w:rsidRPr="00374E5C">
        <w:rPr>
          <w:rFonts w:cs="Arial"/>
          <w:sz w:val="20"/>
        </w:rPr>
        <w:t>(2024</w:t>
      </w:r>
      <w:r w:rsidRPr="00AA581A">
        <w:rPr>
          <w:rFonts w:cs="Arial"/>
          <w:sz w:val="20"/>
        </w:rPr>
        <w:t>), Édition</w:t>
      </w:r>
      <w:r>
        <w:rPr>
          <w:rFonts w:cs="Arial"/>
          <w:sz w:val="20"/>
        </w:rPr>
        <w:t xml:space="preserve"> Yvon Blais, 2014, page 24, section 2.2.4; voir aussi </w:t>
      </w:r>
      <w:r w:rsidRPr="00B7436E">
        <w:rPr>
          <w:rFonts w:cs="Arial"/>
          <w:i/>
          <w:iCs/>
          <w:sz w:val="20"/>
        </w:rPr>
        <w:t>Multitemp inc</w:t>
      </w:r>
      <w:r>
        <w:rPr>
          <w:rFonts w:cs="Arial"/>
          <w:i/>
          <w:iCs/>
          <w:sz w:val="20"/>
        </w:rPr>
        <w:t>.</w:t>
      </w:r>
      <w:r w:rsidRPr="00B7436E">
        <w:rPr>
          <w:rFonts w:cs="Arial"/>
          <w:i/>
          <w:iCs/>
          <w:sz w:val="20"/>
        </w:rPr>
        <w:t xml:space="preserve"> </w:t>
      </w:r>
      <w:r w:rsidRPr="00B7436E">
        <w:rPr>
          <w:rFonts w:cs="Arial"/>
          <w:sz w:val="20"/>
        </w:rPr>
        <w:t>et</w:t>
      </w:r>
      <w:r w:rsidRPr="00B7436E">
        <w:rPr>
          <w:rFonts w:cs="Arial"/>
          <w:i/>
          <w:iCs/>
          <w:sz w:val="20"/>
        </w:rPr>
        <w:t xml:space="preserve"> Taing</w:t>
      </w:r>
      <w:r>
        <w:rPr>
          <w:rFonts w:cs="Arial"/>
          <w:sz w:val="20"/>
        </w:rPr>
        <w:t>, 2011 QCCLP 4531.</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590" w:type="dxa"/>
      <w:tblInd w:w="-20" w:type="dxa"/>
      <w:tblLayout w:type="fixed"/>
      <w:tblCellMar>
        <w:left w:w="70" w:type="dxa"/>
        <w:right w:w="70" w:type="dxa"/>
      </w:tblCellMar>
      <w:tblLook w:val="0000" w:firstRow="0" w:lastRow="0" w:firstColumn="0" w:lastColumn="0" w:noHBand="0" w:noVBand="0"/>
    </w:tblPr>
    <w:tblGrid>
      <w:gridCol w:w="8730"/>
      <w:gridCol w:w="860"/>
    </w:tblGrid>
    <w:tr w:rsidR="00885022" w14:paraId="41DD8514" w14:textId="77777777" w:rsidTr="00DA4F84">
      <w:tc>
        <w:tcPr>
          <w:tcW w:w="8730" w:type="dxa"/>
        </w:tcPr>
        <w:p w14:paraId="5A6286E9" w14:textId="77777777" w:rsidR="00885022" w:rsidRDefault="00885022">
          <w:pPr>
            <w:pStyle w:val="En-tte"/>
            <w:ind w:left="-90"/>
          </w:pPr>
        </w:p>
      </w:tc>
      <w:tc>
        <w:tcPr>
          <w:tcW w:w="860" w:type="dxa"/>
        </w:tcPr>
        <w:p w14:paraId="10DE793B" w14:textId="77777777" w:rsidR="00885022" w:rsidRDefault="00885022">
          <w:pPr>
            <w:pStyle w:val="En-tte"/>
            <w:ind w:left="-90"/>
          </w:pPr>
        </w:p>
      </w:tc>
    </w:tr>
    <w:tr w:rsidR="00DA4F84" w14:paraId="680B6124" w14:textId="77777777" w:rsidTr="00DA4F84">
      <w:tc>
        <w:tcPr>
          <w:tcW w:w="8730" w:type="dxa"/>
        </w:tcPr>
        <w:p w14:paraId="6A473664" w14:textId="1D0DD90A" w:rsidR="00DA4F84" w:rsidRDefault="00DA4F84" w:rsidP="00DA4F84">
          <w:r w:rsidRPr="00627BDF">
            <w:t>1304674</w:t>
          </w:r>
          <w:r>
            <w:t>-71-2212</w:t>
          </w:r>
        </w:p>
      </w:tc>
      <w:tc>
        <w:tcPr>
          <w:tcW w:w="860" w:type="dxa"/>
        </w:tcPr>
        <w:p w14:paraId="48FE8A45" w14:textId="77777777" w:rsidR="00DA4F84" w:rsidRDefault="00DA4F84" w:rsidP="00DA4F84">
          <w:pPr>
            <w:pStyle w:val="En-tte"/>
            <w:ind w:left="-90"/>
            <w:jc w:val="right"/>
            <w:rPr>
              <w:rStyle w:val="Numrodepage"/>
            </w:rPr>
          </w:pPr>
          <w:r>
            <w:rPr>
              <w:rStyle w:val="Numrodepage"/>
            </w:rPr>
            <w:fldChar w:fldCharType="begin"/>
          </w:r>
          <w:r>
            <w:rPr>
              <w:rStyle w:val="Numrodepage"/>
            </w:rPr>
            <w:instrText xml:space="preserve"> PAGE </w:instrText>
          </w:r>
          <w:r>
            <w:rPr>
              <w:rStyle w:val="Numrodepage"/>
            </w:rPr>
            <w:fldChar w:fldCharType="separate"/>
          </w:r>
          <w:r w:rsidR="000A4514">
            <w:rPr>
              <w:rStyle w:val="Numrodepage"/>
              <w:noProof/>
            </w:rPr>
            <w:t>2</w:t>
          </w:r>
          <w:r>
            <w:rPr>
              <w:rStyle w:val="Numrodepage"/>
            </w:rPr>
            <w:fldChar w:fldCharType="end"/>
          </w:r>
        </w:p>
      </w:tc>
    </w:tr>
    <w:tr w:rsidR="00DA4F84" w14:paraId="5F06A0A8" w14:textId="77777777" w:rsidTr="00DA4F84">
      <w:tc>
        <w:tcPr>
          <w:tcW w:w="8730" w:type="dxa"/>
        </w:tcPr>
        <w:p w14:paraId="179A8762" w14:textId="77777777" w:rsidR="00DA4F84" w:rsidRDefault="00DA4F84" w:rsidP="00DA4F84"/>
      </w:tc>
      <w:tc>
        <w:tcPr>
          <w:tcW w:w="860" w:type="dxa"/>
        </w:tcPr>
        <w:p w14:paraId="1E488442" w14:textId="77777777" w:rsidR="00DA4F84" w:rsidRDefault="00DA4F84" w:rsidP="00DA4F84">
          <w:pPr>
            <w:pStyle w:val="En-tte"/>
            <w:ind w:left="-90"/>
            <w:jc w:val="right"/>
          </w:pPr>
        </w:p>
      </w:tc>
    </w:tr>
  </w:tbl>
  <w:p w14:paraId="1C4E2E37" w14:textId="77777777" w:rsidR="00885022" w:rsidRDefault="00885022">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590" w:type="dxa"/>
      <w:tblInd w:w="-20" w:type="dxa"/>
      <w:tblLayout w:type="fixed"/>
      <w:tblCellMar>
        <w:left w:w="70" w:type="dxa"/>
        <w:right w:w="70" w:type="dxa"/>
      </w:tblCellMar>
      <w:tblLook w:val="0000" w:firstRow="0" w:lastRow="0" w:firstColumn="0" w:lastColumn="0" w:noHBand="0" w:noVBand="0"/>
    </w:tblPr>
    <w:tblGrid>
      <w:gridCol w:w="8730"/>
      <w:gridCol w:w="860"/>
    </w:tblGrid>
    <w:tr w:rsidR="00D330B6" w14:paraId="530A5847" w14:textId="77777777" w:rsidTr="00F27364">
      <w:tc>
        <w:tcPr>
          <w:tcW w:w="8730" w:type="dxa"/>
        </w:tcPr>
        <w:p w14:paraId="332C1331" w14:textId="77777777" w:rsidR="008619A5" w:rsidRDefault="008619A5">
          <w:pPr>
            <w:pStyle w:val="En-tte"/>
            <w:ind w:left="-90"/>
          </w:pPr>
        </w:p>
      </w:tc>
      <w:tc>
        <w:tcPr>
          <w:tcW w:w="860" w:type="dxa"/>
        </w:tcPr>
        <w:p w14:paraId="3CE908FB" w14:textId="77777777" w:rsidR="008619A5" w:rsidRDefault="008619A5">
          <w:pPr>
            <w:pStyle w:val="En-tte"/>
            <w:ind w:left="-90"/>
          </w:pPr>
        </w:p>
      </w:tc>
    </w:tr>
    <w:tr w:rsidR="00627BDF" w14:paraId="00BB9479" w14:textId="77777777" w:rsidTr="00F27364">
      <w:tc>
        <w:tcPr>
          <w:tcW w:w="8730" w:type="dxa"/>
        </w:tcPr>
        <w:p w14:paraId="4EE9867E" w14:textId="77777777" w:rsidR="008619A5" w:rsidRDefault="008619A5" w:rsidP="00627BDF">
          <w:r w:rsidRPr="00627BDF">
            <w:t>1304674</w:t>
          </w:r>
          <w:r>
            <w:t>-71-2212</w:t>
          </w:r>
        </w:p>
      </w:tc>
      <w:tc>
        <w:tcPr>
          <w:tcW w:w="860" w:type="dxa"/>
        </w:tcPr>
        <w:p w14:paraId="6FD95C6C" w14:textId="77777777" w:rsidR="008619A5" w:rsidRDefault="008619A5" w:rsidP="00627BDF">
          <w:pPr>
            <w:pStyle w:val="En-tte"/>
            <w:ind w:left="-90"/>
            <w:jc w:val="right"/>
            <w:rPr>
              <w:rStyle w:val="Numrodepage"/>
            </w:rPr>
          </w:pPr>
          <w:r>
            <w:rPr>
              <w:rStyle w:val="Numrodepage"/>
            </w:rPr>
            <w:fldChar w:fldCharType="begin"/>
          </w:r>
          <w:r>
            <w:rPr>
              <w:rStyle w:val="Numrodepage"/>
            </w:rPr>
            <w:instrText xml:space="preserve"> PAGE </w:instrText>
          </w:r>
          <w:r>
            <w:rPr>
              <w:rStyle w:val="Numrodepage"/>
            </w:rPr>
            <w:fldChar w:fldCharType="separate"/>
          </w:r>
          <w:r>
            <w:rPr>
              <w:rStyle w:val="Numrodepage"/>
              <w:noProof/>
            </w:rPr>
            <w:t>3</w:t>
          </w:r>
          <w:r>
            <w:rPr>
              <w:rStyle w:val="Numrodepage"/>
            </w:rPr>
            <w:fldChar w:fldCharType="end"/>
          </w:r>
        </w:p>
      </w:tc>
    </w:tr>
    <w:tr w:rsidR="00627BDF" w14:paraId="726A812C" w14:textId="77777777" w:rsidTr="00F27364">
      <w:tc>
        <w:tcPr>
          <w:tcW w:w="8730" w:type="dxa"/>
        </w:tcPr>
        <w:p w14:paraId="373B958A" w14:textId="77777777" w:rsidR="008619A5" w:rsidRDefault="008619A5" w:rsidP="00627BDF"/>
      </w:tc>
      <w:tc>
        <w:tcPr>
          <w:tcW w:w="860" w:type="dxa"/>
        </w:tcPr>
        <w:p w14:paraId="03E48FBA" w14:textId="77777777" w:rsidR="008619A5" w:rsidRDefault="008619A5" w:rsidP="00627BDF">
          <w:pPr>
            <w:pStyle w:val="En-tte"/>
            <w:ind w:left="-90"/>
            <w:jc w:val="right"/>
          </w:pPr>
        </w:p>
      </w:tc>
    </w:tr>
  </w:tbl>
  <w:p w14:paraId="7AEA746F" w14:textId="77777777" w:rsidR="008619A5" w:rsidRDefault="008619A5">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B40DE8"/>
    <w:multiLevelType w:val="hybridMultilevel"/>
    <w:tmpl w:val="6C103F8C"/>
    <w:lvl w:ilvl="0" w:tplc="0C0C0001">
      <w:start w:val="1"/>
      <w:numFmt w:val="bullet"/>
      <w:lvlText w:val=""/>
      <w:lvlJc w:val="left"/>
      <w:pPr>
        <w:ind w:left="1440" w:hanging="720"/>
      </w:pPr>
      <w:rPr>
        <w:rFonts w:ascii="Symbol" w:hAnsi="Symbol"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 w15:restartNumberingAfterBreak="0">
    <w:nsid w:val="0D5E77BD"/>
    <w:multiLevelType w:val="hybridMultilevel"/>
    <w:tmpl w:val="BE0EC744"/>
    <w:lvl w:ilvl="0" w:tplc="23EEB022">
      <w:start w:val="1"/>
      <w:numFmt w:val="decimal"/>
      <w:lvlText w:val="%1)"/>
      <w:lvlJc w:val="left"/>
      <w:pPr>
        <w:ind w:left="1069" w:hanging="360"/>
      </w:pPr>
      <w:rPr>
        <w:rFonts w:hint="default"/>
      </w:rPr>
    </w:lvl>
    <w:lvl w:ilvl="1" w:tplc="0C0C0019" w:tentative="1">
      <w:start w:val="1"/>
      <w:numFmt w:val="lowerLetter"/>
      <w:lvlText w:val="%2."/>
      <w:lvlJc w:val="left"/>
      <w:pPr>
        <w:ind w:left="1789" w:hanging="360"/>
      </w:pPr>
    </w:lvl>
    <w:lvl w:ilvl="2" w:tplc="0C0C001B" w:tentative="1">
      <w:start w:val="1"/>
      <w:numFmt w:val="lowerRoman"/>
      <w:lvlText w:val="%3."/>
      <w:lvlJc w:val="right"/>
      <w:pPr>
        <w:ind w:left="2509" w:hanging="180"/>
      </w:pPr>
    </w:lvl>
    <w:lvl w:ilvl="3" w:tplc="0C0C000F" w:tentative="1">
      <w:start w:val="1"/>
      <w:numFmt w:val="decimal"/>
      <w:lvlText w:val="%4."/>
      <w:lvlJc w:val="left"/>
      <w:pPr>
        <w:ind w:left="3229" w:hanging="360"/>
      </w:pPr>
    </w:lvl>
    <w:lvl w:ilvl="4" w:tplc="0C0C0019" w:tentative="1">
      <w:start w:val="1"/>
      <w:numFmt w:val="lowerLetter"/>
      <w:lvlText w:val="%5."/>
      <w:lvlJc w:val="left"/>
      <w:pPr>
        <w:ind w:left="3949" w:hanging="360"/>
      </w:pPr>
    </w:lvl>
    <w:lvl w:ilvl="5" w:tplc="0C0C001B" w:tentative="1">
      <w:start w:val="1"/>
      <w:numFmt w:val="lowerRoman"/>
      <w:lvlText w:val="%6."/>
      <w:lvlJc w:val="right"/>
      <w:pPr>
        <w:ind w:left="4669" w:hanging="180"/>
      </w:pPr>
    </w:lvl>
    <w:lvl w:ilvl="6" w:tplc="0C0C000F" w:tentative="1">
      <w:start w:val="1"/>
      <w:numFmt w:val="decimal"/>
      <w:lvlText w:val="%7."/>
      <w:lvlJc w:val="left"/>
      <w:pPr>
        <w:ind w:left="5389" w:hanging="360"/>
      </w:pPr>
    </w:lvl>
    <w:lvl w:ilvl="7" w:tplc="0C0C0019" w:tentative="1">
      <w:start w:val="1"/>
      <w:numFmt w:val="lowerLetter"/>
      <w:lvlText w:val="%8."/>
      <w:lvlJc w:val="left"/>
      <w:pPr>
        <w:ind w:left="6109" w:hanging="360"/>
      </w:pPr>
    </w:lvl>
    <w:lvl w:ilvl="8" w:tplc="0C0C001B" w:tentative="1">
      <w:start w:val="1"/>
      <w:numFmt w:val="lowerRoman"/>
      <w:lvlText w:val="%9."/>
      <w:lvlJc w:val="right"/>
      <w:pPr>
        <w:ind w:left="6829" w:hanging="180"/>
      </w:pPr>
    </w:lvl>
  </w:abstractNum>
  <w:abstractNum w:abstractNumId="2" w15:restartNumberingAfterBreak="0">
    <w:nsid w:val="10D458E9"/>
    <w:multiLevelType w:val="hybridMultilevel"/>
    <w:tmpl w:val="74FA1E54"/>
    <w:lvl w:ilvl="0" w:tplc="0C0C0011">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 w15:restartNumberingAfterBreak="0">
    <w:nsid w:val="163E779D"/>
    <w:multiLevelType w:val="hybridMultilevel"/>
    <w:tmpl w:val="BDCEF9C4"/>
    <w:lvl w:ilvl="0" w:tplc="9CB6A372">
      <w:start w:val="2"/>
      <w:numFmt w:val="decimal"/>
      <w:lvlText w:val="%1."/>
      <w:lvlJc w:val="left"/>
      <w:pPr>
        <w:ind w:left="1800" w:hanging="360"/>
      </w:pPr>
      <w:rPr>
        <w:rFonts w:eastAsiaTheme="majorEastAsia" w:hint="default"/>
      </w:rPr>
    </w:lvl>
    <w:lvl w:ilvl="1" w:tplc="0C0C0019" w:tentative="1">
      <w:start w:val="1"/>
      <w:numFmt w:val="lowerLetter"/>
      <w:lvlText w:val="%2."/>
      <w:lvlJc w:val="left"/>
      <w:pPr>
        <w:ind w:left="2520" w:hanging="360"/>
      </w:pPr>
    </w:lvl>
    <w:lvl w:ilvl="2" w:tplc="0C0C001B" w:tentative="1">
      <w:start w:val="1"/>
      <w:numFmt w:val="lowerRoman"/>
      <w:lvlText w:val="%3."/>
      <w:lvlJc w:val="right"/>
      <w:pPr>
        <w:ind w:left="3240" w:hanging="180"/>
      </w:pPr>
    </w:lvl>
    <w:lvl w:ilvl="3" w:tplc="0C0C000F" w:tentative="1">
      <w:start w:val="1"/>
      <w:numFmt w:val="decimal"/>
      <w:lvlText w:val="%4."/>
      <w:lvlJc w:val="left"/>
      <w:pPr>
        <w:ind w:left="3960" w:hanging="360"/>
      </w:pPr>
    </w:lvl>
    <w:lvl w:ilvl="4" w:tplc="0C0C0019" w:tentative="1">
      <w:start w:val="1"/>
      <w:numFmt w:val="lowerLetter"/>
      <w:lvlText w:val="%5."/>
      <w:lvlJc w:val="left"/>
      <w:pPr>
        <w:ind w:left="4680" w:hanging="360"/>
      </w:pPr>
    </w:lvl>
    <w:lvl w:ilvl="5" w:tplc="0C0C001B" w:tentative="1">
      <w:start w:val="1"/>
      <w:numFmt w:val="lowerRoman"/>
      <w:lvlText w:val="%6."/>
      <w:lvlJc w:val="right"/>
      <w:pPr>
        <w:ind w:left="5400" w:hanging="180"/>
      </w:pPr>
    </w:lvl>
    <w:lvl w:ilvl="6" w:tplc="0C0C000F" w:tentative="1">
      <w:start w:val="1"/>
      <w:numFmt w:val="decimal"/>
      <w:lvlText w:val="%7."/>
      <w:lvlJc w:val="left"/>
      <w:pPr>
        <w:ind w:left="6120" w:hanging="360"/>
      </w:pPr>
    </w:lvl>
    <w:lvl w:ilvl="7" w:tplc="0C0C0019" w:tentative="1">
      <w:start w:val="1"/>
      <w:numFmt w:val="lowerLetter"/>
      <w:lvlText w:val="%8."/>
      <w:lvlJc w:val="left"/>
      <w:pPr>
        <w:ind w:left="6840" w:hanging="360"/>
      </w:pPr>
    </w:lvl>
    <w:lvl w:ilvl="8" w:tplc="0C0C001B" w:tentative="1">
      <w:start w:val="1"/>
      <w:numFmt w:val="lowerRoman"/>
      <w:lvlText w:val="%9."/>
      <w:lvlJc w:val="right"/>
      <w:pPr>
        <w:ind w:left="7560" w:hanging="180"/>
      </w:pPr>
    </w:lvl>
  </w:abstractNum>
  <w:abstractNum w:abstractNumId="4" w15:restartNumberingAfterBreak="0">
    <w:nsid w:val="1A4B7377"/>
    <w:multiLevelType w:val="hybridMultilevel"/>
    <w:tmpl w:val="B74EBE66"/>
    <w:lvl w:ilvl="0" w:tplc="0C0C0001">
      <w:start w:val="1"/>
      <w:numFmt w:val="bullet"/>
      <w:lvlText w:val=""/>
      <w:lvlJc w:val="left"/>
      <w:pPr>
        <w:ind w:left="1440" w:hanging="360"/>
      </w:pPr>
      <w:rPr>
        <w:rFonts w:ascii="Symbol" w:hAnsi="Symbol" w:hint="default"/>
      </w:rPr>
    </w:lvl>
    <w:lvl w:ilvl="1" w:tplc="0C0C0003" w:tentative="1">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5" w15:restartNumberingAfterBreak="0">
    <w:nsid w:val="1D810DA9"/>
    <w:multiLevelType w:val="hybridMultilevel"/>
    <w:tmpl w:val="BE344DF2"/>
    <w:lvl w:ilvl="0" w:tplc="0C0C0001">
      <w:start w:val="1"/>
      <w:numFmt w:val="bullet"/>
      <w:lvlText w:val=""/>
      <w:lvlJc w:val="left"/>
      <w:pPr>
        <w:ind w:left="1081" w:hanging="360"/>
      </w:pPr>
      <w:rPr>
        <w:rFonts w:ascii="Symbol" w:hAnsi="Symbol" w:hint="default"/>
      </w:rPr>
    </w:lvl>
    <w:lvl w:ilvl="1" w:tplc="FFFFFFFF" w:tentative="1">
      <w:start w:val="1"/>
      <w:numFmt w:val="lowerLetter"/>
      <w:lvlText w:val="%2."/>
      <w:lvlJc w:val="left"/>
      <w:pPr>
        <w:ind w:left="1801" w:hanging="360"/>
      </w:pPr>
    </w:lvl>
    <w:lvl w:ilvl="2" w:tplc="FFFFFFFF" w:tentative="1">
      <w:start w:val="1"/>
      <w:numFmt w:val="lowerRoman"/>
      <w:lvlText w:val="%3."/>
      <w:lvlJc w:val="right"/>
      <w:pPr>
        <w:ind w:left="2521" w:hanging="180"/>
      </w:pPr>
    </w:lvl>
    <w:lvl w:ilvl="3" w:tplc="FFFFFFFF" w:tentative="1">
      <w:start w:val="1"/>
      <w:numFmt w:val="decimal"/>
      <w:lvlText w:val="%4."/>
      <w:lvlJc w:val="left"/>
      <w:pPr>
        <w:ind w:left="3241" w:hanging="360"/>
      </w:pPr>
    </w:lvl>
    <w:lvl w:ilvl="4" w:tplc="FFFFFFFF" w:tentative="1">
      <w:start w:val="1"/>
      <w:numFmt w:val="lowerLetter"/>
      <w:lvlText w:val="%5."/>
      <w:lvlJc w:val="left"/>
      <w:pPr>
        <w:ind w:left="3961" w:hanging="360"/>
      </w:pPr>
    </w:lvl>
    <w:lvl w:ilvl="5" w:tplc="FFFFFFFF" w:tentative="1">
      <w:start w:val="1"/>
      <w:numFmt w:val="lowerRoman"/>
      <w:lvlText w:val="%6."/>
      <w:lvlJc w:val="right"/>
      <w:pPr>
        <w:ind w:left="4681" w:hanging="180"/>
      </w:pPr>
    </w:lvl>
    <w:lvl w:ilvl="6" w:tplc="FFFFFFFF" w:tentative="1">
      <w:start w:val="1"/>
      <w:numFmt w:val="decimal"/>
      <w:lvlText w:val="%7."/>
      <w:lvlJc w:val="left"/>
      <w:pPr>
        <w:ind w:left="5401" w:hanging="360"/>
      </w:pPr>
    </w:lvl>
    <w:lvl w:ilvl="7" w:tplc="FFFFFFFF" w:tentative="1">
      <w:start w:val="1"/>
      <w:numFmt w:val="lowerLetter"/>
      <w:lvlText w:val="%8."/>
      <w:lvlJc w:val="left"/>
      <w:pPr>
        <w:ind w:left="6121" w:hanging="360"/>
      </w:pPr>
    </w:lvl>
    <w:lvl w:ilvl="8" w:tplc="FFFFFFFF" w:tentative="1">
      <w:start w:val="1"/>
      <w:numFmt w:val="lowerRoman"/>
      <w:lvlText w:val="%9."/>
      <w:lvlJc w:val="right"/>
      <w:pPr>
        <w:ind w:left="6841" w:hanging="180"/>
      </w:pPr>
    </w:lvl>
  </w:abstractNum>
  <w:abstractNum w:abstractNumId="6" w15:restartNumberingAfterBreak="0">
    <w:nsid w:val="246273B6"/>
    <w:multiLevelType w:val="hybridMultilevel"/>
    <w:tmpl w:val="AB0426BA"/>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7" w15:restartNumberingAfterBreak="0">
    <w:nsid w:val="278674A1"/>
    <w:multiLevelType w:val="multilevel"/>
    <w:tmpl w:val="456A88E2"/>
    <w:lvl w:ilvl="0">
      <w:start w:val="2"/>
      <w:numFmt w:val="decimal"/>
      <w:lvlText w:val="%1"/>
      <w:lvlJc w:val="left"/>
      <w:pPr>
        <w:ind w:left="540" w:hanging="540"/>
      </w:pPr>
      <w:rPr>
        <w:rFonts w:hint="default"/>
      </w:rPr>
    </w:lvl>
    <w:lvl w:ilvl="1">
      <w:start w:val="2"/>
      <w:numFmt w:val="decimal"/>
      <w:lvlText w:val="%1.%2"/>
      <w:lvlJc w:val="left"/>
      <w:pPr>
        <w:ind w:left="900" w:hanging="540"/>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8" w15:restartNumberingAfterBreak="0">
    <w:nsid w:val="2BFB0052"/>
    <w:multiLevelType w:val="hybridMultilevel"/>
    <w:tmpl w:val="FD9853BC"/>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9" w15:restartNumberingAfterBreak="0">
    <w:nsid w:val="2C3F1CF7"/>
    <w:multiLevelType w:val="hybridMultilevel"/>
    <w:tmpl w:val="5FE2CCA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2CD93D91"/>
    <w:multiLevelType w:val="multilevel"/>
    <w:tmpl w:val="4240187C"/>
    <w:lvl w:ilvl="0">
      <w:start w:val="1"/>
      <w:numFmt w:val="decimal"/>
      <w:lvlText w:val="[%1]"/>
      <w:lvlJc w:val="left"/>
      <w:pPr>
        <w:tabs>
          <w:tab w:val="num" w:pos="720"/>
        </w:tabs>
        <w:ind w:left="720" w:hanging="720"/>
      </w:pPr>
      <w:rPr>
        <w:rFonts w:hint="default"/>
      </w:rPr>
    </w:lvl>
    <w:lvl w:ilvl="1">
      <w:start w:val="1"/>
      <w:numFmt w:val="bullet"/>
      <w:lvlText w:val=""/>
      <w:lvlJc w:val="left"/>
      <w:pPr>
        <w:tabs>
          <w:tab w:val="num" w:pos="792"/>
        </w:tabs>
        <w:ind w:left="792" w:hanging="432"/>
      </w:pPr>
      <w:rPr>
        <w:rFonts w:ascii="Symbol" w:hAnsi="Symbol"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11" w15:restartNumberingAfterBreak="0">
    <w:nsid w:val="31CE60E0"/>
    <w:multiLevelType w:val="singleLevel"/>
    <w:tmpl w:val="0C0C000F"/>
    <w:lvl w:ilvl="0">
      <w:start w:val="1"/>
      <w:numFmt w:val="decimal"/>
      <w:lvlText w:val="%1."/>
      <w:lvlJc w:val="left"/>
      <w:pPr>
        <w:tabs>
          <w:tab w:val="num" w:pos="360"/>
        </w:tabs>
        <w:ind w:left="360" w:hanging="360"/>
      </w:pPr>
    </w:lvl>
  </w:abstractNum>
  <w:abstractNum w:abstractNumId="12" w15:restartNumberingAfterBreak="0">
    <w:nsid w:val="354312E5"/>
    <w:multiLevelType w:val="multilevel"/>
    <w:tmpl w:val="29727B7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8D0502B"/>
    <w:multiLevelType w:val="multilevel"/>
    <w:tmpl w:val="B2EEF60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A725970"/>
    <w:multiLevelType w:val="hybridMultilevel"/>
    <w:tmpl w:val="7E8C6530"/>
    <w:lvl w:ilvl="0" w:tplc="72F005A2">
      <w:start w:val="1"/>
      <w:numFmt w:val="lowerRoman"/>
      <w:lvlText w:val="%1)"/>
      <w:lvlJc w:val="left"/>
      <w:pPr>
        <w:ind w:left="1080" w:hanging="72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5" w15:restartNumberingAfterBreak="0">
    <w:nsid w:val="3C7D4CDF"/>
    <w:multiLevelType w:val="hybridMultilevel"/>
    <w:tmpl w:val="9D3ED490"/>
    <w:lvl w:ilvl="0" w:tplc="0C0C0001">
      <w:start w:val="1"/>
      <w:numFmt w:val="bullet"/>
      <w:lvlText w:val=""/>
      <w:lvlJc w:val="left"/>
      <w:pPr>
        <w:ind w:left="720" w:hanging="360"/>
      </w:pPr>
      <w:rPr>
        <w:rFonts w:ascii="Symbol" w:hAnsi="Symbol" w:hint="default"/>
      </w:rPr>
    </w:lvl>
    <w:lvl w:ilvl="1" w:tplc="0C0C0003">
      <w:start w:val="1"/>
      <w:numFmt w:val="bullet"/>
      <w:lvlText w:val="o"/>
      <w:lvlJc w:val="left"/>
      <w:pPr>
        <w:ind w:left="1440" w:hanging="360"/>
      </w:pPr>
      <w:rPr>
        <w:rFonts w:ascii="Courier New" w:hAnsi="Courier New" w:cs="Courier New" w:hint="default"/>
      </w:rPr>
    </w:lvl>
    <w:lvl w:ilvl="2" w:tplc="0C0C0005">
      <w:start w:val="1"/>
      <w:numFmt w:val="bullet"/>
      <w:lvlText w:val=""/>
      <w:lvlJc w:val="left"/>
      <w:pPr>
        <w:ind w:left="2160" w:hanging="360"/>
      </w:pPr>
      <w:rPr>
        <w:rFonts w:ascii="Wingdings" w:hAnsi="Wingdings" w:hint="default"/>
      </w:rPr>
    </w:lvl>
    <w:lvl w:ilvl="3" w:tplc="0C0C0001">
      <w:start w:val="1"/>
      <w:numFmt w:val="bullet"/>
      <w:lvlText w:val=""/>
      <w:lvlJc w:val="left"/>
      <w:pPr>
        <w:ind w:left="2880" w:hanging="360"/>
      </w:pPr>
      <w:rPr>
        <w:rFonts w:ascii="Symbol" w:hAnsi="Symbol" w:hint="default"/>
      </w:rPr>
    </w:lvl>
    <w:lvl w:ilvl="4" w:tplc="0C0C0003">
      <w:start w:val="1"/>
      <w:numFmt w:val="bullet"/>
      <w:lvlText w:val="o"/>
      <w:lvlJc w:val="left"/>
      <w:pPr>
        <w:ind w:left="3600" w:hanging="360"/>
      </w:pPr>
      <w:rPr>
        <w:rFonts w:ascii="Courier New" w:hAnsi="Courier New" w:cs="Courier New" w:hint="default"/>
      </w:rPr>
    </w:lvl>
    <w:lvl w:ilvl="5" w:tplc="0C0C0005">
      <w:start w:val="1"/>
      <w:numFmt w:val="bullet"/>
      <w:lvlText w:val=""/>
      <w:lvlJc w:val="left"/>
      <w:pPr>
        <w:ind w:left="4320" w:hanging="360"/>
      </w:pPr>
      <w:rPr>
        <w:rFonts w:ascii="Wingdings" w:hAnsi="Wingdings" w:hint="default"/>
      </w:rPr>
    </w:lvl>
    <w:lvl w:ilvl="6" w:tplc="0C0C0001">
      <w:start w:val="1"/>
      <w:numFmt w:val="bullet"/>
      <w:lvlText w:val=""/>
      <w:lvlJc w:val="left"/>
      <w:pPr>
        <w:ind w:left="5040" w:hanging="360"/>
      </w:pPr>
      <w:rPr>
        <w:rFonts w:ascii="Symbol" w:hAnsi="Symbol" w:hint="default"/>
      </w:rPr>
    </w:lvl>
    <w:lvl w:ilvl="7" w:tplc="0C0C0003">
      <w:start w:val="1"/>
      <w:numFmt w:val="bullet"/>
      <w:lvlText w:val="o"/>
      <w:lvlJc w:val="left"/>
      <w:pPr>
        <w:ind w:left="5760" w:hanging="360"/>
      </w:pPr>
      <w:rPr>
        <w:rFonts w:ascii="Courier New" w:hAnsi="Courier New" w:cs="Courier New" w:hint="default"/>
      </w:rPr>
    </w:lvl>
    <w:lvl w:ilvl="8" w:tplc="0C0C0005">
      <w:start w:val="1"/>
      <w:numFmt w:val="bullet"/>
      <w:lvlText w:val=""/>
      <w:lvlJc w:val="left"/>
      <w:pPr>
        <w:ind w:left="6480" w:hanging="360"/>
      </w:pPr>
      <w:rPr>
        <w:rFonts w:ascii="Wingdings" w:hAnsi="Wingdings" w:hint="default"/>
      </w:rPr>
    </w:lvl>
  </w:abstractNum>
  <w:abstractNum w:abstractNumId="16" w15:restartNumberingAfterBreak="0">
    <w:nsid w:val="424C2759"/>
    <w:multiLevelType w:val="hybridMultilevel"/>
    <w:tmpl w:val="4F1C627C"/>
    <w:lvl w:ilvl="0" w:tplc="0C0C0001">
      <w:start w:val="1"/>
      <w:numFmt w:val="bullet"/>
      <w:lvlText w:val=""/>
      <w:lvlJc w:val="left"/>
      <w:pPr>
        <w:ind w:left="2160" w:hanging="360"/>
      </w:pPr>
      <w:rPr>
        <w:rFonts w:ascii="Symbol" w:hAnsi="Symbol" w:hint="default"/>
      </w:rPr>
    </w:lvl>
    <w:lvl w:ilvl="1" w:tplc="0C0C0003" w:tentative="1">
      <w:start w:val="1"/>
      <w:numFmt w:val="bullet"/>
      <w:lvlText w:val="o"/>
      <w:lvlJc w:val="left"/>
      <w:pPr>
        <w:ind w:left="2880" w:hanging="360"/>
      </w:pPr>
      <w:rPr>
        <w:rFonts w:ascii="Courier New" w:hAnsi="Courier New" w:cs="Courier New" w:hint="default"/>
      </w:rPr>
    </w:lvl>
    <w:lvl w:ilvl="2" w:tplc="0C0C0005" w:tentative="1">
      <w:start w:val="1"/>
      <w:numFmt w:val="bullet"/>
      <w:lvlText w:val=""/>
      <w:lvlJc w:val="left"/>
      <w:pPr>
        <w:ind w:left="3600" w:hanging="360"/>
      </w:pPr>
      <w:rPr>
        <w:rFonts w:ascii="Wingdings" w:hAnsi="Wingdings" w:hint="default"/>
      </w:rPr>
    </w:lvl>
    <w:lvl w:ilvl="3" w:tplc="0C0C0001" w:tentative="1">
      <w:start w:val="1"/>
      <w:numFmt w:val="bullet"/>
      <w:lvlText w:val=""/>
      <w:lvlJc w:val="left"/>
      <w:pPr>
        <w:ind w:left="4320" w:hanging="360"/>
      </w:pPr>
      <w:rPr>
        <w:rFonts w:ascii="Symbol" w:hAnsi="Symbol" w:hint="default"/>
      </w:rPr>
    </w:lvl>
    <w:lvl w:ilvl="4" w:tplc="0C0C0003" w:tentative="1">
      <w:start w:val="1"/>
      <w:numFmt w:val="bullet"/>
      <w:lvlText w:val="o"/>
      <w:lvlJc w:val="left"/>
      <w:pPr>
        <w:ind w:left="5040" w:hanging="360"/>
      </w:pPr>
      <w:rPr>
        <w:rFonts w:ascii="Courier New" w:hAnsi="Courier New" w:cs="Courier New" w:hint="default"/>
      </w:rPr>
    </w:lvl>
    <w:lvl w:ilvl="5" w:tplc="0C0C0005" w:tentative="1">
      <w:start w:val="1"/>
      <w:numFmt w:val="bullet"/>
      <w:lvlText w:val=""/>
      <w:lvlJc w:val="left"/>
      <w:pPr>
        <w:ind w:left="5760" w:hanging="360"/>
      </w:pPr>
      <w:rPr>
        <w:rFonts w:ascii="Wingdings" w:hAnsi="Wingdings" w:hint="default"/>
      </w:rPr>
    </w:lvl>
    <w:lvl w:ilvl="6" w:tplc="0C0C0001" w:tentative="1">
      <w:start w:val="1"/>
      <w:numFmt w:val="bullet"/>
      <w:lvlText w:val=""/>
      <w:lvlJc w:val="left"/>
      <w:pPr>
        <w:ind w:left="6480" w:hanging="360"/>
      </w:pPr>
      <w:rPr>
        <w:rFonts w:ascii="Symbol" w:hAnsi="Symbol" w:hint="default"/>
      </w:rPr>
    </w:lvl>
    <w:lvl w:ilvl="7" w:tplc="0C0C0003" w:tentative="1">
      <w:start w:val="1"/>
      <w:numFmt w:val="bullet"/>
      <w:lvlText w:val="o"/>
      <w:lvlJc w:val="left"/>
      <w:pPr>
        <w:ind w:left="7200" w:hanging="360"/>
      </w:pPr>
      <w:rPr>
        <w:rFonts w:ascii="Courier New" w:hAnsi="Courier New" w:cs="Courier New" w:hint="default"/>
      </w:rPr>
    </w:lvl>
    <w:lvl w:ilvl="8" w:tplc="0C0C0005" w:tentative="1">
      <w:start w:val="1"/>
      <w:numFmt w:val="bullet"/>
      <w:lvlText w:val=""/>
      <w:lvlJc w:val="left"/>
      <w:pPr>
        <w:ind w:left="7920" w:hanging="360"/>
      </w:pPr>
      <w:rPr>
        <w:rFonts w:ascii="Wingdings" w:hAnsi="Wingdings" w:hint="default"/>
      </w:rPr>
    </w:lvl>
  </w:abstractNum>
  <w:abstractNum w:abstractNumId="17" w15:restartNumberingAfterBreak="0">
    <w:nsid w:val="486214AC"/>
    <w:multiLevelType w:val="hybridMultilevel"/>
    <w:tmpl w:val="CD408CE0"/>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8" w15:restartNumberingAfterBreak="0">
    <w:nsid w:val="4AEC102C"/>
    <w:multiLevelType w:val="hybridMultilevel"/>
    <w:tmpl w:val="44888D98"/>
    <w:lvl w:ilvl="0" w:tplc="0C0C000F">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9" w15:restartNumberingAfterBreak="0">
    <w:nsid w:val="4FAE7D2D"/>
    <w:multiLevelType w:val="hybridMultilevel"/>
    <w:tmpl w:val="3662B11A"/>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0" w15:restartNumberingAfterBreak="0">
    <w:nsid w:val="55555A52"/>
    <w:multiLevelType w:val="hybridMultilevel"/>
    <w:tmpl w:val="A552BCB8"/>
    <w:lvl w:ilvl="0" w:tplc="0C0C0001">
      <w:start w:val="1"/>
      <w:numFmt w:val="bullet"/>
      <w:lvlText w:val=""/>
      <w:lvlJc w:val="left"/>
      <w:pPr>
        <w:ind w:left="1429" w:hanging="360"/>
      </w:pPr>
      <w:rPr>
        <w:rFonts w:ascii="Symbol" w:hAnsi="Symbol" w:hint="default"/>
      </w:rPr>
    </w:lvl>
    <w:lvl w:ilvl="1" w:tplc="0C0C0003" w:tentative="1">
      <w:start w:val="1"/>
      <w:numFmt w:val="bullet"/>
      <w:lvlText w:val="o"/>
      <w:lvlJc w:val="left"/>
      <w:pPr>
        <w:ind w:left="2149" w:hanging="360"/>
      </w:pPr>
      <w:rPr>
        <w:rFonts w:ascii="Courier New" w:hAnsi="Courier New" w:cs="Courier New" w:hint="default"/>
      </w:rPr>
    </w:lvl>
    <w:lvl w:ilvl="2" w:tplc="0C0C0005" w:tentative="1">
      <w:start w:val="1"/>
      <w:numFmt w:val="bullet"/>
      <w:lvlText w:val=""/>
      <w:lvlJc w:val="left"/>
      <w:pPr>
        <w:ind w:left="2869" w:hanging="360"/>
      </w:pPr>
      <w:rPr>
        <w:rFonts w:ascii="Wingdings" w:hAnsi="Wingdings" w:hint="default"/>
      </w:rPr>
    </w:lvl>
    <w:lvl w:ilvl="3" w:tplc="0C0C0001" w:tentative="1">
      <w:start w:val="1"/>
      <w:numFmt w:val="bullet"/>
      <w:lvlText w:val=""/>
      <w:lvlJc w:val="left"/>
      <w:pPr>
        <w:ind w:left="3589" w:hanging="360"/>
      </w:pPr>
      <w:rPr>
        <w:rFonts w:ascii="Symbol" w:hAnsi="Symbol" w:hint="default"/>
      </w:rPr>
    </w:lvl>
    <w:lvl w:ilvl="4" w:tplc="0C0C0003" w:tentative="1">
      <w:start w:val="1"/>
      <w:numFmt w:val="bullet"/>
      <w:lvlText w:val="o"/>
      <w:lvlJc w:val="left"/>
      <w:pPr>
        <w:ind w:left="4309" w:hanging="360"/>
      </w:pPr>
      <w:rPr>
        <w:rFonts w:ascii="Courier New" w:hAnsi="Courier New" w:cs="Courier New" w:hint="default"/>
      </w:rPr>
    </w:lvl>
    <w:lvl w:ilvl="5" w:tplc="0C0C0005" w:tentative="1">
      <w:start w:val="1"/>
      <w:numFmt w:val="bullet"/>
      <w:lvlText w:val=""/>
      <w:lvlJc w:val="left"/>
      <w:pPr>
        <w:ind w:left="5029" w:hanging="360"/>
      </w:pPr>
      <w:rPr>
        <w:rFonts w:ascii="Wingdings" w:hAnsi="Wingdings" w:hint="default"/>
      </w:rPr>
    </w:lvl>
    <w:lvl w:ilvl="6" w:tplc="0C0C0001" w:tentative="1">
      <w:start w:val="1"/>
      <w:numFmt w:val="bullet"/>
      <w:lvlText w:val=""/>
      <w:lvlJc w:val="left"/>
      <w:pPr>
        <w:ind w:left="5749" w:hanging="360"/>
      </w:pPr>
      <w:rPr>
        <w:rFonts w:ascii="Symbol" w:hAnsi="Symbol" w:hint="default"/>
      </w:rPr>
    </w:lvl>
    <w:lvl w:ilvl="7" w:tplc="0C0C0003" w:tentative="1">
      <w:start w:val="1"/>
      <w:numFmt w:val="bullet"/>
      <w:lvlText w:val="o"/>
      <w:lvlJc w:val="left"/>
      <w:pPr>
        <w:ind w:left="6469" w:hanging="360"/>
      </w:pPr>
      <w:rPr>
        <w:rFonts w:ascii="Courier New" w:hAnsi="Courier New" w:cs="Courier New" w:hint="default"/>
      </w:rPr>
    </w:lvl>
    <w:lvl w:ilvl="8" w:tplc="0C0C0005" w:tentative="1">
      <w:start w:val="1"/>
      <w:numFmt w:val="bullet"/>
      <w:lvlText w:val=""/>
      <w:lvlJc w:val="left"/>
      <w:pPr>
        <w:ind w:left="7189" w:hanging="360"/>
      </w:pPr>
      <w:rPr>
        <w:rFonts w:ascii="Wingdings" w:hAnsi="Wingdings" w:hint="default"/>
      </w:rPr>
    </w:lvl>
  </w:abstractNum>
  <w:abstractNum w:abstractNumId="21" w15:restartNumberingAfterBreak="0">
    <w:nsid w:val="5D7110BC"/>
    <w:multiLevelType w:val="hybridMultilevel"/>
    <w:tmpl w:val="13B68320"/>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2" w15:restartNumberingAfterBreak="0">
    <w:nsid w:val="5E437FFD"/>
    <w:multiLevelType w:val="hybridMultilevel"/>
    <w:tmpl w:val="B16623DA"/>
    <w:lvl w:ilvl="0" w:tplc="0C0C0001">
      <w:start w:val="1"/>
      <w:numFmt w:val="bullet"/>
      <w:lvlText w:val=""/>
      <w:lvlJc w:val="left"/>
      <w:pPr>
        <w:ind w:left="1440" w:hanging="72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3" w15:restartNumberingAfterBreak="0">
    <w:nsid w:val="616E7B31"/>
    <w:multiLevelType w:val="hybridMultilevel"/>
    <w:tmpl w:val="024201CC"/>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4" w15:restartNumberingAfterBreak="0">
    <w:nsid w:val="64706EA1"/>
    <w:multiLevelType w:val="multilevel"/>
    <w:tmpl w:val="D2EA108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65361656"/>
    <w:multiLevelType w:val="hybridMultilevel"/>
    <w:tmpl w:val="D2FC852A"/>
    <w:lvl w:ilvl="0" w:tplc="6C7AE80C">
      <w:start w:val="1"/>
      <w:numFmt w:val="lowerRoman"/>
      <w:lvlText w:val="%1)"/>
      <w:lvlJc w:val="left"/>
      <w:pPr>
        <w:ind w:left="1440" w:hanging="720"/>
      </w:pPr>
      <w:rPr>
        <w:rFonts w:hint="default"/>
      </w:rPr>
    </w:lvl>
    <w:lvl w:ilvl="1" w:tplc="0C0C0019" w:tentative="1">
      <w:start w:val="1"/>
      <w:numFmt w:val="lowerLetter"/>
      <w:lvlText w:val="%2."/>
      <w:lvlJc w:val="left"/>
      <w:pPr>
        <w:ind w:left="1800" w:hanging="360"/>
      </w:pPr>
    </w:lvl>
    <w:lvl w:ilvl="2" w:tplc="0C0C001B" w:tentative="1">
      <w:start w:val="1"/>
      <w:numFmt w:val="lowerRoman"/>
      <w:lvlText w:val="%3."/>
      <w:lvlJc w:val="right"/>
      <w:pPr>
        <w:ind w:left="2520" w:hanging="180"/>
      </w:pPr>
    </w:lvl>
    <w:lvl w:ilvl="3" w:tplc="0C0C000F" w:tentative="1">
      <w:start w:val="1"/>
      <w:numFmt w:val="decimal"/>
      <w:lvlText w:val="%4."/>
      <w:lvlJc w:val="left"/>
      <w:pPr>
        <w:ind w:left="3240" w:hanging="360"/>
      </w:pPr>
    </w:lvl>
    <w:lvl w:ilvl="4" w:tplc="0C0C0019" w:tentative="1">
      <w:start w:val="1"/>
      <w:numFmt w:val="lowerLetter"/>
      <w:lvlText w:val="%5."/>
      <w:lvlJc w:val="left"/>
      <w:pPr>
        <w:ind w:left="3960" w:hanging="360"/>
      </w:pPr>
    </w:lvl>
    <w:lvl w:ilvl="5" w:tplc="0C0C001B" w:tentative="1">
      <w:start w:val="1"/>
      <w:numFmt w:val="lowerRoman"/>
      <w:lvlText w:val="%6."/>
      <w:lvlJc w:val="right"/>
      <w:pPr>
        <w:ind w:left="4680" w:hanging="180"/>
      </w:pPr>
    </w:lvl>
    <w:lvl w:ilvl="6" w:tplc="0C0C000F" w:tentative="1">
      <w:start w:val="1"/>
      <w:numFmt w:val="decimal"/>
      <w:lvlText w:val="%7."/>
      <w:lvlJc w:val="left"/>
      <w:pPr>
        <w:ind w:left="5400" w:hanging="360"/>
      </w:pPr>
    </w:lvl>
    <w:lvl w:ilvl="7" w:tplc="0C0C0019" w:tentative="1">
      <w:start w:val="1"/>
      <w:numFmt w:val="lowerLetter"/>
      <w:lvlText w:val="%8."/>
      <w:lvlJc w:val="left"/>
      <w:pPr>
        <w:ind w:left="6120" w:hanging="360"/>
      </w:pPr>
    </w:lvl>
    <w:lvl w:ilvl="8" w:tplc="0C0C001B" w:tentative="1">
      <w:start w:val="1"/>
      <w:numFmt w:val="lowerRoman"/>
      <w:lvlText w:val="%9."/>
      <w:lvlJc w:val="right"/>
      <w:pPr>
        <w:ind w:left="6840" w:hanging="180"/>
      </w:pPr>
    </w:lvl>
  </w:abstractNum>
  <w:abstractNum w:abstractNumId="26" w15:restartNumberingAfterBreak="0">
    <w:nsid w:val="677A7D0A"/>
    <w:multiLevelType w:val="hybridMultilevel"/>
    <w:tmpl w:val="795657D6"/>
    <w:lvl w:ilvl="0" w:tplc="0C0C0001">
      <w:start w:val="1"/>
      <w:numFmt w:val="bullet"/>
      <w:lvlText w:val=""/>
      <w:lvlJc w:val="left"/>
      <w:pPr>
        <w:ind w:left="720" w:hanging="360"/>
      </w:pPr>
      <w:rPr>
        <w:rFonts w:ascii="Symbol" w:hAnsi="Symbol" w:hint="default"/>
      </w:rPr>
    </w:lvl>
    <w:lvl w:ilvl="1" w:tplc="0C0C0003">
      <w:start w:val="1"/>
      <w:numFmt w:val="bullet"/>
      <w:lvlText w:val="o"/>
      <w:lvlJc w:val="left"/>
      <w:pPr>
        <w:ind w:left="1440" w:hanging="360"/>
      </w:pPr>
      <w:rPr>
        <w:rFonts w:ascii="Courier New" w:hAnsi="Courier New" w:cs="Courier New" w:hint="default"/>
      </w:rPr>
    </w:lvl>
    <w:lvl w:ilvl="2" w:tplc="0C0C0005">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7" w15:restartNumberingAfterBreak="0">
    <w:nsid w:val="67D476F1"/>
    <w:multiLevelType w:val="hybridMultilevel"/>
    <w:tmpl w:val="FD287822"/>
    <w:lvl w:ilvl="0" w:tplc="0C0C0011">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8" w15:restartNumberingAfterBreak="0">
    <w:nsid w:val="683C25FE"/>
    <w:multiLevelType w:val="hybridMultilevel"/>
    <w:tmpl w:val="78E42E98"/>
    <w:lvl w:ilvl="0" w:tplc="0C0C0003">
      <w:start w:val="1"/>
      <w:numFmt w:val="bullet"/>
      <w:lvlText w:val="o"/>
      <w:lvlJc w:val="left"/>
      <w:pPr>
        <w:ind w:left="720" w:hanging="360"/>
      </w:pPr>
      <w:rPr>
        <w:rFonts w:ascii="Courier New" w:hAnsi="Courier New" w:cs="Courier New"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9" w15:restartNumberingAfterBreak="0">
    <w:nsid w:val="6AD40D1C"/>
    <w:multiLevelType w:val="hybridMultilevel"/>
    <w:tmpl w:val="37CE448E"/>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30" w15:restartNumberingAfterBreak="0">
    <w:nsid w:val="6DD1284B"/>
    <w:multiLevelType w:val="hybridMultilevel"/>
    <w:tmpl w:val="1AFED00C"/>
    <w:lvl w:ilvl="0" w:tplc="0C0C0001">
      <w:start w:val="1"/>
      <w:numFmt w:val="bullet"/>
      <w:lvlText w:val=""/>
      <w:lvlJc w:val="left"/>
      <w:pPr>
        <w:ind w:left="1068" w:hanging="360"/>
      </w:pPr>
      <w:rPr>
        <w:rFonts w:ascii="Symbol" w:hAnsi="Symbol" w:hint="default"/>
      </w:rPr>
    </w:lvl>
    <w:lvl w:ilvl="1" w:tplc="0C0C0003" w:tentative="1">
      <w:start w:val="1"/>
      <w:numFmt w:val="bullet"/>
      <w:lvlText w:val="o"/>
      <w:lvlJc w:val="left"/>
      <w:pPr>
        <w:ind w:left="1788" w:hanging="360"/>
      </w:pPr>
      <w:rPr>
        <w:rFonts w:ascii="Courier New" w:hAnsi="Courier New" w:cs="Courier New" w:hint="default"/>
      </w:rPr>
    </w:lvl>
    <w:lvl w:ilvl="2" w:tplc="0C0C0005" w:tentative="1">
      <w:start w:val="1"/>
      <w:numFmt w:val="bullet"/>
      <w:lvlText w:val=""/>
      <w:lvlJc w:val="left"/>
      <w:pPr>
        <w:ind w:left="2508" w:hanging="360"/>
      </w:pPr>
      <w:rPr>
        <w:rFonts w:ascii="Wingdings" w:hAnsi="Wingdings" w:hint="default"/>
      </w:rPr>
    </w:lvl>
    <w:lvl w:ilvl="3" w:tplc="0C0C0001" w:tentative="1">
      <w:start w:val="1"/>
      <w:numFmt w:val="bullet"/>
      <w:lvlText w:val=""/>
      <w:lvlJc w:val="left"/>
      <w:pPr>
        <w:ind w:left="3228" w:hanging="360"/>
      </w:pPr>
      <w:rPr>
        <w:rFonts w:ascii="Symbol" w:hAnsi="Symbol" w:hint="default"/>
      </w:rPr>
    </w:lvl>
    <w:lvl w:ilvl="4" w:tplc="0C0C0003" w:tentative="1">
      <w:start w:val="1"/>
      <w:numFmt w:val="bullet"/>
      <w:lvlText w:val="o"/>
      <w:lvlJc w:val="left"/>
      <w:pPr>
        <w:ind w:left="3948" w:hanging="360"/>
      </w:pPr>
      <w:rPr>
        <w:rFonts w:ascii="Courier New" w:hAnsi="Courier New" w:cs="Courier New" w:hint="default"/>
      </w:rPr>
    </w:lvl>
    <w:lvl w:ilvl="5" w:tplc="0C0C0005" w:tentative="1">
      <w:start w:val="1"/>
      <w:numFmt w:val="bullet"/>
      <w:lvlText w:val=""/>
      <w:lvlJc w:val="left"/>
      <w:pPr>
        <w:ind w:left="4668" w:hanging="360"/>
      </w:pPr>
      <w:rPr>
        <w:rFonts w:ascii="Wingdings" w:hAnsi="Wingdings" w:hint="default"/>
      </w:rPr>
    </w:lvl>
    <w:lvl w:ilvl="6" w:tplc="0C0C0001" w:tentative="1">
      <w:start w:val="1"/>
      <w:numFmt w:val="bullet"/>
      <w:lvlText w:val=""/>
      <w:lvlJc w:val="left"/>
      <w:pPr>
        <w:ind w:left="5388" w:hanging="360"/>
      </w:pPr>
      <w:rPr>
        <w:rFonts w:ascii="Symbol" w:hAnsi="Symbol" w:hint="default"/>
      </w:rPr>
    </w:lvl>
    <w:lvl w:ilvl="7" w:tplc="0C0C0003" w:tentative="1">
      <w:start w:val="1"/>
      <w:numFmt w:val="bullet"/>
      <w:lvlText w:val="o"/>
      <w:lvlJc w:val="left"/>
      <w:pPr>
        <w:ind w:left="6108" w:hanging="360"/>
      </w:pPr>
      <w:rPr>
        <w:rFonts w:ascii="Courier New" w:hAnsi="Courier New" w:cs="Courier New" w:hint="default"/>
      </w:rPr>
    </w:lvl>
    <w:lvl w:ilvl="8" w:tplc="0C0C0005" w:tentative="1">
      <w:start w:val="1"/>
      <w:numFmt w:val="bullet"/>
      <w:lvlText w:val=""/>
      <w:lvlJc w:val="left"/>
      <w:pPr>
        <w:ind w:left="6828" w:hanging="360"/>
      </w:pPr>
      <w:rPr>
        <w:rFonts w:ascii="Wingdings" w:hAnsi="Wingdings" w:hint="default"/>
      </w:rPr>
    </w:lvl>
  </w:abstractNum>
  <w:abstractNum w:abstractNumId="31" w15:restartNumberingAfterBreak="0">
    <w:nsid w:val="6E6320B8"/>
    <w:multiLevelType w:val="hybridMultilevel"/>
    <w:tmpl w:val="5FE2CCAC"/>
    <w:lvl w:ilvl="0" w:tplc="0C0C0011">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2" w15:restartNumberingAfterBreak="0">
    <w:nsid w:val="6F030813"/>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3" w15:restartNumberingAfterBreak="0">
    <w:nsid w:val="732348AF"/>
    <w:multiLevelType w:val="hybridMultilevel"/>
    <w:tmpl w:val="54C694AE"/>
    <w:lvl w:ilvl="0" w:tplc="0C0C0001">
      <w:start w:val="1"/>
      <w:numFmt w:val="bullet"/>
      <w:lvlText w:val=""/>
      <w:lvlJc w:val="left"/>
      <w:pPr>
        <w:ind w:left="1440" w:hanging="360"/>
      </w:pPr>
      <w:rPr>
        <w:rFonts w:ascii="Symbol" w:hAnsi="Symbol" w:hint="default"/>
      </w:rPr>
    </w:lvl>
    <w:lvl w:ilvl="1" w:tplc="0C0C0003">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34" w15:restartNumberingAfterBreak="0">
    <w:nsid w:val="737A6EAF"/>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5" w15:restartNumberingAfterBreak="0">
    <w:nsid w:val="75917C39"/>
    <w:multiLevelType w:val="multilevel"/>
    <w:tmpl w:val="0042494C"/>
    <w:lvl w:ilvl="0">
      <w:start w:val="1"/>
      <w:numFmt w:val="decimal"/>
      <w:lvlText w:val="[%1]"/>
      <w:lvlJc w:val="left"/>
      <w:pPr>
        <w:tabs>
          <w:tab w:val="num" w:pos="720"/>
        </w:tabs>
        <w:ind w:left="720" w:hanging="72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pStyle w:val="Titre5"/>
      <w:suff w:val="nothing"/>
      <w:lvlText w:val=""/>
      <w:lvlJc w:val="left"/>
      <w:pPr>
        <w:ind w:left="0" w:firstLine="0"/>
      </w:pPr>
      <w:rPr>
        <w:rFonts w:hint="default"/>
      </w:rPr>
    </w:lvl>
    <w:lvl w:ilvl="5">
      <w:start w:val="1"/>
      <w:numFmt w:val="none"/>
      <w:pStyle w:val="Titre6"/>
      <w:suff w:val="nothing"/>
      <w:lvlText w:val=""/>
      <w:lvlJc w:val="left"/>
      <w:pPr>
        <w:ind w:left="0" w:firstLine="0"/>
      </w:pPr>
      <w:rPr>
        <w:rFonts w:hint="default"/>
      </w:rPr>
    </w:lvl>
    <w:lvl w:ilvl="6">
      <w:start w:val="1"/>
      <w:numFmt w:val="none"/>
      <w:pStyle w:val="Titre7"/>
      <w:suff w:val="nothing"/>
      <w:lvlText w:val=""/>
      <w:lvlJc w:val="left"/>
      <w:pPr>
        <w:ind w:left="0" w:firstLine="0"/>
      </w:pPr>
      <w:rPr>
        <w:rFonts w:hint="default"/>
      </w:rPr>
    </w:lvl>
    <w:lvl w:ilvl="7">
      <w:start w:val="1"/>
      <w:numFmt w:val="none"/>
      <w:pStyle w:val="Titre8"/>
      <w:suff w:val="nothing"/>
      <w:lvlText w:val=""/>
      <w:lvlJc w:val="left"/>
      <w:pPr>
        <w:ind w:left="0" w:firstLine="0"/>
      </w:pPr>
      <w:rPr>
        <w:rFonts w:hint="default"/>
      </w:rPr>
    </w:lvl>
    <w:lvl w:ilvl="8">
      <w:start w:val="1"/>
      <w:numFmt w:val="none"/>
      <w:pStyle w:val="Titre9"/>
      <w:suff w:val="nothing"/>
      <w:lvlText w:val=""/>
      <w:lvlJc w:val="left"/>
      <w:pPr>
        <w:ind w:left="0" w:firstLine="0"/>
      </w:pPr>
      <w:rPr>
        <w:rFonts w:hint="default"/>
      </w:rPr>
    </w:lvl>
  </w:abstractNum>
  <w:abstractNum w:abstractNumId="36" w15:restartNumberingAfterBreak="0">
    <w:nsid w:val="76556088"/>
    <w:multiLevelType w:val="multilevel"/>
    <w:tmpl w:val="74FA30DC"/>
    <w:lvl w:ilvl="0">
      <w:start w:val="1"/>
      <w:numFmt w:val="decimal"/>
      <w:pStyle w:val="corpsdedcision"/>
      <w:lvlText w:val="[%1]"/>
      <w:lvlJc w:val="left"/>
      <w:pPr>
        <w:tabs>
          <w:tab w:val="num" w:pos="360"/>
        </w:tabs>
        <w:ind w:left="0" w:firstLine="0"/>
      </w:pPr>
    </w:lvl>
    <w:lvl w:ilvl="1">
      <w:start w:val="1"/>
      <w:numFmt w:val="decimal"/>
      <w:lvlRestart w:val="0"/>
      <w:lvlText w:val="[%1.%2]"/>
      <w:lvlJc w:val="left"/>
      <w:pPr>
        <w:tabs>
          <w:tab w:val="num" w:pos="1080"/>
        </w:tabs>
        <w:ind w:left="360" w:firstLine="0"/>
      </w:pPr>
    </w:lvl>
    <w:lvl w:ilvl="2">
      <w:start w:val="1"/>
      <w:numFmt w:val="decimal"/>
      <w:lvlRestart w:val="0"/>
      <w:lvlText w:val="[%1.%2.%3]"/>
      <w:lvlJc w:val="left"/>
      <w:pPr>
        <w:tabs>
          <w:tab w:val="num" w:pos="1440"/>
        </w:tabs>
        <w:ind w:left="720" w:firstLine="0"/>
      </w:pPr>
    </w:lvl>
    <w:lvl w:ilvl="3">
      <w:start w:val="1"/>
      <w:numFmt w:val="decimal"/>
      <w:lvlRestart w:val="0"/>
      <w:lvlText w:val="[%1.%2.%3.%4]"/>
      <w:lvlJc w:val="left"/>
      <w:pPr>
        <w:tabs>
          <w:tab w:val="num" w:pos="2160"/>
        </w:tabs>
        <w:ind w:left="1080" w:firstLine="0"/>
      </w:pPr>
    </w:lvl>
    <w:lvl w:ilvl="4">
      <w:start w:val="1"/>
      <w:numFmt w:val="decimal"/>
      <w:lvlRestart w:val="0"/>
      <w:lvlText w:val="[%1.%2.%3.%4.%5]"/>
      <w:lvlJc w:val="left"/>
      <w:pPr>
        <w:tabs>
          <w:tab w:val="num" w:pos="2520"/>
        </w:tabs>
        <w:ind w:left="2232" w:hanging="792"/>
      </w:pPr>
    </w:lvl>
    <w:lvl w:ilvl="5">
      <w:start w:val="1"/>
      <w:numFmt w:val="decimal"/>
      <w:lvlRestart w:val="0"/>
      <w:lvlText w:val="[%1.%2.%3.%4.%5.%6]"/>
      <w:lvlJc w:val="left"/>
      <w:pPr>
        <w:tabs>
          <w:tab w:val="num" w:pos="3240"/>
        </w:tabs>
        <w:ind w:left="2736" w:hanging="936"/>
      </w:pPr>
    </w:lvl>
    <w:lvl w:ilvl="6">
      <w:start w:val="1"/>
      <w:numFmt w:val="decimal"/>
      <w:lvlRestart w:val="0"/>
      <w:lvlText w:val="[%1.%2.%3.%4.%5.%6.%7]"/>
      <w:lvlJc w:val="left"/>
      <w:pPr>
        <w:tabs>
          <w:tab w:val="num" w:pos="3600"/>
        </w:tabs>
        <w:ind w:left="3240" w:hanging="1080"/>
      </w:pPr>
    </w:lvl>
    <w:lvl w:ilvl="7">
      <w:start w:val="1"/>
      <w:numFmt w:val="decimal"/>
      <w:lvlRestart w:val="0"/>
      <w:lvlText w:val="[%1.%2.%3.%4.%5.%6.%7.%8]"/>
      <w:lvlJc w:val="left"/>
      <w:pPr>
        <w:tabs>
          <w:tab w:val="num" w:pos="4320"/>
        </w:tabs>
        <w:ind w:left="3744" w:hanging="1224"/>
      </w:pPr>
    </w:lvl>
    <w:lvl w:ilvl="8">
      <w:start w:val="1"/>
      <w:numFmt w:val="decimal"/>
      <w:lvlRestart w:val="0"/>
      <w:lvlText w:val="[%1.%2.%3.%4.%5.%6.%7.%8.%9]"/>
      <w:lvlJc w:val="left"/>
      <w:pPr>
        <w:tabs>
          <w:tab w:val="num" w:pos="4680"/>
        </w:tabs>
        <w:ind w:left="4320" w:hanging="1440"/>
      </w:pPr>
    </w:lvl>
  </w:abstractNum>
  <w:abstractNum w:abstractNumId="37" w15:restartNumberingAfterBreak="0">
    <w:nsid w:val="78D6079A"/>
    <w:multiLevelType w:val="hybridMultilevel"/>
    <w:tmpl w:val="80AE0E1E"/>
    <w:lvl w:ilvl="0" w:tplc="22AEE0D8">
      <w:start w:val="1"/>
      <w:numFmt w:val="lowerLetter"/>
      <w:lvlText w:val="%1."/>
      <w:lvlJc w:val="left"/>
      <w:pPr>
        <w:ind w:left="1210" w:hanging="360"/>
      </w:pPr>
      <w:rPr>
        <w:rFonts w:hint="default"/>
      </w:rPr>
    </w:lvl>
    <w:lvl w:ilvl="1" w:tplc="0C0C0019" w:tentative="1">
      <w:start w:val="1"/>
      <w:numFmt w:val="lowerLetter"/>
      <w:lvlText w:val="%2."/>
      <w:lvlJc w:val="left"/>
      <w:pPr>
        <w:ind w:left="1930" w:hanging="360"/>
      </w:pPr>
    </w:lvl>
    <w:lvl w:ilvl="2" w:tplc="0C0C001B" w:tentative="1">
      <w:start w:val="1"/>
      <w:numFmt w:val="lowerRoman"/>
      <w:lvlText w:val="%3."/>
      <w:lvlJc w:val="right"/>
      <w:pPr>
        <w:ind w:left="2650" w:hanging="180"/>
      </w:pPr>
    </w:lvl>
    <w:lvl w:ilvl="3" w:tplc="0C0C000F" w:tentative="1">
      <w:start w:val="1"/>
      <w:numFmt w:val="decimal"/>
      <w:lvlText w:val="%4."/>
      <w:lvlJc w:val="left"/>
      <w:pPr>
        <w:ind w:left="3370" w:hanging="360"/>
      </w:pPr>
    </w:lvl>
    <w:lvl w:ilvl="4" w:tplc="0C0C0019" w:tentative="1">
      <w:start w:val="1"/>
      <w:numFmt w:val="lowerLetter"/>
      <w:lvlText w:val="%5."/>
      <w:lvlJc w:val="left"/>
      <w:pPr>
        <w:ind w:left="4090" w:hanging="360"/>
      </w:pPr>
    </w:lvl>
    <w:lvl w:ilvl="5" w:tplc="0C0C001B" w:tentative="1">
      <w:start w:val="1"/>
      <w:numFmt w:val="lowerRoman"/>
      <w:lvlText w:val="%6."/>
      <w:lvlJc w:val="right"/>
      <w:pPr>
        <w:ind w:left="4810" w:hanging="180"/>
      </w:pPr>
    </w:lvl>
    <w:lvl w:ilvl="6" w:tplc="0C0C000F" w:tentative="1">
      <w:start w:val="1"/>
      <w:numFmt w:val="decimal"/>
      <w:lvlText w:val="%7."/>
      <w:lvlJc w:val="left"/>
      <w:pPr>
        <w:ind w:left="5530" w:hanging="360"/>
      </w:pPr>
    </w:lvl>
    <w:lvl w:ilvl="7" w:tplc="0C0C0019" w:tentative="1">
      <w:start w:val="1"/>
      <w:numFmt w:val="lowerLetter"/>
      <w:lvlText w:val="%8."/>
      <w:lvlJc w:val="left"/>
      <w:pPr>
        <w:ind w:left="6250" w:hanging="360"/>
      </w:pPr>
    </w:lvl>
    <w:lvl w:ilvl="8" w:tplc="0C0C001B" w:tentative="1">
      <w:start w:val="1"/>
      <w:numFmt w:val="lowerRoman"/>
      <w:lvlText w:val="%9."/>
      <w:lvlJc w:val="right"/>
      <w:pPr>
        <w:ind w:left="6970" w:hanging="180"/>
      </w:pPr>
    </w:lvl>
  </w:abstractNum>
  <w:abstractNum w:abstractNumId="38" w15:restartNumberingAfterBreak="0">
    <w:nsid w:val="798B24B8"/>
    <w:multiLevelType w:val="hybridMultilevel"/>
    <w:tmpl w:val="27682C20"/>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39" w15:restartNumberingAfterBreak="0">
    <w:nsid w:val="7B413FE6"/>
    <w:multiLevelType w:val="hybridMultilevel"/>
    <w:tmpl w:val="379A65E2"/>
    <w:lvl w:ilvl="0" w:tplc="91E4402C">
      <w:start w:val="2"/>
      <w:numFmt w:val="bullet"/>
      <w:lvlText w:val="-"/>
      <w:lvlJc w:val="left"/>
      <w:pPr>
        <w:ind w:left="1440" w:hanging="360"/>
      </w:pPr>
      <w:rPr>
        <w:rFonts w:ascii="Arial" w:eastAsia="Times New Roman" w:hAnsi="Arial" w:cs="Arial" w:hint="default"/>
      </w:rPr>
    </w:lvl>
    <w:lvl w:ilvl="1" w:tplc="0C0C0003" w:tentative="1">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40" w15:restartNumberingAfterBreak="0">
    <w:nsid w:val="7BB76507"/>
    <w:multiLevelType w:val="multilevel"/>
    <w:tmpl w:val="F20E889A"/>
    <w:lvl w:ilvl="0">
      <w:start w:val="1"/>
      <w:numFmt w:val="decimal"/>
      <w:pStyle w:val="Paragraphe"/>
      <w:lvlText w:val="[%1]"/>
      <w:lvlJc w:val="left"/>
      <w:pPr>
        <w:tabs>
          <w:tab w:val="num" w:pos="720"/>
        </w:tabs>
        <w:ind w:left="720" w:hanging="720"/>
      </w:pPr>
      <w:rPr>
        <w:rFonts w:hint="default"/>
      </w:rPr>
    </w:lvl>
    <w:lvl w:ilvl="1">
      <w:start w:val="1"/>
      <w:numFmt w:val="decimal"/>
      <w:pStyle w:val="Sous-paragraphe"/>
      <w:lvlText w:val="%1.%2."/>
      <w:lvlJc w:val="left"/>
      <w:pPr>
        <w:tabs>
          <w:tab w:val="num" w:pos="792"/>
        </w:tabs>
        <w:ind w:left="792" w:hanging="432"/>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41" w15:restartNumberingAfterBreak="0">
    <w:nsid w:val="7DA75467"/>
    <w:multiLevelType w:val="hybridMultilevel"/>
    <w:tmpl w:val="5FCA5474"/>
    <w:lvl w:ilvl="0" w:tplc="669E23C4">
      <w:start w:val="1"/>
      <w:numFmt w:val="lowerLetter"/>
      <w:lvlText w:val="%1)"/>
      <w:lvlJc w:val="left"/>
      <w:pPr>
        <w:ind w:left="1080" w:hanging="360"/>
      </w:pPr>
      <w:rPr>
        <w:rFonts w:hint="default"/>
        <w:b/>
      </w:rPr>
    </w:lvl>
    <w:lvl w:ilvl="1" w:tplc="0C0C0019" w:tentative="1">
      <w:start w:val="1"/>
      <w:numFmt w:val="lowerLetter"/>
      <w:lvlText w:val="%2."/>
      <w:lvlJc w:val="left"/>
      <w:pPr>
        <w:ind w:left="1800" w:hanging="360"/>
      </w:pPr>
    </w:lvl>
    <w:lvl w:ilvl="2" w:tplc="0C0C001B" w:tentative="1">
      <w:start w:val="1"/>
      <w:numFmt w:val="lowerRoman"/>
      <w:lvlText w:val="%3."/>
      <w:lvlJc w:val="right"/>
      <w:pPr>
        <w:ind w:left="2520" w:hanging="180"/>
      </w:pPr>
    </w:lvl>
    <w:lvl w:ilvl="3" w:tplc="0C0C000F" w:tentative="1">
      <w:start w:val="1"/>
      <w:numFmt w:val="decimal"/>
      <w:lvlText w:val="%4."/>
      <w:lvlJc w:val="left"/>
      <w:pPr>
        <w:ind w:left="3240" w:hanging="360"/>
      </w:pPr>
    </w:lvl>
    <w:lvl w:ilvl="4" w:tplc="0C0C0019" w:tentative="1">
      <w:start w:val="1"/>
      <w:numFmt w:val="lowerLetter"/>
      <w:lvlText w:val="%5."/>
      <w:lvlJc w:val="left"/>
      <w:pPr>
        <w:ind w:left="3960" w:hanging="360"/>
      </w:pPr>
    </w:lvl>
    <w:lvl w:ilvl="5" w:tplc="0C0C001B" w:tentative="1">
      <w:start w:val="1"/>
      <w:numFmt w:val="lowerRoman"/>
      <w:lvlText w:val="%6."/>
      <w:lvlJc w:val="right"/>
      <w:pPr>
        <w:ind w:left="4680" w:hanging="180"/>
      </w:pPr>
    </w:lvl>
    <w:lvl w:ilvl="6" w:tplc="0C0C000F" w:tentative="1">
      <w:start w:val="1"/>
      <w:numFmt w:val="decimal"/>
      <w:lvlText w:val="%7."/>
      <w:lvlJc w:val="left"/>
      <w:pPr>
        <w:ind w:left="5400" w:hanging="360"/>
      </w:pPr>
    </w:lvl>
    <w:lvl w:ilvl="7" w:tplc="0C0C0019" w:tentative="1">
      <w:start w:val="1"/>
      <w:numFmt w:val="lowerLetter"/>
      <w:lvlText w:val="%8."/>
      <w:lvlJc w:val="left"/>
      <w:pPr>
        <w:ind w:left="6120" w:hanging="360"/>
      </w:pPr>
    </w:lvl>
    <w:lvl w:ilvl="8" w:tplc="0C0C001B" w:tentative="1">
      <w:start w:val="1"/>
      <w:numFmt w:val="lowerRoman"/>
      <w:lvlText w:val="%9."/>
      <w:lvlJc w:val="right"/>
      <w:pPr>
        <w:ind w:left="6840" w:hanging="180"/>
      </w:pPr>
    </w:lvl>
  </w:abstractNum>
  <w:num w:numId="1">
    <w:abstractNumId w:val="36"/>
  </w:num>
  <w:num w:numId="2">
    <w:abstractNumId w:val="35"/>
  </w:num>
  <w:num w:numId="3">
    <w:abstractNumId w:val="34"/>
  </w:num>
  <w:num w:numId="4">
    <w:abstractNumId w:val="32"/>
  </w:num>
  <w:num w:numId="5">
    <w:abstractNumId w:val="40"/>
  </w:num>
  <w:num w:numId="6">
    <w:abstractNumId w:val="40"/>
  </w:num>
  <w:num w:numId="7">
    <w:abstractNumId w:val="10"/>
  </w:num>
  <w:num w:numId="8">
    <w:abstractNumId w:val="30"/>
  </w:num>
  <w:num w:numId="9">
    <w:abstractNumId w:val="11"/>
  </w:num>
  <w:num w:numId="10">
    <w:abstractNumId w:val="37"/>
  </w:num>
  <w:num w:numId="11">
    <w:abstractNumId w:val="33"/>
  </w:num>
  <w:num w:numId="12">
    <w:abstractNumId w:val="31"/>
  </w:num>
  <w:num w:numId="13">
    <w:abstractNumId w:val="28"/>
  </w:num>
  <w:num w:numId="14">
    <w:abstractNumId w:val="1"/>
  </w:num>
  <w:num w:numId="15">
    <w:abstractNumId w:val="9"/>
  </w:num>
  <w:num w:numId="16">
    <w:abstractNumId w:val="29"/>
  </w:num>
  <w:num w:numId="17">
    <w:abstractNumId w:val="17"/>
  </w:num>
  <w:num w:numId="18">
    <w:abstractNumId w:val="19"/>
  </w:num>
  <w:num w:numId="19">
    <w:abstractNumId w:val="3"/>
  </w:num>
  <w:num w:numId="20">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9"/>
  </w:num>
  <w:num w:numId="22">
    <w:abstractNumId w:val="18"/>
  </w:num>
  <w:num w:numId="23">
    <w:abstractNumId w:val="27"/>
  </w:num>
  <w:num w:numId="24">
    <w:abstractNumId w:val="2"/>
  </w:num>
  <w:num w:numId="25">
    <w:abstractNumId w:val="41"/>
  </w:num>
  <w:num w:numId="26">
    <w:abstractNumId w:val="13"/>
  </w:num>
  <w:num w:numId="27">
    <w:abstractNumId w:val="24"/>
  </w:num>
  <w:num w:numId="28">
    <w:abstractNumId w:val="12"/>
  </w:num>
  <w:num w:numId="29">
    <w:abstractNumId w:val="23"/>
  </w:num>
  <w:num w:numId="30">
    <w:abstractNumId w:val="21"/>
  </w:num>
  <w:num w:numId="31">
    <w:abstractNumId w:val="25"/>
  </w:num>
  <w:num w:numId="32">
    <w:abstractNumId w:val="14"/>
  </w:num>
  <w:num w:numId="33">
    <w:abstractNumId w:val="5"/>
  </w:num>
  <w:num w:numId="34">
    <w:abstractNumId w:val="0"/>
  </w:num>
  <w:num w:numId="35">
    <w:abstractNumId w:val="26"/>
  </w:num>
  <w:num w:numId="36">
    <w:abstractNumId w:val="20"/>
  </w:num>
  <w:num w:numId="37">
    <w:abstractNumId w:val="4"/>
  </w:num>
  <w:num w:numId="38">
    <w:abstractNumId w:val="16"/>
  </w:num>
  <w:num w:numId="39">
    <w:abstractNumId w:val="8"/>
  </w:num>
  <w:num w:numId="40">
    <w:abstractNumId w:val="7"/>
  </w:num>
  <w:num w:numId="41">
    <w:abstractNumId w:val="6"/>
  </w:num>
  <w:num w:numId="42">
    <w:abstractNumId w:val="22"/>
  </w:num>
  <w:num w:numId="43">
    <w:abstractNumId w:val="38"/>
  </w:num>
  <w:num w:numId="44">
    <w:abstractNumId w:val="15"/>
  </w:num>
  <w:num w:numId="45">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6554"/>
    <w:rsid w:val="00001A5F"/>
    <w:rsid w:val="000034B0"/>
    <w:rsid w:val="000041A1"/>
    <w:rsid w:val="00021B30"/>
    <w:rsid w:val="00021E4C"/>
    <w:rsid w:val="00025F23"/>
    <w:rsid w:val="000366EC"/>
    <w:rsid w:val="000370F9"/>
    <w:rsid w:val="00043E4D"/>
    <w:rsid w:val="00070F06"/>
    <w:rsid w:val="0007225E"/>
    <w:rsid w:val="00076D81"/>
    <w:rsid w:val="0008378A"/>
    <w:rsid w:val="0008784D"/>
    <w:rsid w:val="00090018"/>
    <w:rsid w:val="00095814"/>
    <w:rsid w:val="000A4514"/>
    <w:rsid w:val="000A77C5"/>
    <w:rsid w:val="000B7F1B"/>
    <w:rsid w:val="000D3948"/>
    <w:rsid w:val="000E0C28"/>
    <w:rsid w:val="000E1320"/>
    <w:rsid w:val="000E56A6"/>
    <w:rsid w:val="000F3423"/>
    <w:rsid w:val="00101008"/>
    <w:rsid w:val="001050B4"/>
    <w:rsid w:val="001225BC"/>
    <w:rsid w:val="0012326A"/>
    <w:rsid w:val="001321A0"/>
    <w:rsid w:val="0013411D"/>
    <w:rsid w:val="001401EA"/>
    <w:rsid w:val="001407FC"/>
    <w:rsid w:val="00147B8B"/>
    <w:rsid w:val="0015125A"/>
    <w:rsid w:val="00152464"/>
    <w:rsid w:val="0015539F"/>
    <w:rsid w:val="00160597"/>
    <w:rsid w:val="001664C8"/>
    <w:rsid w:val="00167AD0"/>
    <w:rsid w:val="00173184"/>
    <w:rsid w:val="00175079"/>
    <w:rsid w:val="00183515"/>
    <w:rsid w:val="001A03BE"/>
    <w:rsid w:val="001A067E"/>
    <w:rsid w:val="001A2900"/>
    <w:rsid w:val="001A4081"/>
    <w:rsid w:val="001A65F1"/>
    <w:rsid w:val="001B2B40"/>
    <w:rsid w:val="001B3090"/>
    <w:rsid w:val="001B3E9D"/>
    <w:rsid w:val="001C2B0B"/>
    <w:rsid w:val="001C33F2"/>
    <w:rsid w:val="001C39C0"/>
    <w:rsid w:val="00201266"/>
    <w:rsid w:val="0021521A"/>
    <w:rsid w:val="0021653D"/>
    <w:rsid w:val="00216B91"/>
    <w:rsid w:val="00227040"/>
    <w:rsid w:val="00230CFC"/>
    <w:rsid w:val="00231696"/>
    <w:rsid w:val="00231C1D"/>
    <w:rsid w:val="00241CED"/>
    <w:rsid w:val="00242FB4"/>
    <w:rsid w:val="00243212"/>
    <w:rsid w:val="00245605"/>
    <w:rsid w:val="00250EA6"/>
    <w:rsid w:val="002563F0"/>
    <w:rsid w:val="00266064"/>
    <w:rsid w:val="00267C8D"/>
    <w:rsid w:val="002701DD"/>
    <w:rsid w:val="002769B5"/>
    <w:rsid w:val="00276B59"/>
    <w:rsid w:val="00281319"/>
    <w:rsid w:val="00286149"/>
    <w:rsid w:val="0028668D"/>
    <w:rsid w:val="00290289"/>
    <w:rsid w:val="00296645"/>
    <w:rsid w:val="00296A4B"/>
    <w:rsid w:val="00297284"/>
    <w:rsid w:val="002A0077"/>
    <w:rsid w:val="002A374B"/>
    <w:rsid w:val="002B2FC3"/>
    <w:rsid w:val="002B35F0"/>
    <w:rsid w:val="002B58AF"/>
    <w:rsid w:val="002C3748"/>
    <w:rsid w:val="002E50C5"/>
    <w:rsid w:val="002F6603"/>
    <w:rsid w:val="00305273"/>
    <w:rsid w:val="003057FC"/>
    <w:rsid w:val="00307C85"/>
    <w:rsid w:val="00312983"/>
    <w:rsid w:val="003248CB"/>
    <w:rsid w:val="003314C3"/>
    <w:rsid w:val="00331EA7"/>
    <w:rsid w:val="003328E9"/>
    <w:rsid w:val="00340ABE"/>
    <w:rsid w:val="00344465"/>
    <w:rsid w:val="0035375B"/>
    <w:rsid w:val="003664E9"/>
    <w:rsid w:val="00373EE5"/>
    <w:rsid w:val="00382E55"/>
    <w:rsid w:val="003834BA"/>
    <w:rsid w:val="003961B2"/>
    <w:rsid w:val="003B152B"/>
    <w:rsid w:val="003B1734"/>
    <w:rsid w:val="003B1735"/>
    <w:rsid w:val="003B6CBF"/>
    <w:rsid w:val="003B7664"/>
    <w:rsid w:val="003C47A7"/>
    <w:rsid w:val="003D0826"/>
    <w:rsid w:val="003E00D5"/>
    <w:rsid w:val="003E02BA"/>
    <w:rsid w:val="003F7F38"/>
    <w:rsid w:val="0040399B"/>
    <w:rsid w:val="00406F0C"/>
    <w:rsid w:val="00412585"/>
    <w:rsid w:val="0041363B"/>
    <w:rsid w:val="00415D5D"/>
    <w:rsid w:val="0042650F"/>
    <w:rsid w:val="00430346"/>
    <w:rsid w:val="00431E0B"/>
    <w:rsid w:val="004337FE"/>
    <w:rsid w:val="00433E98"/>
    <w:rsid w:val="00435738"/>
    <w:rsid w:val="00437137"/>
    <w:rsid w:val="004403B8"/>
    <w:rsid w:val="00441ADA"/>
    <w:rsid w:val="0044371C"/>
    <w:rsid w:val="0044627E"/>
    <w:rsid w:val="00446C5A"/>
    <w:rsid w:val="0045114F"/>
    <w:rsid w:val="004529D3"/>
    <w:rsid w:val="00453F31"/>
    <w:rsid w:val="0045497F"/>
    <w:rsid w:val="00456B0C"/>
    <w:rsid w:val="0046475E"/>
    <w:rsid w:val="0046538B"/>
    <w:rsid w:val="00471C92"/>
    <w:rsid w:val="004739AC"/>
    <w:rsid w:val="0047462C"/>
    <w:rsid w:val="0047776F"/>
    <w:rsid w:val="00486919"/>
    <w:rsid w:val="00487F13"/>
    <w:rsid w:val="00496193"/>
    <w:rsid w:val="004A02AF"/>
    <w:rsid w:val="004A2078"/>
    <w:rsid w:val="004A679B"/>
    <w:rsid w:val="004C0FB4"/>
    <w:rsid w:val="004C1811"/>
    <w:rsid w:val="004C4555"/>
    <w:rsid w:val="004E51C0"/>
    <w:rsid w:val="004E64BE"/>
    <w:rsid w:val="00503646"/>
    <w:rsid w:val="00503B8D"/>
    <w:rsid w:val="00505811"/>
    <w:rsid w:val="00506416"/>
    <w:rsid w:val="00515DE7"/>
    <w:rsid w:val="00517EB0"/>
    <w:rsid w:val="005205CB"/>
    <w:rsid w:val="005352F1"/>
    <w:rsid w:val="00545CFF"/>
    <w:rsid w:val="00546554"/>
    <w:rsid w:val="005520E0"/>
    <w:rsid w:val="00553522"/>
    <w:rsid w:val="00560781"/>
    <w:rsid w:val="005662E9"/>
    <w:rsid w:val="00570F0C"/>
    <w:rsid w:val="00572AAF"/>
    <w:rsid w:val="005801AE"/>
    <w:rsid w:val="00582ECC"/>
    <w:rsid w:val="0058399B"/>
    <w:rsid w:val="0058692F"/>
    <w:rsid w:val="00587C22"/>
    <w:rsid w:val="0059436D"/>
    <w:rsid w:val="00597016"/>
    <w:rsid w:val="005974B7"/>
    <w:rsid w:val="005A0D51"/>
    <w:rsid w:val="005A181B"/>
    <w:rsid w:val="005A1CB3"/>
    <w:rsid w:val="005A3073"/>
    <w:rsid w:val="005A70A0"/>
    <w:rsid w:val="005B0612"/>
    <w:rsid w:val="005B13F0"/>
    <w:rsid w:val="005B30F6"/>
    <w:rsid w:val="005B45BA"/>
    <w:rsid w:val="005B5689"/>
    <w:rsid w:val="005B6774"/>
    <w:rsid w:val="005C0A89"/>
    <w:rsid w:val="005C2E25"/>
    <w:rsid w:val="005C3BC4"/>
    <w:rsid w:val="005D521F"/>
    <w:rsid w:val="005E2367"/>
    <w:rsid w:val="005E5E90"/>
    <w:rsid w:val="005E654C"/>
    <w:rsid w:val="005F05F6"/>
    <w:rsid w:val="00605AA3"/>
    <w:rsid w:val="0061488E"/>
    <w:rsid w:val="0061574B"/>
    <w:rsid w:val="00622670"/>
    <w:rsid w:val="00626E8D"/>
    <w:rsid w:val="00632DA8"/>
    <w:rsid w:val="00634E6E"/>
    <w:rsid w:val="00637CD0"/>
    <w:rsid w:val="0064342A"/>
    <w:rsid w:val="00643A28"/>
    <w:rsid w:val="00643C81"/>
    <w:rsid w:val="006452FA"/>
    <w:rsid w:val="0065093D"/>
    <w:rsid w:val="00655459"/>
    <w:rsid w:val="00656FB2"/>
    <w:rsid w:val="00661454"/>
    <w:rsid w:val="0066642D"/>
    <w:rsid w:val="0067402D"/>
    <w:rsid w:val="00674B34"/>
    <w:rsid w:val="00675E85"/>
    <w:rsid w:val="00676C21"/>
    <w:rsid w:val="0067750F"/>
    <w:rsid w:val="00681889"/>
    <w:rsid w:val="0068401E"/>
    <w:rsid w:val="006841A4"/>
    <w:rsid w:val="0068643F"/>
    <w:rsid w:val="006877A1"/>
    <w:rsid w:val="00692150"/>
    <w:rsid w:val="00692F0C"/>
    <w:rsid w:val="00696E7C"/>
    <w:rsid w:val="006A0C54"/>
    <w:rsid w:val="006A723C"/>
    <w:rsid w:val="006A7C53"/>
    <w:rsid w:val="006B309C"/>
    <w:rsid w:val="006B688D"/>
    <w:rsid w:val="006B6F64"/>
    <w:rsid w:val="006B727F"/>
    <w:rsid w:val="006C6D3A"/>
    <w:rsid w:val="006C7B7F"/>
    <w:rsid w:val="006D19E8"/>
    <w:rsid w:val="006E330C"/>
    <w:rsid w:val="006E3DD8"/>
    <w:rsid w:val="006E793F"/>
    <w:rsid w:val="006F0154"/>
    <w:rsid w:val="006F7944"/>
    <w:rsid w:val="007005C0"/>
    <w:rsid w:val="007032E6"/>
    <w:rsid w:val="00704121"/>
    <w:rsid w:val="00705BB5"/>
    <w:rsid w:val="0071326F"/>
    <w:rsid w:val="007153D7"/>
    <w:rsid w:val="00720ED4"/>
    <w:rsid w:val="0074488F"/>
    <w:rsid w:val="00745AA8"/>
    <w:rsid w:val="007510EC"/>
    <w:rsid w:val="007569DE"/>
    <w:rsid w:val="0075723C"/>
    <w:rsid w:val="00765F4B"/>
    <w:rsid w:val="00782C8F"/>
    <w:rsid w:val="00785F78"/>
    <w:rsid w:val="0078659D"/>
    <w:rsid w:val="007869EC"/>
    <w:rsid w:val="007A1E58"/>
    <w:rsid w:val="007A6E2F"/>
    <w:rsid w:val="007B3BC5"/>
    <w:rsid w:val="007D03DF"/>
    <w:rsid w:val="007D4953"/>
    <w:rsid w:val="007D50F4"/>
    <w:rsid w:val="007E1216"/>
    <w:rsid w:val="007E4CD4"/>
    <w:rsid w:val="007F0E8E"/>
    <w:rsid w:val="0081130F"/>
    <w:rsid w:val="00814494"/>
    <w:rsid w:val="00825B1F"/>
    <w:rsid w:val="00827D55"/>
    <w:rsid w:val="00840EDD"/>
    <w:rsid w:val="0084255F"/>
    <w:rsid w:val="00854FB3"/>
    <w:rsid w:val="0086125A"/>
    <w:rsid w:val="008619A5"/>
    <w:rsid w:val="00861F8B"/>
    <w:rsid w:val="00872AED"/>
    <w:rsid w:val="008748C7"/>
    <w:rsid w:val="0087521A"/>
    <w:rsid w:val="00876A19"/>
    <w:rsid w:val="008808C0"/>
    <w:rsid w:val="00885022"/>
    <w:rsid w:val="00890BDE"/>
    <w:rsid w:val="008962E7"/>
    <w:rsid w:val="008A1118"/>
    <w:rsid w:val="008A4AF6"/>
    <w:rsid w:val="008A4FF8"/>
    <w:rsid w:val="008A7FD1"/>
    <w:rsid w:val="008B042E"/>
    <w:rsid w:val="008B211E"/>
    <w:rsid w:val="008B6D48"/>
    <w:rsid w:val="008C79A7"/>
    <w:rsid w:val="008D555F"/>
    <w:rsid w:val="008D625D"/>
    <w:rsid w:val="008D650E"/>
    <w:rsid w:val="008E6A41"/>
    <w:rsid w:val="00903990"/>
    <w:rsid w:val="00904950"/>
    <w:rsid w:val="00922DB7"/>
    <w:rsid w:val="00925D0B"/>
    <w:rsid w:val="0092684A"/>
    <w:rsid w:val="00937FAB"/>
    <w:rsid w:val="0094094D"/>
    <w:rsid w:val="00942994"/>
    <w:rsid w:val="00942AB8"/>
    <w:rsid w:val="00945CAF"/>
    <w:rsid w:val="00947448"/>
    <w:rsid w:val="00952B38"/>
    <w:rsid w:val="00952C99"/>
    <w:rsid w:val="00965333"/>
    <w:rsid w:val="009712EF"/>
    <w:rsid w:val="009727BF"/>
    <w:rsid w:val="00973321"/>
    <w:rsid w:val="00974C01"/>
    <w:rsid w:val="00975C2E"/>
    <w:rsid w:val="00977270"/>
    <w:rsid w:val="009824F2"/>
    <w:rsid w:val="00985E03"/>
    <w:rsid w:val="00986AA3"/>
    <w:rsid w:val="00993B24"/>
    <w:rsid w:val="0099611F"/>
    <w:rsid w:val="009A083F"/>
    <w:rsid w:val="009A67E7"/>
    <w:rsid w:val="009B7C45"/>
    <w:rsid w:val="009C603A"/>
    <w:rsid w:val="009C74CD"/>
    <w:rsid w:val="009C7D59"/>
    <w:rsid w:val="009D401F"/>
    <w:rsid w:val="009D68FA"/>
    <w:rsid w:val="009E281E"/>
    <w:rsid w:val="009E4FC2"/>
    <w:rsid w:val="009F38F4"/>
    <w:rsid w:val="009F44AE"/>
    <w:rsid w:val="00A02EF2"/>
    <w:rsid w:val="00A04D5E"/>
    <w:rsid w:val="00A10667"/>
    <w:rsid w:val="00A11172"/>
    <w:rsid w:val="00A242E4"/>
    <w:rsid w:val="00A24437"/>
    <w:rsid w:val="00A40AC7"/>
    <w:rsid w:val="00A435C7"/>
    <w:rsid w:val="00A558B3"/>
    <w:rsid w:val="00A569B2"/>
    <w:rsid w:val="00A611A4"/>
    <w:rsid w:val="00A72703"/>
    <w:rsid w:val="00A727F6"/>
    <w:rsid w:val="00A72E71"/>
    <w:rsid w:val="00A76432"/>
    <w:rsid w:val="00A84FC6"/>
    <w:rsid w:val="00A8528E"/>
    <w:rsid w:val="00A94A49"/>
    <w:rsid w:val="00AA1815"/>
    <w:rsid w:val="00AA1D3E"/>
    <w:rsid w:val="00AA39F9"/>
    <w:rsid w:val="00AA6598"/>
    <w:rsid w:val="00AB04FC"/>
    <w:rsid w:val="00AB5C9B"/>
    <w:rsid w:val="00AC0276"/>
    <w:rsid w:val="00AC0312"/>
    <w:rsid w:val="00AC0449"/>
    <w:rsid w:val="00AD2497"/>
    <w:rsid w:val="00AD5EB4"/>
    <w:rsid w:val="00AE63E2"/>
    <w:rsid w:val="00AF04C9"/>
    <w:rsid w:val="00AF26B6"/>
    <w:rsid w:val="00AF2979"/>
    <w:rsid w:val="00B0375C"/>
    <w:rsid w:val="00B13C24"/>
    <w:rsid w:val="00B156C3"/>
    <w:rsid w:val="00B15F67"/>
    <w:rsid w:val="00B16195"/>
    <w:rsid w:val="00B1624F"/>
    <w:rsid w:val="00B224C5"/>
    <w:rsid w:val="00B325CD"/>
    <w:rsid w:val="00B3443A"/>
    <w:rsid w:val="00B4410A"/>
    <w:rsid w:val="00B4768D"/>
    <w:rsid w:val="00B518E5"/>
    <w:rsid w:val="00B60222"/>
    <w:rsid w:val="00B62CFB"/>
    <w:rsid w:val="00B662F5"/>
    <w:rsid w:val="00B7000C"/>
    <w:rsid w:val="00B71B20"/>
    <w:rsid w:val="00B760D5"/>
    <w:rsid w:val="00B919DE"/>
    <w:rsid w:val="00B94740"/>
    <w:rsid w:val="00B97F75"/>
    <w:rsid w:val="00BA1CAE"/>
    <w:rsid w:val="00BA33BB"/>
    <w:rsid w:val="00BA6E22"/>
    <w:rsid w:val="00BB259B"/>
    <w:rsid w:val="00BB362C"/>
    <w:rsid w:val="00BD4139"/>
    <w:rsid w:val="00BE059A"/>
    <w:rsid w:val="00BE1981"/>
    <w:rsid w:val="00BE56E9"/>
    <w:rsid w:val="00BE63CF"/>
    <w:rsid w:val="00BE7014"/>
    <w:rsid w:val="00BF25C7"/>
    <w:rsid w:val="00BF4AEB"/>
    <w:rsid w:val="00C009B7"/>
    <w:rsid w:val="00C04E32"/>
    <w:rsid w:val="00C15A3F"/>
    <w:rsid w:val="00C20630"/>
    <w:rsid w:val="00C22F7A"/>
    <w:rsid w:val="00C2666F"/>
    <w:rsid w:val="00C32020"/>
    <w:rsid w:val="00C3408C"/>
    <w:rsid w:val="00C351CC"/>
    <w:rsid w:val="00C35435"/>
    <w:rsid w:val="00C432FD"/>
    <w:rsid w:val="00C43CDF"/>
    <w:rsid w:val="00C512B2"/>
    <w:rsid w:val="00C63735"/>
    <w:rsid w:val="00C644B7"/>
    <w:rsid w:val="00C64564"/>
    <w:rsid w:val="00C71A88"/>
    <w:rsid w:val="00C73C87"/>
    <w:rsid w:val="00C74B6F"/>
    <w:rsid w:val="00C83582"/>
    <w:rsid w:val="00C87EF3"/>
    <w:rsid w:val="00C9015F"/>
    <w:rsid w:val="00C912F9"/>
    <w:rsid w:val="00C9241B"/>
    <w:rsid w:val="00C97569"/>
    <w:rsid w:val="00CA199D"/>
    <w:rsid w:val="00CA4D9C"/>
    <w:rsid w:val="00CB05A7"/>
    <w:rsid w:val="00CB06A4"/>
    <w:rsid w:val="00CB325B"/>
    <w:rsid w:val="00CB64FF"/>
    <w:rsid w:val="00CB7078"/>
    <w:rsid w:val="00CB75A1"/>
    <w:rsid w:val="00CC78DE"/>
    <w:rsid w:val="00CD0F93"/>
    <w:rsid w:val="00CD6D6E"/>
    <w:rsid w:val="00CD6F23"/>
    <w:rsid w:val="00CF05CC"/>
    <w:rsid w:val="00CF640B"/>
    <w:rsid w:val="00CF6BDE"/>
    <w:rsid w:val="00D01176"/>
    <w:rsid w:val="00D027AF"/>
    <w:rsid w:val="00D06652"/>
    <w:rsid w:val="00D07FA6"/>
    <w:rsid w:val="00D17C53"/>
    <w:rsid w:val="00D17D57"/>
    <w:rsid w:val="00D25E0E"/>
    <w:rsid w:val="00D320C8"/>
    <w:rsid w:val="00D3672F"/>
    <w:rsid w:val="00D40ABA"/>
    <w:rsid w:val="00D40FE2"/>
    <w:rsid w:val="00D440FA"/>
    <w:rsid w:val="00D44BCF"/>
    <w:rsid w:val="00D46E73"/>
    <w:rsid w:val="00D5548D"/>
    <w:rsid w:val="00D60F81"/>
    <w:rsid w:val="00D63951"/>
    <w:rsid w:val="00D63BF2"/>
    <w:rsid w:val="00D67348"/>
    <w:rsid w:val="00D86F2C"/>
    <w:rsid w:val="00DA36F6"/>
    <w:rsid w:val="00DA4F84"/>
    <w:rsid w:val="00DA6648"/>
    <w:rsid w:val="00DC1611"/>
    <w:rsid w:val="00DF0774"/>
    <w:rsid w:val="00DF1036"/>
    <w:rsid w:val="00E024C2"/>
    <w:rsid w:val="00E05451"/>
    <w:rsid w:val="00E05651"/>
    <w:rsid w:val="00E20425"/>
    <w:rsid w:val="00E25DCB"/>
    <w:rsid w:val="00E460AD"/>
    <w:rsid w:val="00E61925"/>
    <w:rsid w:val="00E65C0E"/>
    <w:rsid w:val="00E730FC"/>
    <w:rsid w:val="00E746F0"/>
    <w:rsid w:val="00E82A15"/>
    <w:rsid w:val="00E82A70"/>
    <w:rsid w:val="00E87589"/>
    <w:rsid w:val="00E938FF"/>
    <w:rsid w:val="00EA34DC"/>
    <w:rsid w:val="00EA5017"/>
    <w:rsid w:val="00EA57B6"/>
    <w:rsid w:val="00EB14F0"/>
    <w:rsid w:val="00EB3844"/>
    <w:rsid w:val="00EB5A9F"/>
    <w:rsid w:val="00EC2B47"/>
    <w:rsid w:val="00EC5C8D"/>
    <w:rsid w:val="00ED106C"/>
    <w:rsid w:val="00ED1C58"/>
    <w:rsid w:val="00ED2D34"/>
    <w:rsid w:val="00ED4805"/>
    <w:rsid w:val="00ED6C51"/>
    <w:rsid w:val="00EF4258"/>
    <w:rsid w:val="00F02237"/>
    <w:rsid w:val="00F11C3E"/>
    <w:rsid w:val="00F22423"/>
    <w:rsid w:val="00F24C72"/>
    <w:rsid w:val="00F31D22"/>
    <w:rsid w:val="00F348B2"/>
    <w:rsid w:val="00F34BF0"/>
    <w:rsid w:val="00F4095A"/>
    <w:rsid w:val="00F41BA3"/>
    <w:rsid w:val="00F45845"/>
    <w:rsid w:val="00F50189"/>
    <w:rsid w:val="00F508FC"/>
    <w:rsid w:val="00F54044"/>
    <w:rsid w:val="00F576E7"/>
    <w:rsid w:val="00F735EC"/>
    <w:rsid w:val="00F763FC"/>
    <w:rsid w:val="00F772C1"/>
    <w:rsid w:val="00F8026D"/>
    <w:rsid w:val="00F8245F"/>
    <w:rsid w:val="00F87EC5"/>
    <w:rsid w:val="00F91629"/>
    <w:rsid w:val="00F91E2A"/>
    <w:rsid w:val="00F97850"/>
    <w:rsid w:val="00FA153F"/>
    <w:rsid w:val="00FA1D78"/>
    <w:rsid w:val="00FA1F7E"/>
    <w:rsid w:val="00FA280F"/>
    <w:rsid w:val="00FA480F"/>
    <w:rsid w:val="00FB2186"/>
    <w:rsid w:val="00FB2877"/>
    <w:rsid w:val="00FC4155"/>
    <w:rsid w:val="00FD0133"/>
    <w:rsid w:val="00FD1F71"/>
    <w:rsid w:val="00FD6206"/>
    <w:rsid w:val="00FF32C3"/>
    <w:rsid w:val="00FF6168"/>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49"/>
    <o:shapelayout v:ext="edit">
      <o:idmap v:ext="edit" data="1"/>
    </o:shapelayout>
  </w:shapeDefaults>
  <w:decimalSymbol w:val=","/>
  <w:listSeparator w:val=";"/>
  <w14:docId w14:val="6ABB15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caption" w:semiHidden="1" w:unhideWhenUsed="1" w:qFormat="1"/>
    <w:lsdException w:name="footnote reference" w:uiPriority="99"/>
    <w:lsdException w:name="Title" w:qFormat="1"/>
    <w:lsdException w:name="Subtitle" w:qFormat="1"/>
    <w:lsdException w:name="Strong" w:qFormat="1"/>
    <w:lsdException w:name="Emphasis" w:uiPriority="20"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sz w:val="24"/>
    </w:rPr>
  </w:style>
  <w:style w:type="paragraph" w:styleId="Titre1">
    <w:name w:val="heading 1"/>
    <w:basedOn w:val="Normal"/>
    <w:next w:val="corpsdedcision"/>
    <w:link w:val="Titre1Car"/>
    <w:qFormat/>
    <w:rsid w:val="00216B91"/>
    <w:pPr>
      <w:keepNext/>
      <w:spacing w:before="240" w:after="240"/>
      <w:outlineLvl w:val="0"/>
    </w:pPr>
    <w:rPr>
      <w:rFonts w:cs="Arial"/>
      <w:bCs/>
      <w:caps/>
      <w:kern w:val="32"/>
      <w:szCs w:val="32"/>
      <w:u w:val="single"/>
      <w:lang w:eastAsia="fr-FR"/>
    </w:rPr>
  </w:style>
  <w:style w:type="paragraph" w:styleId="Titre2">
    <w:name w:val="heading 2"/>
    <w:basedOn w:val="Normal"/>
    <w:next w:val="corpsdedcision"/>
    <w:qFormat/>
    <w:rsid w:val="00216B91"/>
    <w:pPr>
      <w:keepNext/>
      <w:spacing w:before="240" w:after="240"/>
      <w:outlineLvl w:val="1"/>
    </w:pPr>
    <w:rPr>
      <w:rFonts w:cs="Arial"/>
      <w:bCs/>
      <w:iCs/>
      <w:caps/>
      <w:szCs w:val="28"/>
      <w:lang w:eastAsia="fr-FR"/>
    </w:rPr>
  </w:style>
  <w:style w:type="paragraph" w:styleId="Titre3">
    <w:name w:val="heading 3"/>
    <w:basedOn w:val="Normal"/>
    <w:next w:val="corpsdedcision"/>
    <w:qFormat/>
    <w:rsid w:val="00216B91"/>
    <w:pPr>
      <w:keepNext/>
      <w:spacing w:before="240" w:after="240"/>
      <w:outlineLvl w:val="2"/>
    </w:pPr>
    <w:rPr>
      <w:rFonts w:cs="Arial"/>
      <w:bCs/>
      <w:szCs w:val="26"/>
      <w:u w:val="single"/>
      <w:lang w:eastAsia="fr-FR"/>
    </w:rPr>
  </w:style>
  <w:style w:type="paragraph" w:styleId="Titre4">
    <w:name w:val="heading 4"/>
    <w:basedOn w:val="Normal"/>
    <w:next w:val="corpsdedcision"/>
    <w:qFormat/>
    <w:rsid w:val="00216B91"/>
    <w:pPr>
      <w:keepNext/>
      <w:spacing w:before="240" w:after="240"/>
      <w:outlineLvl w:val="3"/>
    </w:pPr>
    <w:rPr>
      <w:bCs/>
      <w:szCs w:val="28"/>
      <w:lang w:eastAsia="fr-FR"/>
    </w:rPr>
  </w:style>
  <w:style w:type="paragraph" w:styleId="Titre5">
    <w:name w:val="heading 5"/>
    <w:basedOn w:val="Normal"/>
    <w:next w:val="Normal"/>
    <w:qFormat/>
    <w:rsid w:val="005E2367"/>
    <w:pPr>
      <w:numPr>
        <w:ilvl w:val="4"/>
        <w:numId w:val="2"/>
      </w:numPr>
      <w:spacing w:before="240" w:after="60"/>
      <w:outlineLvl w:val="4"/>
    </w:pPr>
    <w:rPr>
      <w:b/>
      <w:bCs/>
      <w:i/>
      <w:iCs/>
      <w:sz w:val="26"/>
      <w:szCs w:val="26"/>
    </w:rPr>
  </w:style>
  <w:style w:type="paragraph" w:styleId="Titre6">
    <w:name w:val="heading 6"/>
    <w:basedOn w:val="Normal"/>
    <w:next w:val="Normal"/>
    <w:qFormat/>
    <w:rsid w:val="005E2367"/>
    <w:pPr>
      <w:numPr>
        <w:ilvl w:val="5"/>
        <w:numId w:val="2"/>
      </w:numPr>
      <w:spacing w:before="240" w:after="60"/>
      <w:outlineLvl w:val="5"/>
    </w:pPr>
    <w:rPr>
      <w:rFonts w:ascii="Times New Roman" w:hAnsi="Times New Roman"/>
      <w:b/>
      <w:bCs/>
      <w:sz w:val="22"/>
      <w:szCs w:val="22"/>
    </w:rPr>
  </w:style>
  <w:style w:type="paragraph" w:styleId="Titre7">
    <w:name w:val="heading 7"/>
    <w:basedOn w:val="Normal"/>
    <w:next w:val="Normal"/>
    <w:qFormat/>
    <w:rsid w:val="005E2367"/>
    <w:pPr>
      <w:numPr>
        <w:ilvl w:val="6"/>
        <w:numId w:val="2"/>
      </w:numPr>
      <w:spacing w:before="240" w:after="60"/>
      <w:outlineLvl w:val="6"/>
    </w:pPr>
    <w:rPr>
      <w:rFonts w:ascii="Times New Roman" w:hAnsi="Times New Roman"/>
      <w:szCs w:val="24"/>
    </w:rPr>
  </w:style>
  <w:style w:type="paragraph" w:styleId="Titre8">
    <w:name w:val="heading 8"/>
    <w:basedOn w:val="Normal"/>
    <w:next w:val="Normal"/>
    <w:qFormat/>
    <w:rsid w:val="005E2367"/>
    <w:pPr>
      <w:numPr>
        <w:ilvl w:val="7"/>
        <w:numId w:val="2"/>
      </w:numPr>
      <w:spacing w:before="240" w:after="60"/>
      <w:outlineLvl w:val="7"/>
    </w:pPr>
    <w:rPr>
      <w:rFonts w:ascii="Times New Roman" w:hAnsi="Times New Roman"/>
      <w:i/>
      <w:iCs/>
      <w:szCs w:val="24"/>
    </w:rPr>
  </w:style>
  <w:style w:type="paragraph" w:styleId="Titre9">
    <w:name w:val="heading 9"/>
    <w:basedOn w:val="Normal"/>
    <w:next w:val="Normal"/>
    <w:qFormat/>
    <w:rsid w:val="005E2367"/>
    <w:pPr>
      <w:numPr>
        <w:ilvl w:val="8"/>
        <w:numId w:val="2"/>
      </w:numPr>
      <w:spacing w:before="240" w:after="60"/>
      <w:outlineLvl w:val="8"/>
    </w:pPr>
    <w:rPr>
      <w:rFonts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zSoquijdatAssesseurs">
    <w:name w:val="zSoquij_datAssesseurs"/>
    <w:basedOn w:val="Normal"/>
  </w:style>
  <w:style w:type="paragraph" w:customStyle="1" w:styleId="zSoquijdatCabinetProcureurDef">
    <w:name w:val="zSoquij_datCabinetProcureurDef"/>
    <w:basedOn w:val="Normal"/>
  </w:style>
  <w:style w:type="paragraph" w:customStyle="1" w:styleId="zSoquijdatCabinetProcureurDem">
    <w:name w:val="zSoquij_datCabinetProcureurDem"/>
    <w:basedOn w:val="Normal"/>
  </w:style>
  <w:style w:type="paragraph" w:customStyle="1" w:styleId="zSoquijdatDateJugement">
    <w:name w:val="zSoquij_datDateJugement"/>
    <w:basedOn w:val="Normal"/>
    <w:rsid w:val="005B5689"/>
  </w:style>
  <w:style w:type="paragraph" w:customStyle="1" w:styleId="zSoquijdatGreffe">
    <w:name w:val="zSoquij_datGreffe"/>
    <w:basedOn w:val="Normal"/>
  </w:style>
  <w:style w:type="paragraph" w:customStyle="1" w:styleId="zSoquijdatJuge">
    <w:name w:val="zSoquij_datJuge"/>
    <w:basedOn w:val="Normal"/>
    <w:rsid w:val="005B5689"/>
    <w:rPr>
      <w:b/>
    </w:rPr>
  </w:style>
  <w:style w:type="paragraph" w:customStyle="1" w:styleId="zSoquijdatMembreE">
    <w:name w:val="zSoquij_datMembreE"/>
    <w:basedOn w:val="Normal"/>
  </w:style>
  <w:style w:type="paragraph" w:customStyle="1" w:styleId="zSoquijdatMembreS">
    <w:name w:val="zSoquij_datMembreS"/>
    <w:basedOn w:val="Normal"/>
  </w:style>
  <w:style w:type="paragraph" w:customStyle="1" w:styleId="articlesdelaLSST">
    <w:name w:val="articles de la LSST"/>
    <w:basedOn w:val="Normal"/>
    <w:pPr>
      <w:ind w:left="720" w:right="720"/>
      <w:jc w:val="both"/>
    </w:pPr>
    <w:rPr>
      <w:sz w:val="20"/>
    </w:rPr>
  </w:style>
  <w:style w:type="paragraph" w:customStyle="1" w:styleId="zSoquijdatNCSST">
    <w:name w:val="zSoquij_datNCSST"/>
    <w:basedOn w:val="Normal"/>
  </w:style>
  <w:style w:type="paragraph" w:customStyle="1" w:styleId="zSoquijdatNoDossier">
    <w:name w:val="zSoquij_datNoDossier"/>
    <w:basedOn w:val="Normal"/>
  </w:style>
  <w:style w:type="paragraph" w:customStyle="1" w:styleId="zSoquijdatNomPartieDef">
    <w:name w:val="zSoquij_datNomPartieDef"/>
    <w:basedOn w:val="Normal"/>
  </w:style>
  <w:style w:type="paragraph" w:customStyle="1" w:styleId="zSoquijdatNomPartieDem">
    <w:name w:val="zSoquij_datNomPartieDem"/>
    <w:basedOn w:val="Normal"/>
  </w:style>
  <w:style w:type="paragraph" w:customStyle="1" w:styleId="zSoquijdatNomPartieInt">
    <w:name w:val="zSoquij_datNomPartieInt"/>
    <w:basedOn w:val="Normal"/>
  </w:style>
  <w:style w:type="paragraph" w:customStyle="1" w:styleId="zSoquijdatNomProcureurDef">
    <w:name w:val="zSoquij_datNomProcureurDef"/>
    <w:basedOn w:val="Normal"/>
  </w:style>
  <w:style w:type="paragraph" w:customStyle="1" w:styleId="zSoquijdatNomProcureurDem">
    <w:name w:val="zSoquij_datNomProcureurDem"/>
    <w:basedOn w:val="Normal"/>
  </w:style>
  <w:style w:type="paragraph" w:customStyle="1" w:styleId="zSoquijdatQtePartieDef">
    <w:name w:val="zSoquij_datQtePartieDef"/>
    <w:basedOn w:val="Normal"/>
  </w:style>
  <w:style w:type="paragraph" w:customStyle="1" w:styleId="zSoquijdatQtePartieDem">
    <w:name w:val="zSoquij_datQtePartieDem"/>
    <w:basedOn w:val="Normal"/>
  </w:style>
  <w:style w:type="paragraph" w:customStyle="1" w:styleId="zSoquijdatQtePartieInt">
    <w:name w:val="zSoquij_datQtePartieInt"/>
    <w:basedOn w:val="Normal"/>
  </w:style>
  <w:style w:type="paragraph" w:customStyle="1" w:styleId="zSoquijlblProcureurDef">
    <w:name w:val="zSoquij_lblProcureurDef"/>
    <w:basedOn w:val="Normal"/>
  </w:style>
  <w:style w:type="paragraph" w:customStyle="1" w:styleId="zSoquijlblProcureurDem">
    <w:name w:val="zSoquij_lblProcureurDem"/>
    <w:basedOn w:val="Normal"/>
  </w:style>
  <w:style w:type="character" w:styleId="Appelnotedebasdep">
    <w:name w:val="footnote reference"/>
    <w:basedOn w:val="Policepardfaut"/>
    <w:uiPriority w:val="99"/>
    <w:rPr>
      <w:rFonts w:ascii="Arial" w:hAnsi="Arial"/>
      <w:vertAlign w:val="superscript"/>
    </w:rPr>
  </w:style>
  <w:style w:type="paragraph" w:customStyle="1" w:styleId="citation">
    <w:name w:val="citation"/>
    <w:basedOn w:val="Normal"/>
    <w:pPr>
      <w:ind w:left="720" w:right="720"/>
      <w:jc w:val="both"/>
    </w:pPr>
    <w:rPr>
      <w:sz w:val="20"/>
    </w:rPr>
  </w:style>
  <w:style w:type="paragraph" w:customStyle="1" w:styleId="corpsdedcision">
    <w:name w:val="corps de décision"/>
    <w:basedOn w:val="Normal"/>
    <w:link w:val="corpsdedcisionCar"/>
    <w:pPr>
      <w:numPr>
        <w:numId w:val="1"/>
      </w:numPr>
      <w:tabs>
        <w:tab w:val="clear" w:pos="360"/>
        <w:tab w:val="left" w:pos="720"/>
      </w:tabs>
      <w:spacing w:after="360"/>
      <w:jc w:val="both"/>
    </w:pPr>
  </w:style>
  <w:style w:type="paragraph" w:customStyle="1" w:styleId="Dfinitions">
    <w:name w:val="Définitions"/>
    <w:basedOn w:val="citation"/>
  </w:style>
  <w:style w:type="paragraph" w:customStyle="1" w:styleId="Dispositif">
    <w:name w:val="Dispositif"/>
    <w:basedOn w:val="Normal"/>
    <w:pPr>
      <w:spacing w:after="360"/>
      <w:jc w:val="both"/>
    </w:pPr>
  </w:style>
  <w:style w:type="paragraph" w:styleId="Notedebasdepage">
    <w:name w:val="footnote text"/>
    <w:aliases w:val="Note de bas de page art 65,Note de bas de page + 10pt,Car,Car Car Car Car Car,Car Car Car Car,Car Car Car,Car Car Car Car Car Car Car Car Car,Car Car, Car, Car Car Car Car Car, Car Car Car Car, Car Car Car"/>
    <w:basedOn w:val="Normal"/>
    <w:link w:val="NotedebasdepageCar"/>
    <w:uiPriority w:val="99"/>
  </w:style>
  <w:style w:type="paragraph" w:styleId="En-tte">
    <w:name w:val="header"/>
    <w:basedOn w:val="Normal"/>
    <w:pPr>
      <w:tabs>
        <w:tab w:val="center" w:pos="4320"/>
        <w:tab w:val="right" w:pos="8640"/>
      </w:tabs>
    </w:pPr>
  </w:style>
  <w:style w:type="character" w:styleId="Numrodepage">
    <w:name w:val="page number"/>
    <w:basedOn w:val="Policepardfaut"/>
    <w:rPr>
      <w:rFonts w:ascii="Arial" w:hAnsi="Arial"/>
      <w:sz w:val="24"/>
    </w:rPr>
  </w:style>
  <w:style w:type="paragraph" w:styleId="Pieddepage">
    <w:name w:val="footer"/>
    <w:basedOn w:val="Normal"/>
    <w:pPr>
      <w:tabs>
        <w:tab w:val="center" w:pos="4320"/>
        <w:tab w:val="right" w:pos="8640"/>
      </w:tabs>
    </w:pPr>
  </w:style>
  <w:style w:type="paragraph" w:customStyle="1" w:styleId="zSoquijlblProcureurInt">
    <w:name w:val="zSoquij_lblProcureurInt"/>
    <w:basedOn w:val="Normal"/>
  </w:style>
  <w:style w:type="paragraph" w:customStyle="1" w:styleId="articlesdelaLATMP">
    <w:name w:val="articles de la LATMP"/>
    <w:basedOn w:val="Normal"/>
    <w:pPr>
      <w:ind w:left="720" w:right="720"/>
      <w:jc w:val="both"/>
    </w:pPr>
    <w:rPr>
      <w:sz w:val="20"/>
    </w:rPr>
  </w:style>
  <w:style w:type="paragraph" w:customStyle="1" w:styleId="Annexes">
    <w:name w:val="Annexes"/>
    <w:basedOn w:val="citation"/>
  </w:style>
  <w:style w:type="paragraph" w:customStyle="1" w:styleId="zSoquijdatNomProcureurInt">
    <w:name w:val="zSoquij_datNomProcureurInt"/>
    <w:basedOn w:val="Normal"/>
  </w:style>
  <w:style w:type="paragraph" w:customStyle="1" w:styleId="zSoquijdatCabinetProcureurInt">
    <w:name w:val="zSoquij_datCabinetProcureurInt"/>
    <w:basedOn w:val="Normal"/>
  </w:style>
  <w:style w:type="paragraph" w:customStyle="1" w:styleId="zSoquijdatRefNeutre">
    <w:name w:val="zSoquij_datRefNeutre"/>
    <w:basedOn w:val="Normal"/>
    <w:rsid w:val="00E20425"/>
    <w:pPr>
      <w:jc w:val="right"/>
    </w:pPr>
    <w:rPr>
      <w:b/>
      <w:sz w:val="22"/>
      <w:szCs w:val="22"/>
    </w:rPr>
  </w:style>
  <w:style w:type="paragraph" w:customStyle="1" w:styleId="zSoquijdatRepertorie">
    <w:name w:val="zSoquij_datRepertorie"/>
    <w:basedOn w:val="Normal"/>
    <w:rsid w:val="00E20425"/>
    <w:rPr>
      <w:b/>
      <w:sz w:val="22"/>
      <w:szCs w:val="22"/>
    </w:rPr>
  </w:style>
  <w:style w:type="paragraph" w:customStyle="1" w:styleId="corpsdetexte">
    <w:name w:val="corps de texte"/>
    <w:basedOn w:val="Normal"/>
    <w:rsid w:val="00ED2D34"/>
    <w:pPr>
      <w:tabs>
        <w:tab w:val="left" w:pos="720"/>
      </w:tabs>
      <w:spacing w:after="360"/>
      <w:jc w:val="both"/>
    </w:pPr>
  </w:style>
  <w:style w:type="paragraph" w:customStyle="1" w:styleId="articlesdelaLATMPnouveaux">
    <w:name w:val="articles de la LATMP (nouveaux)"/>
    <w:basedOn w:val="Normal"/>
    <w:rsid w:val="00D44BCF"/>
    <w:pPr>
      <w:ind w:left="720" w:right="720"/>
      <w:jc w:val="both"/>
    </w:pPr>
    <w:rPr>
      <w:sz w:val="20"/>
    </w:rPr>
  </w:style>
  <w:style w:type="paragraph" w:customStyle="1" w:styleId="rectification">
    <w:name w:val="rectification"/>
    <w:basedOn w:val="Normal"/>
    <w:rsid w:val="00546554"/>
    <w:pPr>
      <w:spacing w:after="360"/>
      <w:ind w:left="706"/>
    </w:pPr>
  </w:style>
  <w:style w:type="paragraph" w:customStyle="1" w:styleId="Citationenretrait">
    <w:name w:val="Citation en retrait"/>
    <w:basedOn w:val="Normal"/>
    <w:link w:val="CitationenretraitCar"/>
    <w:rsid w:val="006A7C53"/>
    <w:pPr>
      <w:spacing w:before="120" w:after="120"/>
      <w:ind w:left="720" w:right="720"/>
      <w:jc w:val="both"/>
    </w:pPr>
    <w:rPr>
      <w:kern w:val="24"/>
      <w:sz w:val="22"/>
      <w:lang w:eastAsia="fr-FR"/>
    </w:rPr>
  </w:style>
  <w:style w:type="paragraph" w:customStyle="1" w:styleId="Citationendoubleretrait">
    <w:name w:val="Citation en double retrait"/>
    <w:basedOn w:val="Citationenretrait"/>
    <w:link w:val="CitationendoubleretraitCar"/>
    <w:rsid w:val="003B1734"/>
    <w:pPr>
      <w:ind w:left="1440" w:right="1440"/>
    </w:pPr>
    <w:rPr>
      <w:sz w:val="20"/>
    </w:rPr>
  </w:style>
  <w:style w:type="character" w:customStyle="1" w:styleId="Citationintgre">
    <w:name w:val="Citation intégrée"/>
    <w:basedOn w:val="Policepardfaut"/>
    <w:rsid w:val="006A7C53"/>
    <w:rPr>
      <w:rFonts w:ascii="Arial" w:hAnsi="Arial"/>
      <w:i/>
      <w:noProof w:val="0"/>
      <w:sz w:val="22"/>
      <w:lang w:val="fr-CA"/>
    </w:rPr>
  </w:style>
  <w:style w:type="paragraph" w:customStyle="1" w:styleId="Paragraphe">
    <w:name w:val="Paragraphe"/>
    <w:basedOn w:val="Normal"/>
    <w:rsid w:val="006A7C53"/>
    <w:pPr>
      <w:numPr>
        <w:numId w:val="6"/>
      </w:numPr>
      <w:spacing w:before="160" w:after="160"/>
      <w:jc w:val="both"/>
    </w:pPr>
    <w:rPr>
      <w:kern w:val="28"/>
      <w:lang w:eastAsia="fr-FR"/>
    </w:rPr>
  </w:style>
  <w:style w:type="paragraph" w:customStyle="1" w:styleId="ParagAlaMarge">
    <w:name w:val="ParagAlaMarge"/>
    <w:basedOn w:val="Paragraphe"/>
    <w:rsid w:val="006A7C53"/>
    <w:pPr>
      <w:numPr>
        <w:numId w:val="0"/>
      </w:numPr>
    </w:pPr>
  </w:style>
  <w:style w:type="paragraph" w:customStyle="1" w:styleId="ParagNonNum">
    <w:name w:val="ParagNonNum"/>
    <w:basedOn w:val="Paragraphe"/>
    <w:rsid w:val="006A7C53"/>
    <w:pPr>
      <w:numPr>
        <w:numId w:val="0"/>
      </w:numPr>
      <w:ind w:firstLine="720"/>
    </w:pPr>
  </w:style>
  <w:style w:type="paragraph" w:customStyle="1" w:styleId="Sous-paragraphe">
    <w:name w:val="Sous-paragraphe"/>
    <w:basedOn w:val="Normal"/>
    <w:rsid w:val="000E0C28"/>
    <w:pPr>
      <w:numPr>
        <w:ilvl w:val="1"/>
        <w:numId w:val="6"/>
      </w:numPr>
      <w:spacing w:before="120" w:after="120"/>
      <w:ind w:left="1440" w:hanging="720"/>
    </w:pPr>
    <w:rPr>
      <w:szCs w:val="24"/>
      <w:lang w:eastAsia="fr-FR"/>
    </w:rPr>
  </w:style>
  <w:style w:type="paragraph" w:customStyle="1" w:styleId="zSoquijdatDivision">
    <w:name w:val="zSoquij_datDivision"/>
    <w:basedOn w:val="Normal"/>
    <w:rsid w:val="00F772C1"/>
    <w:pPr>
      <w:jc w:val="center"/>
    </w:pPr>
    <w:rPr>
      <w:b/>
      <w:bCs/>
      <w:sz w:val="22"/>
      <w:szCs w:val="22"/>
    </w:rPr>
  </w:style>
  <w:style w:type="paragraph" w:customStyle="1" w:styleId="zSoquijlblLienParties">
    <w:name w:val="zSoquij_lblLienParties"/>
    <w:basedOn w:val="Normal"/>
    <w:rsid w:val="00D06652"/>
  </w:style>
  <w:style w:type="paragraph" w:customStyle="1" w:styleId="zSoquijdatDateAudience">
    <w:name w:val="zSoquij_datDateAudience"/>
    <w:basedOn w:val="Normal"/>
    <w:rsid w:val="000E56A6"/>
  </w:style>
  <w:style w:type="character" w:customStyle="1" w:styleId="NotedebasdepageCar">
    <w:name w:val="Note de bas de page Car"/>
    <w:aliases w:val="Note de bas de page art 65 Car,Note de bas de page + 10pt Car,Car Car4,Car Car Car Car Car Car,Car Car Car Car Car1,Car Car Car Car1,Car Car Car Car Car Car Car Car Car Car,Car Car Car1, Car Car, Car Car Car Car Car Car"/>
    <w:link w:val="Notedebasdepage"/>
    <w:uiPriority w:val="99"/>
    <w:locked/>
    <w:rsid w:val="008619A5"/>
    <w:rPr>
      <w:rFonts w:ascii="Arial" w:hAnsi="Arial"/>
      <w:sz w:val="24"/>
    </w:rPr>
  </w:style>
  <w:style w:type="character" w:customStyle="1" w:styleId="CarCar3">
    <w:name w:val="Car Car3"/>
    <w:semiHidden/>
    <w:locked/>
    <w:rsid w:val="008619A5"/>
    <w:rPr>
      <w:rFonts w:ascii="Arial" w:hAnsi="Arial"/>
      <w:sz w:val="24"/>
      <w:lang w:val="fr-CA" w:eastAsia="fr-CA" w:bidi="ar-SA"/>
    </w:rPr>
  </w:style>
  <w:style w:type="character" w:customStyle="1" w:styleId="Titre1Car">
    <w:name w:val="Titre 1 Car"/>
    <w:link w:val="Titre1"/>
    <w:rsid w:val="008619A5"/>
    <w:rPr>
      <w:rFonts w:ascii="Arial" w:hAnsi="Arial" w:cs="Arial"/>
      <w:bCs/>
      <w:caps/>
      <w:kern w:val="32"/>
      <w:sz w:val="24"/>
      <w:szCs w:val="32"/>
      <w:u w:val="single"/>
      <w:lang w:eastAsia="fr-FR"/>
    </w:rPr>
  </w:style>
  <w:style w:type="paragraph" w:customStyle="1" w:styleId="ParagConclusion">
    <w:name w:val="ParagConclusion"/>
    <w:basedOn w:val="Normal"/>
    <w:rsid w:val="008619A5"/>
    <w:pPr>
      <w:spacing w:before="160" w:after="160"/>
      <w:ind w:left="2448" w:hanging="2448"/>
    </w:pPr>
    <w:rPr>
      <w:rFonts w:eastAsia="Calibri" w:cs="Arial"/>
      <w:szCs w:val="24"/>
      <w:lang w:eastAsia="fr-FR"/>
    </w:rPr>
  </w:style>
  <w:style w:type="paragraph" w:customStyle="1" w:styleId="yChPInterv">
    <w:name w:val="yCh_PInterv"/>
    <w:rsid w:val="008619A5"/>
    <w:rPr>
      <w:rFonts w:ascii="Arial" w:hAnsi="Arial"/>
      <w:sz w:val="24"/>
    </w:rPr>
  </w:style>
  <w:style w:type="character" w:styleId="Lienhypertexte">
    <w:name w:val="Hyperlink"/>
    <w:unhideWhenUsed/>
    <w:rsid w:val="008619A5"/>
    <w:rPr>
      <w:color w:val="0563C1"/>
      <w:u w:val="single"/>
    </w:rPr>
  </w:style>
  <w:style w:type="character" w:customStyle="1" w:styleId="CarCar1">
    <w:name w:val="Car Car1"/>
    <w:semiHidden/>
    <w:rsid w:val="008619A5"/>
    <w:rPr>
      <w:rFonts w:ascii="Arial" w:eastAsia="Times New Roman" w:hAnsi="Arial"/>
      <w:sz w:val="24"/>
    </w:rPr>
  </w:style>
  <w:style w:type="paragraph" w:styleId="Paragraphedeliste">
    <w:name w:val="List Paragraph"/>
    <w:basedOn w:val="Normal"/>
    <w:uiPriority w:val="34"/>
    <w:qFormat/>
    <w:rsid w:val="008619A5"/>
    <w:pPr>
      <w:ind w:left="720"/>
      <w:contextualSpacing/>
    </w:pPr>
  </w:style>
  <w:style w:type="character" w:customStyle="1" w:styleId="CarCar2">
    <w:name w:val="Car Car2"/>
    <w:rsid w:val="008619A5"/>
    <w:rPr>
      <w:rFonts w:ascii="Arial" w:hAnsi="Arial"/>
      <w:sz w:val="24"/>
    </w:rPr>
  </w:style>
  <w:style w:type="character" w:customStyle="1" w:styleId="FootnoteTextChar">
    <w:name w:val="Footnote Text Char"/>
    <w:locked/>
    <w:rsid w:val="008619A5"/>
    <w:rPr>
      <w:rFonts w:ascii="Arial" w:hAnsi="Arial" w:cs="Times New Roman"/>
      <w:sz w:val="24"/>
    </w:rPr>
  </w:style>
  <w:style w:type="character" w:customStyle="1" w:styleId="CitationenretraitCar">
    <w:name w:val="Citation en retrait Car"/>
    <w:link w:val="Citationenretrait"/>
    <w:rsid w:val="008619A5"/>
    <w:rPr>
      <w:rFonts w:ascii="Arial" w:hAnsi="Arial"/>
      <w:kern w:val="24"/>
      <w:sz w:val="22"/>
      <w:lang w:eastAsia="fr-FR"/>
    </w:rPr>
  </w:style>
  <w:style w:type="character" w:customStyle="1" w:styleId="CitationendoubleretraitCar">
    <w:name w:val="Citation en double retrait Car"/>
    <w:link w:val="Citationendoubleretrait"/>
    <w:rsid w:val="008619A5"/>
    <w:rPr>
      <w:rFonts w:ascii="Arial" w:hAnsi="Arial"/>
      <w:kern w:val="24"/>
      <w:lang w:eastAsia="fr-FR"/>
    </w:rPr>
  </w:style>
  <w:style w:type="character" w:customStyle="1" w:styleId="corpsdedcisionCar">
    <w:name w:val="corps de décision Car"/>
    <w:link w:val="corpsdedcision"/>
    <w:locked/>
    <w:rsid w:val="008619A5"/>
    <w:rPr>
      <w:rFonts w:ascii="Arial" w:hAnsi="Arial"/>
      <w:sz w:val="24"/>
    </w:rPr>
  </w:style>
  <w:style w:type="character" w:customStyle="1" w:styleId="ui-provider">
    <w:name w:val="ui-provider"/>
    <w:basedOn w:val="Policepardfaut"/>
    <w:rsid w:val="008619A5"/>
  </w:style>
  <w:style w:type="character" w:customStyle="1" w:styleId="Mentionnonrsolue1">
    <w:name w:val="Mention non résolue1"/>
    <w:basedOn w:val="Policepardfaut"/>
    <w:uiPriority w:val="99"/>
    <w:semiHidden/>
    <w:unhideWhenUsed/>
    <w:rsid w:val="008619A5"/>
    <w:rPr>
      <w:color w:val="605E5C"/>
      <w:shd w:val="clear" w:color="auto" w:fill="E1DFDD"/>
    </w:rPr>
  </w:style>
  <w:style w:type="paragraph" w:styleId="Rvision">
    <w:name w:val="Revision"/>
    <w:hidden/>
    <w:uiPriority w:val="99"/>
    <w:semiHidden/>
    <w:rsid w:val="008619A5"/>
    <w:rPr>
      <w:rFonts w:ascii="Arial" w:hAnsi="Arial"/>
      <w:sz w:val="24"/>
    </w:rPr>
  </w:style>
  <w:style w:type="character" w:styleId="Marquedecommentaire">
    <w:name w:val="annotation reference"/>
    <w:basedOn w:val="Policepardfaut"/>
    <w:rsid w:val="008619A5"/>
    <w:rPr>
      <w:sz w:val="16"/>
      <w:szCs w:val="16"/>
    </w:rPr>
  </w:style>
  <w:style w:type="paragraph" w:styleId="Commentaire">
    <w:name w:val="annotation text"/>
    <w:basedOn w:val="Normal"/>
    <w:link w:val="CommentaireCar"/>
    <w:rsid w:val="008619A5"/>
    <w:rPr>
      <w:sz w:val="20"/>
    </w:rPr>
  </w:style>
  <w:style w:type="character" w:customStyle="1" w:styleId="CommentaireCar">
    <w:name w:val="Commentaire Car"/>
    <w:basedOn w:val="Policepardfaut"/>
    <w:link w:val="Commentaire"/>
    <w:rsid w:val="008619A5"/>
    <w:rPr>
      <w:rFonts w:ascii="Arial" w:hAnsi="Arial"/>
    </w:rPr>
  </w:style>
  <w:style w:type="paragraph" w:styleId="Objetducommentaire">
    <w:name w:val="annotation subject"/>
    <w:basedOn w:val="Commentaire"/>
    <w:next w:val="Commentaire"/>
    <w:link w:val="ObjetducommentaireCar"/>
    <w:rsid w:val="008619A5"/>
    <w:rPr>
      <w:b/>
      <w:bCs/>
    </w:rPr>
  </w:style>
  <w:style w:type="character" w:customStyle="1" w:styleId="ObjetducommentaireCar">
    <w:name w:val="Objet du commentaire Car"/>
    <w:basedOn w:val="CommentaireCar"/>
    <w:link w:val="Objetducommentaire"/>
    <w:rsid w:val="008619A5"/>
    <w:rPr>
      <w:rFonts w:ascii="Arial" w:hAnsi="Arial"/>
      <w:b/>
      <w:bCs/>
    </w:rPr>
  </w:style>
  <w:style w:type="character" w:customStyle="1" w:styleId="lien-spanon1">
    <w:name w:val="lien-spanon1"/>
    <w:basedOn w:val="Policepardfaut"/>
    <w:rsid w:val="008619A5"/>
    <w:rPr>
      <w:rFonts w:ascii="Arial" w:hAnsi="Arial" w:cs="Arial" w:hint="default"/>
      <w:color w:val="007D7D"/>
      <w:u w:val="single"/>
    </w:rPr>
  </w:style>
  <w:style w:type="paragraph" w:customStyle="1" w:styleId="xmsolistparagraph">
    <w:name w:val="x_msolistparagraph"/>
    <w:basedOn w:val="Normal"/>
    <w:rsid w:val="008619A5"/>
    <w:pPr>
      <w:spacing w:after="160" w:line="252" w:lineRule="auto"/>
      <w:ind w:left="720"/>
    </w:pPr>
    <w:rPr>
      <w:rFonts w:ascii="Calibri" w:eastAsiaTheme="minorHAnsi" w:hAnsi="Calibri" w:cs="Calibri"/>
      <w:sz w:val="22"/>
      <w:szCs w:val="22"/>
    </w:rPr>
  </w:style>
  <w:style w:type="paragraph" w:customStyle="1" w:styleId="xmsonormal">
    <w:name w:val="x_msonormal"/>
    <w:basedOn w:val="Normal"/>
    <w:rsid w:val="008619A5"/>
    <w:rPr>
      <w:rFonts w:ascii="Calibri" w:eastAsiaTheme="minorHAnsi" w:hAnsi="Calibri" w:cs="Calibri"/>
      <w:sz w:val="22"/>
      <w:szCs w:val="22"/>
    </w:rPr>
  </w:style>
  <w:style w:type="paragraph" w:styleId="NormalWeb">
    <w:name w:val="Normal (Web)"/>
    <w:basedOn w:val="Normal"/>
    <w:uiPriority w:val="99"/>
    <w:unhideWhenUsed/>
    <w:rsid w:val="008619A5"/>
    <w:pPr>
      <w:spacing w:before="100" w:beforeAutospacing="1" w:after="100" w:afterAutospacing="1"/>
    </w:pPr>
    <w:rPr>
      <w:rFonts w:ascii="Times New Roman" w:hAnsi="Times New Roman"/>
      <w:szCs w:val="24"/>
    </w:rPr>
  </w:style>
  <w:style w:type="paragraph" w:customStyle="1" w:styleId="corpsdedcision0">
    <w:name w:val="corpsdedcision"/>
    <w:basedOn w:val="Normal"/>
    <w:rsid w:val="008619A5"/>
    <w:pPr>
      <w:spacing w:before="100" w:beforeAutospacing="1" w:after="100" w:afterAutospacing="1"/>
    </w:pPr>
    <w:rPr>
      <w:rFonts w:ascii="Times New Roman" w:hAnsi="Times New Roman"/>
      <w:szCs w:val="24"/>
    </w:rPr>
  </w:style>
  <w:style w:type="character" w:customStyle="1" w:styleId="former-anchor">
    <w:name w:val="former-anchor"/>
    <w:basedOn w:val="Policepardfaut"/>
    <w:rsid w:val="008619A5"/>
  </w:style>
  <w:style w:type="character" w:styleId="Accentuation">
    <w:name w:val="Emphasis"/>
    <w:basedOn w:val="Policepardfaut"/>
    <w:uiPriority w:val="20"/>
    <w:qFormat/>
    <w:rsid w:val="008619A5"/>
    <w:rPr>
      <w:i/>
      <w:iCs/>
    </w:rPr>
  </w:style>
  <w:style w:type="character" w:customStyle="1" w:styleId="subsection">
    <w:name w:val="subsection"/>
    <w:basedOn w:val="Policepardfaut"/>
    <w:rsid w:val="008619A5"/>
  </w:style>
  <w:style w:type="character" w:customStyle="1" w:styleId="NotedebasdepageCar1">
    <w:name w:val="Note de bas de page Car1"/>
    <w:aliases w:val="Note de bas de page Car Car,Note de bas de page art 65 Car Car,Note de bas de page + 10pt Car Car,Car Car4 Car,Car Car Car Car Car Car Car,Car Car Car Car Car1 Car,Car Car Car Car1 Car,Car Car Car Car Car Car Car Car Car Car Car"/>
    <w:basedOn w:val="Policepardfaut"/>
    <w:uiPriority w:val="99"/>
    <w:semiHidden/>
    <w:rsid w:val="008619A5"/>
    <w:rPr>
      <w:rFonts w:ascii="Arial" w:hAnsi="Arial"/>
    </w:rPr>
  </w:style>
  <w:style w:type="table" w:styleId="Grilledutableau">
    <w:name w:val="Table Grid"/>
    <w:basedOn w:val="TableauNormal"/>
    <w:uiPriority w:val="39"/>
    <w:rsid w:val="008619A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canlii.org/fr/qc/legis/lois/rlrq-c-a-3.001/derniere/rlrq-c-a-3.001.html" TargetMode="Externa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yperlink" Target="https://www.canlii.org/fr/qc/legis/lois/rlrq-c-a-3.001/derniere/rlrq-c-a-3.001.html"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s://fr.wikipedia.org/wiki/Sensation" TargetMode="External"/><Relationship Id="rId13" Type="http://schemas.openxmlformats.org/officeDocument/2006/relationships/hyperlink" Target="https://fr.wikipedia.org/wiki/Acoustique_environnementale" TargetMode="External"/><Relationship Id="rId3" Type="http://schemas.openxmlformats.org/officeDocument/2006/relationships/hyperlink" Target="https://fr.wikipedia.org/wiki/Son_(physique)" TargetMode="External"/><Relationship Id="rId7" Type="http://schemas.openxmlformats.org/officeDocument/2006/relationships/hyperlink" Target="https://fr.wikipedia.org/wiki/Sonom%C3%A8tre" TargetMode="External"/><Relationship Id="rId12" Type="http://schemas.openxmlformats.org/officeDocument/2006/relationships/hyperlink" Target="https://fr.wikipedia.org/wiki/Bruit" TargetMode="External"/><Relationship Id="rId2" Type="http://schemas.openxmlformats.org/officeDocument/2006/relationships/hyperlink" Target="https://fr.wikipedia.org/wiki/D%C3%A9cibel" TargetMode="External"/><Relationship Id="rId1" Type="http://schemas.openxmlformats.org/officeDocument/2006/relationships/hyperlink" Target="https://www.irsst.qc.ca/media/documents/PubIRSST/R-364.pdf" TargetMode="External"/><Relationship Id="rId6" Type="http://schemas.openxmlformats.org/officeDocument/2006/relationships/hyperlink" Target="https://fr.wikipedia.org/wiki/%C3%89lectroacoustique" TargetMode="External"/><Relationship Id="rId11" Type="http://schemas.openxmlformats.org/officeDocument/2006/relationships/hyperlink" Target="https://fr.wikipedia.org/wiki/Sonie" TargetMode="External"/><Relationship Id="rId5" Type="http://schemas.openxmlformats.org/officeDocument/2006/relationships/hyperlink" Target="https://fr.wikipedia.org/wiki/Commission_%C3%A9lectrotechnique_internationale" TargetMode="External"/><Relationship Id="rId10" Type="http://schemas.openxmlformats.org/officeDocument/2006/relationships/hyperlink" Target="https://fr.wikipedia.org/wiki/Fr%C3%A9quence" TargetMode="External"/><Relationship Id="rId4" Type="http://schemas.openxmlformats.org/officeDocument/2006/relationships/hyperlink" Target="https://fr.wikipedia.org/wiki/Poids" TargetMode="External"/><Relationship Id="rId9" Type="http://schemas.openxmlformats.org/officeDocument/2006/relationships/hyperlink" Target="https://fr.wikipedia.org/wiki/Audition_humaine" TargetMode="External"/><Relationship Id="rId14" Type="http://schemas.openxmlformats.org/officeDocument/2006/relationships/hyperlink" Target="https://fr.wikipedia.org/wiki/D%C3%A9cibel_A"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5190</Words>
  <Characters>28546</Characters>
  <Application>Microsoft Office Word</Application>
  <DocSecurity>0</DocSecurity>
  <Lines>237</Lines>
  <Paragraphs>67</Paragraphs>
  <ScaleCrop>false</ScaleCrop>
  <Company/>
  <LinksUpToDate>false</LinksUpToDate>
  <CharactersWithSpaces>33669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2025-05-02T13:00:00Z</dcterms:created>
  <dcterms:modified xsi:type="dcterms:W3CDTF">2025-05-02T13:00:00Z</dcterms:modified>
</cp:coreProperties>
</file>