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61527332" w14:textId="77777777">
        <w:trPr>
          <w:cantSplit/>
        </w:trPr>
        <w:tc>
          <w:tcPr>
            <w:tcW w:w="4795" w:type="dxa"/>
          </w:tcPr>
          <w:p w14:paraId="47FDF163" w14:textId="0FE9CDBB" w:rsidR="008A7FD1" w:rsidRPr="005A715F" w:rsidRDefault="005A715F" w:rsidP="005A715F">
            <w:pPr>
              <w:pStyle w:val="zSoquijdatRepertorie"/>
              <w:rPr>
                <w:rFonts w:cs="Arial"/>
              </w:rPr>
            </w:pPr>
            <w:bookmarkStart w:id="0" w:name="_GoBack"/>
            <w:bookmarkEnd w:id="0"/>
            <w:r>
              <w:rPr>
                <w:rFonts w:cs="Arial"/>
              </w:rPr>
              <w:t>Coulombe et 9075-1538 Québec inc.</w:t>
            </w:r>
          </w:p>
        </w:tc>
        <w:tc>
          <w:tcPr>
            <w:tcW w:w="2477" w:type="dxa"/>
          </w:tcPr>
          <w:p w14:paraId="74224232" w14:textId="7A32DE4D" w:rsidR="008A7FD1" w:rsidRPr="00E81D96" w:rsidRDefault="00E81D96" w:rsidP="00E81D96">
            <w:pPr>
              <w:pStyle w:val="zSoquijdatRefNeutre"/>
              <w:rPr>
                <w:rFonts w:cs="Arial"/>
              </w:rPr>
            </w:pPr>
            <w:r w:rsidRPr="00E81D96">
              <w:rPr>
                <w:rFonts w:cs="Arial"/>
              </w:rPr>
              <w:t>2025 QCTAT 3251</w:t>
            </w:r>
          </w:p>
        </w:tc>
      </w:tr>
    </w:tbl>
    <w:p w14:paraId="331A28E5"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41483B3A" w14:textId="77777777" w:rsidTr="00036794">
        <w:trPr>
          <w:cantSplit/>
        </w:trPr>
        <w:tc>
          <w:tcPr>
            <w:tcW w:w="9568" w:type="dxa"/>
            <w:gridSpan w:val="4"/>
          </w:tcPr>
          <w:p w14:paraId="0D9FA9F8" w14:textId="77777777" w:rsidR="00C74B6F" w:rsidRPr="00BE1981" w:rsidRDefault="00C74B6F">
            <w:pPr>
              <w:rPr>
                <w:szCs w:val="24"/>
              </w:rPr>
            </w:pPr>
          </w:p>
        </w:tc>
      </w:tr>
      <w:tr w:rsidR="00C74B6F" w14:paraId="3EB01239" w14:textId="77777777" w:rsidTr="00036794">
        <w:trPr>
          <w:cantSplit/>
        </w:trPr>
        <w:tc>
          <w:tcPr>
            <w:tcW w:w="9568" w:type="dxa"/>
            <w:gridSpan w:val="4"/>
            <w:vAlign w:val="center"/>
          </w:tcPr>
          <w:p w14:paraId="0B14F963" w14:textId="77777777" w:rsidR="00C74B6F" w:rsidRPr="000E1320" w:rsidRDefault="000E1320">
            <w:pPr>
              <w:jc w:val="center"/>
              <w:rPr>
                <w:sz w:val="36"/>
                <w:szCs w:val="36"/>
              </w:rPr>
            </w:pPr>
            <w:r w:rsidRPr="000E1320">
              <w:rPr>
                <w:b/>
                <w:sz w:val="36"/>
                <w:szCs w:val="36"/>
              </w:rPr>
              <w:t>TRIBUNAL ADMINISTRATIF DU TRAVAIL</w:t>
            </w:r>
          </w:p>
        </w:tc>
      </w:tr>
      <w:tr w:rsidR="00C74B6F" w14:paraId="40C8F3BB" w14:textId="77777777" w:rsidTr="00036794">
        <w:trPr>
          <w:cantSplit/>
        </w:trPr>
        <w:tc>
          <w:tcPr>
            <w:tcW w:w="9568" w:type="dxa"/>
            <w:gridSpan w:val="4"/>
          </w:tcPr>
          <w:p w14:paraId="03B7E496" w14:textId="593B9971" w:rsidR="00C74B6F" w:rsidRPr="00BE7014" w:rsidRDefault="006F0154" w:rsidP="009A67E7">
            <w:pPr>
              <w:pStyle w:val="zSoquijdatDivision"/>
            </w:pPr>
            <w:r w:rsidRPr="00BE7014">
              <w:t>(</w:t>
            </w:r>
            <w:r w:rsidR="00697397" w:rsidRPr="00441ADA">
              <w:t>Division de la santé et de la sécurité du travail</w:t>
            </w:r>
            <w:r w:rsidRPr="00BE7014">
              <w:t>)</w:t>
            </w:r>
          </w:p>
        </w:tc>
      </w:tr>
      <w:tr w:rsidR="00C74B6F" w14:paraId="11E0995F" w14:textId="77777777" w:rsidTr="00036794">
        <w:trPr>
          <w:cantSplit/>
        </w:trPr>
        <w:tc>
          <w:tcPr>
            <w:tcW w:w="9568" w:type="dxa"/>
            <w:gridSpan w:val="4"/>
          </w:tcPr>
          <w:p w14:paraId="783B3156" w14:textId="77777777" w:rsidR="002B2FC3" w:rsidRDefault="002B2FC3" w:rsidP="002B2FC3"/>
        </w:tc>
      </w:tr>
      <w:tr w:rsidR="00A84FC6" w14:paraId="73DCB9ED" w14:textId="77777777" w:rsidTr="00036794">
        <w:trPr>
          <w:cantSplit/>
        </w:trPr>
        <w:tc>
          <w:tcPr>
            <w:tcW w:w="9568" w:type="dxa"/>
            <w:gridSpan w:val="4"/>
          </w:tcPr>
          <w:p w14:paraId="70687EFE" w14:textId="77777777" w:rsidR="00A84FC6" w:rsidRDefault="00A84FC6" w:rsidP="002B2FC3"/>
        </w:tc>
      </w:tr>
      <w:tr w:rsidR="00C74B6F" w14:paraId="13971275" w14:textId="77777777" w:rsidTr="00036794">
        <w:tc>
          <w:tcPr>
            <w:tcW w:w="3331" w:type="dxa"/>
          </w:tcPr>
          <w:p w14:paraId="75D5A96A" w14:textId="77777777" w:rsidR="00C74B6F" w:rsidRDefault="0084255F">
            <w:bookmarkStart w:id="1" w:name="region" w:colFirst="1" w:colLast="1"/>
            <w:r>
              <w:t>Région :</w:t>
            </w:r>
          </w:p>
        </w:tc>
        <w:tc>
          <w:tcPr>
            <w:tcW w:w="6237" w:type="dxa"/>
            <w:gridSpan w:val="3"/>
          </w:tcPr>
          <w:p w14:paraId="20D12C24" w14:textId="17D2811B" w:rsidR="00C74B6F" w:rsidRDefault="00697397" w:rsidP="00F4095A">
            <w:pPr>
              <w:pStyle w:val="zSoquijdatGreffe"/>
            </w:pPr>
            <w:r>
              <w:t>Gaspésie–Îles-de-la-Madeleine, Bas-Saint-Laurent et Côte</w:t>
            </w:r>
            <w:r>
              <w:noBreakHyphen/>
              <w:t>Nord</w:t>
            </w:r>
          </w:p>
        </w:tc>
      </w:tr>
      <w:bookmarkEnd w:id="1"/>
      <w:tr w:rsidR="00C74B6F" w14:paraId="4DDEF16D" w14:textId="77777777" w:rsidTr="00036794">
        <w:trPr>
          <w:cantSplit/>
        </w:trPr>
        <w:tc>
          <w:tcPr>
            <w:tcW w:w="9568" w:type="dxa"/>
            <w:gridSpan w:val="4"/>
          </w:tcPr>
          <w:p w14:paraId="25ABE0E1" w14:textId="77777777" w:rsidR="00C74B6F" w:rsidRDefault="00C74B6F"/>
        </w:tc>
      </w:tr>
      <w:tr w:rsidR="00C74B6F" w14:paraId="0EA6F32A" w14:textId="77777777" w:rsidTr="00036794">
        <w:tc>
          <w:tcPr>
            <w:tcW w:w="3331" w:type="dxa"/>
          </w:tcPr>
          <w:p w14:paraId="7CE0CCB1" w14:textId="01AFA92D" w:rsidR="00C74B6F" w:rsidRDefault="0084255F">
            <w:bookmarkStart w:id="2" w:name="ref_dossier" w:colFirst="1" w:colLast="1"/>
            <w:r>
              <w:t>Dossier</w:t>
            </w:r>
            <w:bookmarkStart w:id="3" w:name="dossiers"/>
            <w:bookmarkEnd w:id="3"/>
            <w:r>
              <w:t> :</w:t>
            </w:r>
          </w:p>
        </w:tc>
        <w:tc>
          <w:tcPr>
            <w:tcW w:w="6237" w:type="dxa"/>
            <w:gridSpan w:val="3"/>
          </w:tcPr>
          <w:p w14:paraId="5719AA4B" w14:textId="42F34930" w:rsidR="00C74B6F" w:rsidRDefault="00697397" w:rsidP="00F4095A">
            <w:pPr>
              <w:pStyle w:val="zSoquijdatNoDossier"/>
            </w:pPr>
            <w:r>
              <w:t>1409976-01B-2503</w:t>
            </w:r>
          </w:p>
        </w:tc>
      </w:tr>
      <w:bookmarkEnd w:id="2"/>
      <w:tr w:rsidR="00C74B6F" w14:paraId="523C2F19" w14:textId="77777777" w:rsidTr="00036794">
        <w:trPr>
          <w:cantSplit/>
        </w:trPr>
        <w:tc>
          <w:tcPr>
            <w:tcW w:w="9568" w:type="dxa"/>
            <w:gridSpan w:val="4"/>
          </w:tcPr>
          <w:p w14:paraId="35CB45A9" w14:textId="77777777" w:rsidR="00C74B6F" w:rsidRDefault="00D44BCF">
            <w:r>
              <w:fldChar w:fldCharType="begin"/>
            </w:r>
            <w:r>
              <w:instrText xml:space="preserve"> AUTOTEXTLIST  \* Upper  \* MERGEFORMAT </w:instrText>
            </w:r>
            <w:r>
              <w:fldChar w:fldCharType="end"/>
            </w:r>
          </w:p>
        </w:tc>
      </w:tr>
      <w:tr w:rsidR="00C74B6F" w14:paraId="033609D1" w14:textId="77777777" w:rsidTr="00036794">
        <w:tc>
          <w:tcPr>
            <w:tcW w:w="3331" w:type="dxa"/>
          </w:tcPr>
          <w:p w14:paraId="69E7AF97" w14:textId="20EFCEB3" w:rsidR="00C74B6F" w:rsidRDefault="008C79A7" w:rsidP="0045114F">
            <w:pPr>
              <w:ind w:right="46"/>
            </w:pPr>
            <w:r>
              <w:t xml:space="preserve">Dossier </w:t>
            </w:r>
            <w:r w:rsidR="00697397">
              <w:rPr>
                <w:szCs w:val="24"/>
              </w:rPr>
              <w:t>CNESST</w:t>
            </w:r>
            <w:r w:rsidRPr="008C79A7">
              <w:rPr>
                <w:szCs w:val="24"/>
              </w:rPr>
              <w:t xml:space="preserve"> :</w:t>
            </w:r>
          </w:p>
        </w:tc>
        <w:tc>
          <w:tcPr>
            <w:tcW w:w="6237" w:type="dxa"/>
            <w:gridSpan w:val="3"/>
          </w:tcPr>
          <w:p w14:paraId="78482811" w14:textId="0694B0DF" w:rsidR="00C74B6F" w:rsidRDefault="00697397" w:rsidP="004D6CEA">
            <w:pPr>
              <w:pStyle w:val="zSoquijdatNCSST"/>
            </w:pPr>
            <w:r>
              <w:t>MTL24-262</w:t>
            </w:r>
          </w:p>
        </w:tc>
      </w:tr>
      <w:tr w:rsidR="00C74B6F" w14:paraId="24F29732" w14:textId="77777777" w:rsidTr="00036794">
        <w:trPr>
          <w:cantSplit/>
        </w:trPr>
        <w:tc>
          <w:tcPr>
            <w:tcW w:w="9568" w:type="dxa"/>
            <w:gridSpan w:val="4"/>
          </w:tcPr>
          <w:p w14:paraId="4B23514B" w14:textId="77777777" w:rsidR="00C74B6F" w:rsidRDefault="00C74B6F"/>
        </w:tc>
      </w:tr>
      <w:tr w:rsidR="00C74B6F" w14:paraId="165DE5EA" w14:textId="77777777" w:rsidTr="00036794">
        <w:trPr>
          <w:cantSplit/>
        </w:trPr>
        <w:tc>
          <w:tcPr>
            <w:tcW w:w="9568" w:type="dxa"/>
            <w:gridSpan w:val="4"/>
          </w:tcPr>
          <w:p w14:paraId="669251ED" w14:textId="77777777" w:rsidR="00C74B6F" w:rsidRDefault="00C74B6F"/>
        </w:tc>
      </w:tr>
      <w:tr w:rsidR="006E3DD8" w14:paraId="33AE7B49" w14:textId="77777777" w:rsidTr="00036794">
        <w:trPr>
          <w:cantSplit/>
        </w:trPr>
        <w:tc>
          <w:tcPr>
            <w:tcW w:w="3331" w:type="dxa"/>
          </w:tcPr>
          <w:p w14:paraId="2B49FC4E" w14:textId="14E5B8DE" w:rsidR="006E3DD8" w:rsidRDefault="00697397" w:rsidP="0076350E">
            <w:pPr>
              <w:ind w:right="-70"/>
            </w:pPr>
            <w:r>
              <w:t>Laval</w:t>
            </w:r>
            <w:r w:rsidR="00C04E32">
              <w:t>,</w:t>
            </w:r>
          </w:p>
        </w:tc>
        <w:tc>
          <w:tcPr>
            <w:tcW w:w="6237" w:type="dxa"/>
            <w:gridSpan w:val="3"/>
          </w:tcPr>
          <w:p w14:paraId="5060FBF3" w14:textId="6DD22379" w:rsidR="006E3DD8" w:rsidRDefault="00C04E32" w:rsidP="005B5689">
            <w:pPr>
              <w:pStyle w:val="zSoquijdatDateJugement"/>
            </w:pPr>
            <w:r w:rsidRPr="005D7656">
              <w:t xml:space="preserve">le </w:t>
            </w:r>
            <w:r w:rsidR="005D7656">
              <w:t>1</w:t>
            </w:r>
            <w:r w:rsidR="005D7656" w:rsidRPr="005D7656">
              <w:rPr>
                <w:vertAlign w:val="superscript"/>
              </w:rPr>
              <w:t>er</w:t>
            </w:r>
            <w:r w:rsidR="005D7656">
              <w:t xml:space="preserve"> août</w:t>
            </w:r>
            <w:r w:rsidR="00697397" w:rsidRPr="005D7656">
              <w:t xml:space="preserve"> 2025</w:t>
            </w:r>
          </w:p>
        </w:tc>
      </w:tr>
      <w:tr w:rsidR="00942AB8" w14:paraId="22272B83" w14:textId="77777777" w:rsidTr="00036794">
        <w:trPr>
          <w:cantSplit/>
        </w:trPr>
        <w:tc>
          <w:tcPr>
            <w:tcW w:w="9568" w:type="dxa"/>
            <w:gridSpan w:val="4"/>
          </w:tcPr>
          <w:p w14:paraId="47BC6979" w14:textId="77777777" w:rsidR="00942AB8" w:rsidRDefault="00942AB8" w:rsidP="00FA153F">
            <w:r>
              <w:t>______________________________________________________________________</w:t>
            </w:r>
          </w:p>
        </w:tc>
      </w:tr>
      <w:tr w:rsidR="00942AB8" w14:paraId="174D0F6A" w14:textId="77777777" w:rsidTr="00036794">
        <w:trPr>
          <w:cantSplit/>
          <w:trHeight w:val="148"/>
        </w:trPr>
        <w:tc>
          <w:tcPr>
            <w:tcW w:w="9568" w:type="dxa"/>
            <w:gridSpan w:val="4"/>
          </w:tcPr>
          <w:p w14:paraId="53BD1149" w14:textId="77777777" w:rsidR="00942AB8" w:rsidRDefault="00942AB8" w:rsidP="00FA153F"/>
        </w:tc>
      </w:tr>
      <w:tr w:rsidR="0035375B" w14:paraId="3F72817D" w14:textId="77777777" w:rsidTr="00036794">
        <w:trPr>
          <w:cantSplit/>
          <w:trHeight w:val="148"/>
        </w:trPr>
        <w:tc>
          <w:tcPr>
            <w:tcW w:w="5883" w:type="dxa"/>
            <w:gridSpan w:val="3"/>
          </w:tcPr>
          <w:p w14:paraId="02550C96" w14:textId="795EC440" w:rsidR="0035375B" w:rsidRPr="00942AB8" w:rsidRDefault="0035375B">
            <w:pPr>
              <w:rPr>
                <w:b/>
                <w:bCs/>
              </w:rPr>
            </w:pPr>
            <w:bookmarkStart w:id="4" w:name="ref_commissaire" w:colFirst="1" w:colLast="1"/>
            <w:r w:rsidRPr="00942AB8">
              <w:rPr>
                <w:b/>
                <w:bCs/>
              </w:rPr>
              <w:t>DEVANT L</w:t>
            </w:r>
            <w:r w:rsidR="00697397">
              <w:rPr>
                <w:b/>
                <w:bCs/>
              </w:rPr>
              <w:t>A</w:t>
            </w:r>
            <w:r w:rsidRPr="00942AB8">
              <w:rPr>
                <w:b/>
                <w:bCs/>
              </w:rPr>
              <w:t xml:space="preserve"> JUGE ADMINISTRATI</w:t>
            </w:r>
            <w:r w:rsidR="00697397">
              <w:rPr>
                <w:b/>
                <w:bCs/>
              </w:rPr>
              <w:t>VE</w:t>
            </w:r>
            <w:r w:rsidRPr="00942AB8">
              <w:rPr>
                <w:b/>
                <w:bCs/>
              </w:rPr>
              <w:t> :</w:t>
            </w:r>
          </w:p>
        </w:tc>
        <w:tc>
          <w:tcPr>
            <w:tcW w:w="3685" w:type="dxa"/>
          </w:tcPr>
          <w:p w14:paraId="13D07704" w14:textId="654AA5A6" w:rsidR="0035375B" w:rsidRPr="00942AB8" w:rsidRDefault="00697397" w:rsidP="005B5689">
            <w:pPr>
              <w:pStyle w:val="zSoquijdatJuge"/>
              <w:rPr>
                <w:bCs/>
              </w:rPr>
            </w:pPr>
            <w:r>
              <w:t xml:space="preserve">Marie-Anne Lecavalier </w:t>
            </w:r>
          </w:p>
        </w:tc>
      </w:tr>
      <w:bookmarkEnd w:id="4"/>
      <w:tr w:rsidR="00942AB8" w14:paraId="3D78E271" w14:textId="77777777" w:rsidTr="00036794">
        <w:trPr>
          <w:cantSplit/>
          <w:trHeight w:val="148"/>
        </w:trPr>
        <w:tc>
          <w:tcPr>
            <w:tcW w:w="9568" w:type="dxa"/>
            <w:gridSpan w:val="4"/>
          </w:tcPr>
          <w:p w14:paraId="26DE6942" w14:textId="77777777" w:rsidR="00942AB8" w:rsidRDefault="00942AB8" w:rsidP="00FA153F">
            <w:r>
              <w:t>______________________________________________________________________</w:t>
            </w:r>
          </w:p>
        </w:tc>
      </w:tr>
      <w:tr w:rsidR="00942AB8" w14:paraId="00C1DE86" w14:textId="77777777" w:rsidTr="00036794">
        <w:tc>
          <w:tcPr>
            <w:tcW w:w="9568" w:type="dxa"/>
            <w:gridSpan w:val="4"/>
          </w:tcPr>
          <w:p w14:paraId="6193DE3E" w14:textId="77777777" w:rsidR="00942AB8" w:rsidRDefault="00942AB8"/>
        </w:tc>
      </w:tr>
      <w:tr w:rsidR="00942AB8" w14:paraId="5DE62976" w14:textId="77777777" w:rsidTr="00E21768">
        <w:tc>
          <w:tcPr>
            <w:tcW w:w="4890" w:type="dxa"/>
            <w:gridSpan w:val="2"/>
          </w:tcPr>
          <w:p w14:paraId="288260AC" w14:textId="77777777" w:rsidR="00942AB8" w:rsidRDefault="00942AB8">
            <w:bookmarkStart w:id="5" w:name="bloc_parties_gauche"/>
            <w:bookmarkEnd w:id="5"/>
          </w:p>
        </w:tc>
        <w:tc>
          <w:tcPr>
            <w:tcW w:w="4678" w:type="dxa"/>
            <w:gridSpan w:val="2"/>
          </w:tcPr>
          <w:p w14:paraId="2CC35D7C" w14:textId="77777777" w:rsidR="00942AB8" w:rsidRDefault="00942AB8"/>
        </w:tc>
      </w:tr>
      <w:tr w:rsidR="00942AB8" w14:paraId="008AEC12" w14:textId="77777777" w:rsidTr="00E21768">
        <w:tc>
          <w:tcPr>
            <w:tcW w:w="4890" w:type="dxa"/>
            <w:gridSpan w:val="2"/>
          </w:tcPr>
          <w:p w14:paraId="61D17A08" w14:textId="3814D499" w:rsidR="00942AB8" w:rsidRDefault="00697397">
            <w:pPr>
              <w:pStyle w:val="zSoquijdatNomPartieDem"/>
              <w:rPr>
                <w:b/>
              </w:rPr>
            </w:pPr>
            <w:r>
              <w:rPr>
                <w:b/>
              </w:rPr>
              <w:t>Marc Coulombe</w:t>
            </w:r>
          </w:p>
        </w:tc>
        <w:tc>
          <w:tcPr>
            <w:tcW w:w="4678" w:type="dxa"/>
            <w:gridSpan w:val="2"/>
          </w:tcPr>
          <w:p w14:paraId="3C43651D" w14:textId="77777777" w:rsidR="00942AB8" w:rsidRDefault="00942AB8"/>
        </w:tc>
      </w:tr>
      <w:tr w:rsidR="00942AB8" w14:paraId="413B0F9C" w14:textId="77777777" w:rsidTr="00E21768">
        <w:tc>
          <w:tcPr>
            <w:tcW w:w="4890" w:type="dxa"/>
            <w:gridSpan w:val="2"/>
          </w:tcPr>
          <w:p w14:paraId="6C8F1C8B" w14:textId="5837A5ED" w:rsidR="00942AB8" w:rsidRDefault="00697397" w:rsidP="007B0DF2">
            <w:pPr>
              <w:pStyle w:val="zSoquijdatQtePartieDem"/>
              <w:tabs>
                <w:tab w:val="left" w:pos="3539"/>
              </w:tabs>
              <w:ind w:left="708"/>
            </w:pPr>
            <w:bookmarkStart w:id="6" w:name="partie_demanderesse"/>
            <w:bookmarkEnd w:id="6"/>
            <w:r>
              <w:t>Partie demanderesse</w:t>
            </w:r>
          </w:p>
        </w:tc>
        <w:tc>
          <w:tcPr>
            <w:tcW w:w="4678" w:type="dxa"/>
            <w:gridSpan w:val="2"/>
          </w:tcPr>
          <w:p w14:paraId="4946EE91" w14:textId="77777777" w:rsidR="00942AB8" w:rsidRDefault="00942AB8"/>
        </w:tc>
      </w:tr>
      <w:tr w:rsidR="00942AB8" w14:paraId="779CDDF7" w14:textId="77777777" w:rsidTr="00E21768">
        <w:tc>
          <w:tcPr>
            <w:tcW w:w="4890" w:type="dxa"/>
            <w:gridSpan w:val="2"/>
          </w:tcPr>
          <w:p w14:paraId="11D2B2D5" w14:textId="77777777" w:rsidR="00942AB8" w:rsidRDefault="00942AB8" w:rsidP="00E6363B"/>
        </w:tc>
        <w:tc>
          <w:tcPr>
            <w:tcW w:w="4678" w:type="dxa"/>
            <w:gridSpan w:val="2"/>
          </w:tcPr>
          <w:p w14:paraId="5B236314" w14:textId="77777777" w:rsidR="00942AB8" w:rsidRDefault="00942AB8"/>
        </w:tc>
      </w:tr>
      <w:tr w:rsidR="00942AB8" w14:paraId="5B3C3982" w14:textId="77777777" w:rsidTr="00E21768">
        <w:tc>
          <w:tcPr>
            <w:tcW w:w="4890" w:type="dxa"/>
            <w:gridSpan w:val="2"/>
          </w:tcPr>
          <w:p w14:paraId="57FC358E" w14:textId="23877F63" w:rsidR="00942AB8" w:rsidRDefault="00697397" w:rsidP="00D06652">
            <w:pPr>
              <w:pStyle w:val="zSoquijlblLienParties"/>
            </w:pPr>
            <w:r>
              <w:t>et</w:t>
            </w:r>
          </w:p>
        </w:tc>
        <w:tc>
          <w:tcPr>
            <w:tcW w:w="4678" w:type="dxa"/>
            <w:gridSpan w:val="2"/>
          </w:tcPr>
          <w:p w14:paraId="019F66ED" w14:textId="77777777" w:rsidR="00942AB8" w:rsidRDefault="00942AB8"/>
        </w:tc>
      </w:tr>
      <w:tr w:rsidR="00942AB8" w14:paraId="5F97CB0A" w14:textId="77777777" w:rsidTr="00E21768">
        <w:tc>
          <w:tcPr>
            <w:tcW w:w="4890" w:type="dxa"/>
            <w:gridSpan w:val="2"/>
          </w:tcPr>
          <w:p w14:paraId="30771EE6" w14:textId="77777777" w:rsidR="00942AB8" w:rsidRDefault="00942AB8"/>
        </w:tc>
        <w:tc>
          <w:tcPr>
            <w:tcW w:w="4678" w:type="dxa"/>
            <w:gridSpan w:val="2"/>
          </w:tcPr>
          <w:p w14:paraId="64E9275B" w14:textId="77777777" w:rsidR="00942AB8" w:rsidRDefault="00942AB8"/>
        </w:tc>
      </w:tr>
      <w:tr w:rsidR="00942AB8" w14:paraId="64B02230" w14:textId="77777777" w:rsidTr="00E21768">
        <w:tc>
          <w:tcPr>
            <w:tcW w:w="4890" w:type="dxa"/>
            <w:gridSpan w:val="2"/>
          </w:tcPr>
          <w:p w14:paraId="5D551792" w14:textId="700C5141" w:rsidR="00942AB8" w:rsidRDefault="00697397">
            <w:pPr>
              <w:pStyle w:val="zSoquijdatNomPartieDef"/>
              <w:rPr>
                <w:b/>
              </w:rPr>
            </w:pPr>
            <w:r>
              <w:rPr>
                <w:b/>
              </w:rPr>
              <w:t>9075-1538 Québec inc.</w:t>
            </w:r>
          </w:p>
        </w:tc>
        <w:tc>
          <w:tcPr>
            <w:tcW w:w="4678" w:type="dxa"/>
            <w:gridSpan w:val="2"/>
          </w:tcPr>
          <w:p w14:paraId="24762D2F" w14:textId="77777777" w:rsidR="00942AB8" w:rsidRDefault="00942AB8"/>
        </w:tc>
      </w:tr>
      <w:tr w:rsidR="00942AB8" w14:paraId="398F5626" w14:textId="77777777" w:rsidTr="00E21768">
        <w:tc>
          <w:tcPr>
            <w:tcW w:w="4890" w:type="dxa"/>
            <w:gridSpan w:val="2"/>
          </w:tcPr>
          <w:p w14:paraId="541C7B88" w14:textId="5345E20D" w:rsidR="00942AB8" w:rsidRDefault="00697397">
            <w:pPr>
              <w:pStyle w:val="zSoquijdatQtePartieDef"/>
              <w:ind w:left="708"/>
            </w:pPr>
            <w:r>
              <w:t>Partie mise en cause</w:t>
            </w:r>
          </w:p>
        </w:tc>
        <w:tc>
          <w:tcPr>
            <w:tcW w:w="4678" w:type="dxa"/>
            <w:gridSpan w:val="2"/>
          </w:tcPr>
          <w:p w14:paraId="63BBE00E" w14:textId="77777777" w:rsidR="00942AB8" w:rsidRDefault="00942AB8"/>
        </w:tc>
      </w:tr>
      <w:tr w:rsidR="0065093D" w14:paraId="71EB7AF2" w14:textId="77777777" w:rsidTr="00E21768">
        <w:tc>
          <w:tcPr>
            <w:tcW w:w="4890" w:type="dxa"/>
            <w:gridSpan w:val="2"/>
          </w:tcPr>
          <w:p w14:paraId="4AE8BA35" w14:textId="77777777" w:rsidR="0065093D" w:rsidRDefault="0065093D"/>
        </w:tc>
        <w:tc>
          <w:tcPr>
            <w:tcW w:w="4678" w:type="dxa"/>
            <w:gridSpan w:val="2"/>
          </w:tcPr>
          <w:p w14:paraId="5D3C6B41" w14:textId="77777777" w:rsidR="0065093D" w:rsidRDefault="0065093D"/>
        </w:tc>
      </w:tr>
    </w:tbl>
    <w:p w14:paraId="729FBB57" w14:textId="77777777" w:rsidR="00C74B6F" w:rsidRDefault="00C74B6F">
      <w:r>
        <w:t>______________________________________________________________________</w:t>
      </w:r>
    </w:p>
    <w:p w14:paraId="74E2EBD8" w14:textId="77777777" w:rsidR="00C74B6F" w:rsidRDefault="00C74B6F"/>
    <w:p w14:paraId="407EA565" w14:textId="77777777" w:rsidR="00C74B6F" w:rsidRPr="005B0612" w:rsidRDefault="00C74B6F" w:rsidP="008B042E">
      <w:pPr>
        <w:jc w:val="center"/>
        <w:rPr>
          <w:b/>
          <w:bCs/>
        </w:rPr>
      </w:pPr>
      <w:bookmarkStart w:id="7" w:name="decision"/>
      <w:r w:rsidRPr="005B0612">
        <w:rPr>
          <w:b/>
          <w:bCs/>
        </w:rPr>
        <w:t>DÉCISION</w:t>
      </w:r>
      <w:bookmarkEnd w:id="7"/>
    </w:p>
    <w:p w14:paraId="559BEB22" w14:textId="77777777" w:rsidR="008F20EA" w:rsidRDefault="008F20EA" w:rsidP="008F20EA">
      <w:bookmarkStart w:id="8" w:name="separation"/>
      <w:bookmarkStart w:id="9" w:name="parag_1"/>
      <w:r>
        <w:t>______________________________________________________________________</w:t>
      </w:r>
    </w:p>
    <w:p w14:paraId="59985037" w14:textId="77777777" w:rsidR="008F20EA" w:rsidRDefault="008F20EA" w:rsidP="008F20EA">
      <w:pPr>
        <w:pStyle w:val="corpsdedcision"/>
        <w:numPr>
          <w:ilvl w:val="0"/>
          <w:numId w:val="0"/>
        </w:numPr>
        <w:spacing w:before="360"/>
      </w:pPr>
      <w:bookmarkStart w:id="10" w:name="supprimer_apercu"/>
      <w:bookmarkEnd w:id="8"/>
      <w:r>
        <w:rPr>
          <w:b/>
          <w:bCs/>
          <w:u w:val="single"/>
        </w:rPr>
        <w:t>L’APERÇU</w:t>
      </w:r>
    </w:p>
    <w:bookmarkEnd w:id="10"/>
    <w:bookmarkEnd w:id="9"/>
    <w:p w14:paraId="434A3827" w14:textId="3363F75C" w:rsidR="00C74B6F" w:rsidRDefault="004D1893">
      <w:pPr>
        <w:pStyle w:val="corpsdedcision"/>
      </w:pPr>
      <w:r>
        <w:t>Monsieur Marc Coulombe est charpentier-menuisier. Au cours du mois de mars</w:t>
      </w:r>
      <w:r w:rsidR="0053175C">
        <w:t> </w:t>
      </w:r>
      <w:r>
        <w:t xml:space="preserve">2024, il est désigné </w:t>
      </w:r>
      <w:r w:rsidR="0053175C">
        <w:t>par la Centrale des syndicats démocratiques (CSD</w:t>
      </w:r>
      <w:r w:rsidR="0053175C">
        <w:noBreakHyphen/>
        <w:t xml:space="preserve">Construction) </w:t>
      </w:r>
      <w:r>
        <w:t xml:space="preserve">comme représentant en santé et en sécurité sur un chantier de construction de l’entreprise 9075-1538 Québec inc., en lien avec </w:t>
      </w:r>
      <w:r w:rsidR="0053175C">
        <w:t xml:space="preserve">le projet </w:t>
      </w:r>
      <w:r w:rsidR="00EE0056">
        <w:t xml:space="preserve">des </w:t>
      </w:r>
      <w:r w:rsidR="0053175C" w:rsidRPr="00EE0056">
        <w:rPr>
          <w:i/>
          <w:iCs/>
        </w:rPr>
        <w:t>Condo</w:t>
      </w:r>
      <w:r w:rsidRPr="00EE0056">
        <w:rPr>
          <w:i/>
          <w:iCs/>
        </w:rPr>
        <w:t>s</w:t>
      </w:r>
      <w:r w:rsidR="00CE59ED">
        <w:rPr>
          <w:i/>
          <w:iCs/>
        </w:rPr>
        <w:t> </w:t>
      </w:r>
      <w:r w:rsidR="0053175C" w:rsidRPr="00EE0056">
        <w:rPr>
          <w:i/>
          <w:iCs/>
        </w:rPr>
        <w:t>San Leon</w:t>
      </w:r>
      <w:r>
        <w:t xml:space="preserve"> à Boisbriand.</w:t>
      </w:r>
    </w:p>
    <w:p w14:paraId="39DFDEC2" w14:textId="6DD5507D" w:rsidR="004D1893" w:rsidRDefault="004D1893" w:rsidP="002A70EE">
      <w:pPr>
        <w:pStyle w:val="corpsdedcision"/>
        <w:keepNext/>
      </w:pPr>
      <w:r>
        <w:t>Le travailleur s’absente du chantier entre le 29 avril 2024 et le 3</w:t>
      </w:r>
      <w:r w:rsidR="00751B2B">
        <w:t> </w:t>
      </w:r>
      <w:r>
        <w:t>mai</w:t>
      </w:r>
      <w:r w:rsidR="00751B2B">
        <w:t> </w:t>
      </w:r>
      <w:r>
        <w:t xml:space="preserve">2024 en vue de suivre </w:t>
      </w:r>
      <w:r w:rsidR="00EE0056">
        <w:t>une</w:t>
      </w:r>
      <w:r>
        <w:t xml:space="preserve"> formation d’une durée de 40</w:t>
      </w:r>
      <w:r w:rsidR="00751B2B">
        <w:t> </w:t>
      </w:r>
      <w:r>
        <w:t>heures</w:t>
      </w:r>
      <w:r w:rsidR="00CE59ED">
        <w:t>,</w:t>
      </w:r>
      <w:r w:rsidR="0053175C">
        <w:t xml:space="preserve"> afin d’</w:t>
      </w:r>
      <w:r>
        <w:t xml:space="preserve">obtenir son attestation de formation comme représentant en santé et sécurité – </w:t>
      </w:r>
      <w:r w:rsidR="00016AAF">
        <w:t>T</w:t>
      </w:r>
      <w:r>
        <w:t>emps plein.</w:t>
      </w:r>
    </w:p>
    <w:p w14:paraId="6C660065" w14:textId="7D8532B9" w:rsidR="0053175C" w:rsidRDefault="0053175C" w:rsidP="002A70EE">
      <w:pPr>
        <w:pStyle w:val="corpsdedcision"/>
        <w:keepNext/>
      </w:pPr>
      <w:bookmarkStart w:id="11" w:name="supprimer_analyse"/>
      <w:r>
        <w:t>Le 22 mai 2024, le travailleur dépose une plainte à la Commission des normes, de</w:t>
      </w:r>
      <w:r w:rsidR="00EE0056">
        <w:t> </w:t>
      </w:r>
      <w:r>
        <w:t>l’équité, de la santé et de la sécurité du travail, la Commission</w:t>
      </w:r>
      <w:r w:rsidR="00EE0056">
        <w:t>,</w:t>
      </w:r>
      <w:r>
        <w:t xml:space="preserve"> en vertu de l’article</w:t>
      </w:r>
      <w:r w:rsidR="00EE0056">
        <w:t> </w:t>
      </w:r>
      <w:r>
        <w:t xml:space="preserve">227 de la </w:t>
      </w:r>
      <w:r w:rsidRPr="0053175C">
        <w:rPr>
          <w:i/>
          <w:iCs/>
        </w:rPr>
        <w:t>Loi sur la santé et la sécurité du travail</w:t>
      </w:r>
      <w:r>
        <w:rPr>
          <w:rStyle w:val="Appelnotedebasdep"/>
        </w:rPr>
        <w:footnoteReference w:id="1"/>
      </w:r>
      <w:r>
        <w:t>, la</w:t>
      </w:r>
      <w:r w:rsidR="000A6392">
        <w:t> </w:t>
      </w:r>
      <w:r>
        <w:t>LSST. Il prétend ne pas avoir</w:t>
      </w:r>
      <w:r w:rsidR="00D63DE7">
        <w:t xml:space="preserve"> reçu son salaire pour la période où il a suivi la formation, contrairement aux articles</w:t>
      </w:r>
      <w:r w:rsidR="00EE0056">
        <w:t> </w:t>
      </w:r>
      <w:r w:rsidR="00D63DE7">
        <w:t>211 et 212.1 de la LSST</w:t>
      </w:r>
      <w:r>
        <w:t>.</w:t>
      </w:r>
    </w:p>
    <w:p w14:paraId="4D672EF6" w14:textId="7B0B9ECD" w:rsidR="00D63DE7" w:rsidRDefault="0053175C" w:rsidP="00D63DE7">
      <w:pPr>
        <w:pStyle w:val="corpsdedcision"/>
      </w:pPr>
      <w:r>
        <w:t xml:space="preserve">Une médiatrice-décideuse de la Commission </w:t>
      </w:r>
      <w:r w:rsidR="00D63DE7">
        <w:t>rend une décision le 7</w:t>
      </w:r>
      <w:r w:rsidR="00751B2B">
        <w:t> </w:t>
      </w:r>
      <w:r w:rsidR="00D63DE7">
        <w:t>janvier</w:t>
      </w:r>
      <w:r w:rsidR="00751B2B">
        <w:t> </w:t>
      </w:r>
      <w:r w:rsidR="00D63DE7">
        <w:t>2025 par laquelle elle conclut que la plainte du travailleur est irrecevable, ce dernier ayant renoncé à la tenue d’une audience et ayant demandé</w:t>
      </w:r>
      <w:r w:rsidR="00EE0056">
        <w:t xml:space="preserve"> à ce</w:t>
      </w:r>
      <w:r w:rsidR="00D63DE7">
        <w:t xml:space="preserve"> qu’une décision soit rendue à partir des éléments présents au dossier. Il s’agit du litige dont est saisi le Tribunal. </w:t>
      </w:r>
    </w:p>
    <w:p w14:paraId="1E9E6F48" w14:textId="066EA36F" w:rsidR="00D63DE7" w:rsidRDefault="00A27546" w:rsidP="00D63DE7">
      <w:pPr>
        <w:pStyle w:val="corpsdedcision"/>
      </w:pPr>
      <w:r>
        <w:t xml:space="preserve">L’employeur soulève d’abord une question préliminaire. Il </w:t>
      </w:r>
      <w:r w:rsidR="00754F8A">
        <w:t>soutient</w:t>
      </w:r>
      <w:r>
        <w:t xml:space="preserve"> que le présent Tribunal n’a pas le pouvoir de se prononcer sur le fond du litige, car il appartient à la</w:t>
      </w:r>
      <w:r w:rsidR="00751B2B">
        <w:t> </w:t>
      </w:r>
      <w:r>
        <w:t xml:space="preserve">Commission de le faire et que le travailleur </w:t>
      </w:r>
      <w:r w:rsidR="00EE0056">
        <w:t>a renoncé à être entendu</w:t>
      </w:r>
      <w:r>
        <w:t xml:space="preserve"> devant la médiatrice</w:t>
      </w:r>
      <w:r w:rsidR="00EE0056">
        <w:noBreakHyphen/>
      </w:r>
      <w:r>
        <w:t>décideuse. Subsidiairement,</w:t>
      </w:r>
      <w:r w:rsidR="0038083E">
        <w:t xml:space="preserve"> quant au fond de l’affaire,</w:t>
      </w:r>
      <w:r>
        <w:t xml:space="preserve"> il prétend que le travailleur n’a pas</w:t>
      </w:r>
      <w:r w:rsidR="00EE0056">
        <w:t xml:space="preserve"> encore</w:t>
      </w:r>
      <w:r>
        <w:t xml:space="preserve"> le statut de responsable en santé et en sécurité au moment où il s’absente et donc, </w:t>
      </w:r>
      <w:r w:rsidR="00E10527">
        <w:t>qu’il</w:t>
      </w:r>
      <w:r>
        <w:t xml:space="preserve"> n’avait pas à payer son salaire durant la formation. </w:t>
      </w:r>
    </w:p>
    <w:p w14:paraId="4EFF0441" w14:textId="19459630" w:rsidR="00A47975" w:rsidRDefault="00A27546" w:rsidP="00A47975">
      <w:pPr>
        <w:pStyle w:val="corpsdedcision"/>
      </w:pPr>
      <w:r>
        <w:t xml:space="preserve">Le travailleur demande le rejet </w:t>
      </w:r>
      <w:r w:rsidR="00870E30">
        <w:t>de la question</w:t>
      </w:r>
      <w:r>
        <w:t xml:space="preserve"> </w:t>
      </w:r>
      <w:r w:rsidR="00A47975">
        <w:t>préliminaire</w:t>
      </w:r>
      <w:r w:rsidR="006A2A02">
        <w:t>,</w:t>
      </w:r>
      <w:r>
        <w:t xml:space="preserve"> faisant valoir qu’aucune règle de preuve ou de </w:t>
      </w:r>
      <w:r w:rsidR="00A47975">
        <w:t>procédure</w:t>
      </w:r>
      <w:r>
        <w:t xml:space="preserve"> ne </w:t>
      </w:r>
      <w:r w:rsidR="00A47975">
        <w:t>l’oblige</w:t>
      </w:r>
      <w:r>
        <w:t xml:space="preserve"> </w:t>
      </w:r>
      <w:r w:rsidR="00A47975">
        <w:t xml:space="preserve">à procéder au fond devant la Commission avant de le faire devant le Tribunal, d’autant que ce dernier procède </w:t>
      </w:r>
      <w:r w:rsidR="00A47975" w:rsidRPr="00A47975">
        <w:rPr>
          <w:i/>
          <w:iCs/>
        </w:rPr>
        <w:t>de novo</w:t>
      </w:r>
      <w:r w:rsidR="00A47975">
        <w:t xml:space="preserve">. Quant au fond du litige, </w:t>
      </w:r>
      <w:r w:rsidR="00EE0056">
        <w:t xml:space="preserve">il prétend avoir </w:t>
      </w:r>
      <w:r w:rsidR="00A47975">
        <w:t>fait l’objet d’une sanction, alors qu’il s’est absenté pour suivre la formation en lien avec la fonction de responsable en santé et en sécurité, comme le prévoit la LSST. Il demande de conclure que l’employeur doit lui verser son salaire pour la période du 29 avril 2024 au 3 mai 2024</w:t>
      </w:r>
      <w:r w:rsidR="00AD5D55">
        <w:t xml:space="preserve"> inclusivement</w:t>
      </w:r>
      <w:r w:rsidR="00A47975">
        <w:t xml:space="preserve">. </w:t>
      </w:r>
    </w:p>
    <w:p w14:paraId="754D2C9E" w14:textId="5D530788" w:rsidR="00A47975" w:rsidRDefault="00A47975" w:rsidP="00F77354">
      <w:pPr>
        <w:pStyle w:val="corpsdedcision"/>
      </w:pPr>
      <w:r>
        <w:t>En fonction des prétentions des parties et du litige dont il est saisi, le Tribunal doit répondre aux questions suivantes :</w:t>
      </w:r>
    </w:p>
    <w:p w14:paraId="58FFA106" w14:textId="38E3E8F4" w:rsidR="00A47975" w:rsidRPr="00A47975" w:rsidRDefault="00A47975" w:rsidP="00F77354">
      <w:pPr>
        <w:pStyle w:val="corpsdedcision"/>
        <w:numPr>
          <w:ilvl w:val="0"/>
          <w:numId w:val="12"/>
        </w:numPr>
        <w:spacing w:after="240"/>
      </w:pPr>
      <w:r w:rsidRPr="00A47975">
        <w:t>Le Tribunal a-t-il le pouvoir de se prononcer sur le fond du litige, alors que le travailleur a renoncé à une a</w:t>
      </w:r>
      <w:r w:rsidR="00913BC9">
        <w:t>udience</w:t>
      </w:r>
      <w:r w:rsidRPr="00A47975">
        <w:t xml:space="preserve"> devant la médiatrice-décideuse de la Commission ?</w:t>
      </w:r>
    </w:p>
    <w:p w14:paraId="33820B50" w14:textId="1D82E8E5" w:rsidR="00A47975" w:rsidRPr="00A47975" w:rsidRDefault="00A47975" w:rsidP="00F77354">
      <w:pPr>
        <w:pStyle w:val="corpsdedcision"/>
        <w:numPr>
          <w:ilvl w:val="0"/>
          <w:numId w:val="12"/>
        </w:numPr>
      </w:pPr>
      <w:r w:rsidRPr="00A47975">
        <w:t xml:space="preserve">Dans l’affirmative, le travailleur a-t-il </w:t>
      </w:r>
      <w:r w:rsidR="0038083E">
        <w:t>exerc</w:t>
      </w:r>
      <w:r w:rsidR="00CE31CC">
        <w:t>é</w:t>
      </w:r>
      <w:r w:rsidR="0038083E">
        <w:t xml:space="preserve"> une fonction qui lui résulte de la LSST, comme le prévoit</w:t>
      </w:r>
      <w:r w:rsidRPr="00A47975">
        <w:t xml:space="preserve"> l’article</w:t>
      </w:r>
      <w:r>
        <w:t> </w:t>
      </w:r>
      <w:r w:rsidRPr="00A47975">
        <w:t xml:space="preserve">227 de </w:t>
      </w:r>
      <w:r w:rsidR="0038083E">
        <w:t>cette même loi</w:t>
      </w:r>
      <w:r w:rsidRPr="00A47975">
        <w:t> ?</w:t>
      </w:r>
    </w:p>
    <w:p w14:paraId="49B70109" w14:textId="68BF48C4" w:rsidR="00A47975" w:rsidRDefault="00A47975" w:rsidP="00D63DE7">
      <w:pPr>
        <w:pStyle w:val="corpsdedcision"/>
      </w:pPr>
      <w:r>
        <w:t xml:space="preserve">Pour les motifs qui suivent, le Tribunal </w:t>
      </w:r>
      <w:r w:rsidR="00176B17">
        <w:t>conclut avoir le pouvoir de décider du fond du litige</w:t>
      </w:r>
      <w:r>
        <w:t xml:space="preserve"> et accueille la contestation du travailleur, puisque ce dernier démontre avoir fait l’objet d’une sanction </w:t>
      </w:r>
      <w:r w:rsidR="0038083E">
        <w:t>en raison de l’exercice d’une fonction</w:t>
      </w:r>
      <w:r w:rsidR="006D566D">
        <w:t>,</w:t>
      </w:r>
      <w:r w:rsidR="0038083E">
        <w:t xml:space="preserve"> </w:t>
      </w:r>
      <w:r w:rsidR="001A29ED">
        <w:t>comme le prévoit</w:t>
      </w:r>
      <w:r>
        <w:t xml:space="preserve"> l’article</w:t>
      </w:r>
      <w:r w:rsidR="00751B2B">
        <w:t> </w:t>
      </w:r>
      <w:r>
        <w:t>227 de la</w:t>
      </w:r>
      <w:r w:rsidR="00751B2B">
        <w:t> </w:t>
      </w:r>
      <w:r>
        <w:t xml:space="preserve">LSST. </w:t>
      </w:r>
    </w:p>
    <w:p w14:paraId="115918C5" w14:textId="04BFCEA4" w:rsidR="00082A97" w:rsidRDefault="00082A97" w:rsidP="00F77354">
      <w:pPr>
        <w:pStyle w:val="corpsdedcision"/>
        <w:numPr>
          <w:ilvl w:val="0"/>
          <w:numId w:val="0"/>
        </w:numPr>
        <w:rPr>
          <w:b/>
          <w:bCs/>
          <w:u w:val="single"/>
        </w:rPr>
      </w:pPr>
      <w:r w:rsidRPr="00B51F99">
        <w:rPr>
          <w:b/>
          <w:bCs/>
          <w:u w:val="single"/>
        </w:rPr>
        <w:t>L</w:t>
      </w:r>
      <w:r>
        <w:rPr>
          <w:b/>
          <w:bCs/>
          <w:u w:val="single"/>
        </w:rPr>
        <w:t>’ANALYSE</w:t>
      </w:r>
    </w:p>
    <w:bookmarkEnd w:id="11"/>
    <w:p w14:paraId="221806EC" w14:textId="694621D6" w:rsidR="004C2944" w:rsidRPr="00A47975" w:rsidRDefault="00A47975" w:rsidP="00F77354">
      <w:pPr>
        <w:pStyle w:val="corpsdedcision"/>
        <w:numPr>
          <w:ilvl w:val="0"/>
          <w:numId w:val="0"/>
        </w:numPr>
        <w:rPr>
          <w:b/>
          <w:bCs/>
        </w:rPr>
      </w:pPr>
      <w:r w:rsidRPr="00A47975">
        <w:rPr>
          <w:b/>
          <w:bCs/>
        </w:rPr>
        <w:t>Le Tribunal a-t-il le pouvoir de se prononcer sur le fond du litige, alors que le travailleur a renoncé à une aud</w:t>
      </w:r>
      <w:r w:rsidR="00913BC9">
        <w:rPr>
          <w:b/>
          <w:bCs/>
        </w:rPr>
        <w:t>ience</w:t>
      </w:r>
      <w:r w:rsidRPr="00A47975">
        <w:rPr>
          <w:b/>
          <w:bCs/>
        </w:rPr>
        <w:t xml:space="preserve"> devant la médiatrice-décideuse de la Commission ?</w:t>
      </w:r>
    </w:p>
    <w:p w14:paraId="1E14DE45" w14:textId="132A63BE" w:rsidR="00A47975" w:rsidRDefault="001B2459" w:rsidP="00F77354">
      <w:pPr>
        <w:pStyle w:val="corpsdedcision"/>
      </w:pPr>
      <w:r>
        <w:t>L’employeur soulève une question préliminaire en prétendant que le Tribunal n’a pas le pouvoir de se prononcer sur le fond du litige</w:t>
      </w:r>
      <w:r w:rsidR="00405A65">
        <w:t>,</w:t>
      </w:r>
      <w:r>
        <w:t xml:space="preserve"> étant donné que le travailleur a renoncé à la tenue d’une audience et donc</w:t>
      </w:r>
      <w:r w:rsidR="003D365D">
        <w:t>,</w:t>
      </w:r>
      <w:r>
        <w:t xml:space="preserve"> à présenter une preuve par le fait même. Il</w:t>
      </w:r>
      <w:r w:rsidR="003D365D">
        <w:t> </w:t>
      </w:r>
      <w:r>
        <w:t>fait valoir que c’est à la Commission que le législateur a d’abord confié le mandat de décider d’une plainte.</w:t>
      </w:r>
    </w:p>
    <w:p w14:paraId="151C4C77" w14:textId="2796B0DA" w:rsidR="00A47975" w:rsidRDefault="001B2459" w:rsidP="00F77354">
      <w:pPr>
        <w:pStyle w:val="corpsdedcision"/>
      </w:pPr>
      <w:r>
        <w:t>Avec respect, le Tribunal considère avoir le pouvoir de se prononcer sur le présent litige, même si le travailleur a renoncé à une audience devant la médiatrice-décideuse de la Commission</w:t>
      </w:r>
      <w:r w:rsidR="003D365D">
        <w:t>. Voici pourquoi.</w:t>
      </w:r>
    </w:p>
    <w:p w14:paraId="13379EB1" w14:textId="759419E2" w:rsidR="001B2459" w:rsidRPr="001B2459" w:rsidRDefault="001B2459" w:rsidP="00F77354">
      <w:pPr>
        <w:pStyle w:val="corpsdedcision"/>
      </w:pPr>
      <w:r>
        <w:t xml:space="preserve">C’est l’article 9 de la </w:t>
      </w:r>
      <w:r w:rsidRPr="00C57EEB">
        <w:rPr>
          <w:i/>
        </w:rPr>
        <w:t>Loi instituant le Tribunal administratif du travail</w:t>
      </w:r>
      <w:r>
        <w:rPr>
          <w:rStyle w:val="Appelnotedebasdep"/>
        </w:rPr>
        <w:footnoteReference w:id="2"/>
      </w:r>
      <w:r w:rsidRPr="001B2459">
        <w:rPr>
          <w:iCs/>
        </w:rPr>
        <w:t>, la</w:t>
      </w:r>
      <w:r w:rsidR="00751B2B">
        <w:rPr>
          <w:iCs/>
        </w:rPr>
        <w:t> </w:t>
      </w:r>
      <w:r w:rsidRPr="001B2459">
        <w:rPr>
          <w:iCs/>
        </w:rPr>
        <w:t xml:space="preserve">LITAT, </w:t>
      </w:r>
      <w:r>
        <w:rPr>
          <w:iCs/>
        </w:rPr>
        <w:t>qui</w:t>
      </w:r>
      <w:r w:rsidR="00751B2B">
        <w:rPr>
          <w:iCs/>
        </w:rPr>
        <w:t> </w:t>
      </w:r>
      <w:r>
        <w:rPr>
          <w:iCs/>
        </w:rPr>
        <w:t>précise les larges pouvoirs dont est investi le Tribunal :</w:t>
      </w:r>
    </w:p>
    <w:p w14:paraId="4E70AE10" w14:textId="3D6FD081" w:rsidR="001B2459" w:rsidRPr="00535437" w:rsidRDefault="001B2459" w:rsidP="00F77354">
      <w:pPr>
        <w:pStyle w:val="citation"/>
        <w:spacing w:after="200"/>
      </w:pPr>
      <w:r w:rsidRPr="00535437">
        <w:rPr>
          <w:b/>
          <w:bCs/>
        </w:rPr>
        <w:t xml:space="preserve">9. </w:t>
      </w:r>
      <w:r w:rsidRPr="00535437">
        <w:t>Le Tribunal a le pouvoir de décider de toute question de droit ou de fait nécessaire à l’exercice de sa compétence.</w:t>
      </w:r>
    </w:p>
    <w:p w14:paraId="4C6B542B" w14:textId="01CA0007" w:rsidR="001B2459" w:rsidRPr="00535437" w:rsidRDefault="001B2459" w:rsidP="00F77354">
      <w:pPr>
        <w:pStyle w:val="citation"/>
        <w:spacing w:after="200"/>
      </w:pPr>
      <w:r w:rsidRPr="00535437">
        <w:t>En outre des pouvoirs que lui attribue la loi, le Tribunal peut:</w:t>
      </w:r>
    </w:p>
    <w:p w14:paraId="35C587F9" w14:textId="7707D02B" w:rsidR="001B2459" w:rsidRDefault="001B2459" w:rsidP="00F77354">
      <w:pPr>
        <w:pStyle w:val="citation"/>
        <w:spacing w:after="120"/>
      </w:pPr>
      <w:r w:rsidRPr="00535437">
        <w:t>1°  sur demande ou d’office, rejeter sommairement ou assujettir à certaines conditions toute affaire qu’il juge abusive ou dilatoire;</w:t>
      </w:r>
    </w:p>
    <w:p w14:paraId="3415F8DE" w14:textId="6A771FB2" w:rsidR="001B2459" w:rsidRPr="00535437" w:rsidRDefault="001B2459" w:rsidP="00F77354">
      <w:pPr>
        <w:pStyle w:val="citation"/>
        <w:spacing w:after="120"/>
      </w:pPr>
      <w:r w:rsidRPr="00535437">
        <w:t>2°  refuser de statuer sur le mérite d’une plainte portée en vertu du Code du travail (chapitre C-27) ou de la Loi sur les normes du travail (chapitre N-1.1) lorsqu’il estime que celle-ci peut être réglée par une sentence arbitrale disposant d’un grief, sauf s’il s’agit d’une plainte visée à l’article 16 du Code du travail ou aux articles 123 et 123.1 de la Loi sur les normes du travail;</w:t>
      </w:r>
    </w:p>
    <w:p w14:paraId="797B21C4" w14:textId="57EE426C" w:rsidR="001B2459" w:rsidRPr="00535437" w:rsidRDefault="001B2459" w:rsidP="00F77354">
      <w:pPr>
        <w:pStyle w:val="citation"/>
        <w:spacing w:after="120"/>
      </w:pPr>
      <w:r w:rsidRPr="00535437">
        <w:t>2.1°  interdire, sur demande ou d’office, à une partie dont le comportement est vexatoire ou quérulent d’introduire une affaire, à moins d’obtenir l’autorisation préalable du président ou de tout autre membre que ce dernier désigne et selon les conditions que le président ou tout autre membre qu’il désigne détermine;</w:t>
      </w:r>
    </w:p>
    <w:p w14:paraId="2D1A82B8" w14:textId="0667D1F4" w:rsidR="001B2459" w:rsidRPr="00535437" w:rsidRDefault="001B2459" w:rsidP="00F77354">
      <w:pPr>
        <w:pStyle w:val="citation"/>
        <w:spacing w:after="120"/>
      </w:pPr>
      <w:r w:rsidRPr="00535437">
        <w:t>3°  rendre toute ordonnance, y compris une ordonnance provisoire ou de surseoir, qu’il estime propre à sauvegarder les droits des parties;</w:t>
      </w:r>
    </w:p>
    <w:p w14:paraId="6E166DE1" w14:textId="1E8F9C31" w:rsidR="001B2459" w:rsidRPr="00F77354" w:rsidRDefault="001B2459" w:rsidP="00F77354">
      <w:pPr>
        <w:pStyle w:val="citation"/>
        <w:spacing w:after="120"/>
        <w:rPr>
          <w:u w:val="single"/>
        </w:rPr>
      </w:pPr>
      <w:r w:rsidRPr="001B2459">
        <w:rPr>
          <w:u w:val="single"/>
        </w:rPr>
        <w:t>4°  confirmer, modifier ou infirmer la décision, l’ordre ou l’ordonnance contesté et, s’il y a lieu, rendre la décision, l’ordre ou l’ordonnance qui, à son avis, aurait dû être rendu en premier lieu;</w:t>
      </w:r>
    </w:p>
    <w:p w14:paraId="39BE9270" w14:textId="48527642" w:rsidR="001B2459" w:rsidRPr="00535437" w:rsidRDefault="001B2459" w:rsidP="00F77354">
      <w:pPr>
        <w:pStyle w:val="citation"/>
        <w:spacing w:after="120"/>
      </w:pPr>
      <w:r w:rsidRPr="00535437">
        <w:t>5°  rendre toute décision qu’il juge appropriée;</w:t>
      </w:r>
    </w:p>
    <w:p w14:paraId="51C3040F" w14:textId="3F5F5BD3" w:rsidR="001B2459" w:rsidRPr="00535437" w:rsidRDefault="001B2459" w:rsidP="00F77354">
      <w:pPr>
        <w:pStyle w:val="citation"/>
        <w:spacing w:after="120"/>
      </w:pPr>
      <w:r w:rsidRPr="00535437">
        <w:t>6°  entériner un accord, s’il est conforme à la loi;</w:t>
      </w:r>
    </w:p>
    <w:p w14:paraId="33B5F3E6" w14:textId="50D61137" w:rsidR="001B2459" w:rsidRDefault="001B2459" w:rsidP="00F77354">
      <w:pPr>
        <w:pStyle w:val="citation"/>
        <w:spacing w:after="240"/>
      </w:pPr>
      <w:r w:rsidRPr="00535437">
        <w:t>7°  omettre le nom des personnes impliquées lorsqu’il estime qu’une décision contient des renseignements d’un caractère confidentiel dont la divulgation pourrait être préjudiciable à ces personnes.</w:t>
      </w:r>
    </w:p>
    <w:p w14:paraId="0483AE17" w14:textId="1DE76338" w:rsidR="001B2459" w:rsidRPr="00F77354" w:rsidRDefault="001B2459" w:rsidP="00F77354">
      <w:pPr>
        <w:pStyle w:val="citation"/>
        <w:spacing w:after="360"/>
        <w:rPr>
          <w:sz w:val="24"/>
          <w:szCs w:val="24"/>
        </w:rPr>
      </w:pPr>
      <w:r w:rsidRPr="001B2459">
        <w:rPr>
          <w:sz w:val="24"/>
          <w:szCs w:val="24"/>
        </w:rPr>
        <w:t>[Notre soulignement]</w:t>
      </w:r>
    </w:p>
    <w:p w14:paraId="429CC621" w14:textId="4CA6A394" w:rsidR="00A47975" w:rsidRDefault="001B2459" w:rsidP="00F77354">
      <w:pPr>
        <w:pStyle w:val="corpsdedcision"/>
      </w:pPr>
      <w:r>
        <w:t>Le quatrième paragraphe de cet article qui prévoit que le Tribunal peut confirmer, modifier ou infirmer la décision contestée et</w:t>
      </w:r>
      <w:r w:rsidR="008A3488">
        <w:t>,</w:t>
      </w:r>
      <w:r>
        <w:t xml:space="preserve"> s’il y lieu</w:t>
      </w:r>
      <w:r w:rsidR="008A3488">
        <w:t>,</w:t>
      </w:r>
      <w:r>
        <w:t xml:space="preserve"> rendre la décision qui à son avis aurait dû être rendue</w:t>
      </w:r>
      <w:r w:rsidR="003D365D">
        <w:t xml:space="preserve">, </w:t>
      </w:r>
      <w:r w:rsidR="00CE31CC">
        <w:t xml:space="preserve">est qualifié par la </w:t>
      </w:r>
      <w:r w:rsidR="003D365D">
        <w:t>jurisprudence comme étant un</w:t>
      </w:r>
      <w:r>
        <w:t xml:space="preserve"> pouvoir </w:t>
      </w:r>
      <w:r w:rsidRPr="001B2459">
        <w:rPr>
          <w:i/>
          <w:iCs/>
        </w:rPr>
        <w:t>de novo</w:t>
      </w:r>
      <w:r w:rsidR="003D365D">
        <w:t>.</w:t>
      </w:r>
    </w:p>
    <w:p w14:paraId="7F7CB16B" w14:textId="0CEE4D00" w:rsidR="008A3488" w:rsidRDefault="008A3488" w:rsidP="00F77354">
      <w:pPr>
        <w:pStyle w:val="corpsdedcision"/>
      </w:pPr>
      <w:r>
        <w:t>Il est reconnu depuis de très nombreuses années que le processus de contestation devant le Tribunal s’assimile à un « </w:t>
      </w:r>
      <w:r w:rsidRPr="008A3488">
        <w:rPr>
          <w:rStyle w:val="Citationintgre"/>
        </w:rPr>
        <w:t>appel de novo</w:t>
      </w:r>
      <w:r>
        <w:t xml:space="preserve"> » et qu’en conséquence, le Tribunal peut recevoir de nouveaux éléments de preuve et de nouveaux arguments, même s’ils n’ont pas d’abord été soumis devant la Commission, comme décidé par la Commission des lésions professionnelles dans l’affaire </w:t>
      </w:r>
      <w:r w:rsidRPr="008A3488">
        <w:rPr>
          <w:i/>
          <w:iCs/>
        </w:rPr>
        <w:t>Greco</w:t>
      </w:r>
      <w:r>
        <w:t xml:space="preserve"> et </w:t>
      </w:r>
      <w:r w:rsidRPr="008A3488">
        <w:rPr>
          <w:i/>
          <w:iCs/>
        </w:rPr>
        <w:t>Cae Électronique Ltée</w:t>
      </w:r>
      <w:r>
        <w:rPr>
          <w:rStyle w:val="Appelnotedebasdep"/>
        </w:rPr>
        <w:footnoteReference w:id="3"/>
      </w:r>
      <w:r w:rsidR="00751B2B">
        <w:t xml:space="preserve"> </w:t>
      </w:r>
      <w:r>
        <w:t>en lien avec</w:t>
      </w:r>
      <w:r w:rsidR="00CE31CC">
        <w:t> </w:t>
      </w:r>
      <w:r>
        <w:t xml:space="preserve">une décision d’un conciliateur-décideur pour un recours </w:t>
      </w:r>
      <w:r w:rsidR="00464E7C">
        <w:t xml:space="preserve">déposé </w:t>
      </w:r>
      <w:r>
        <w:t>en vertu de l’article</w:t>
      </w:r>
      <w:r w:rsidR="00CE31CC">
        <w:t> </w:t>
      </w:r>
      <w:r>
        <w:t xml:space="preserve">32 de la </w:t>
      </w:r>
      <w:r w:rsidR="001A29ED">
        <w:t xml:space="preserve"> </w:t>
      </w:r>
      <w:r w:rsidR="001A29ED" w:rsidRPr="00C57EEB">
        <w:rPr>
          <w:i/>
          <w:iCs/>
        </w:rPr>
        <w:t>Loi sur les accidents du travail et les maladies professionnelles</w:t>
      </w:r>
      <w:r w:rsidR="001A29ED">
        <w:rPr>
          <w:rStyle w:val="Appelnotedebasdep"/>
        </w:rPr>
        <w:footnoteReference w:id="4"/>
      </w:r>
      <w:r w:rsidR="001A29ED" w:rsidRPr="001A29ED">
        <w:t>, la</w:t>
      </w:r>
      <w:r w:rsidR="001A29ED">
        <w:t> </w:t>
      </w:r>
      <w:r>
        <w:t>LATMP:</w:t>
      </w:r>
    </w:p>
    <w:p w14:paraId="5ECA3F40" w14:textId="180A4BD1" w:rsidR="008A3488" w:rsidRDefault="008A3488" w:rsidP="00F77354">
      <w:pPr>
        <w:pStyle w:val="citation"/>
        <w:spacing w:after="200"/>
      </w:pPr>
      <w:r>
        <w:t xml:space="preserve">[76] </w:t>
      </w:r>
      <w:r w:rsidR="00F01A1B">
        <w:tab/>
      </w:r>
      <w:r>
        <w:t>En premier lieu, le représentant du travailleur critique le processus qui a eu lieu devant la conciliatrice-décideuse de la CSST lors de l’audition de la plainte du travailleur qui a donné lieu à la décision du 14 mars 2003 faisant l’objet du présent litige. Il lui reproche d’avoir refusé une réouverture d’enquête, de ne pas avoir procédé à l’enregistrement de l’audience et de ne pas avoir conservé les pièces déposées lors de cette audience. Il invoque des manquements au droit d’être entendu.</w:t>
      </w:r>
    </w:p>
    <w:p w14:paraId="0784EE6D" w14:textId="36129D29" w:rsidR="008A3488" w:rsidRDefault="008A3488" w:rsidP="00F77354">
      <w:pPr>
        <w:pStyle w:val="citation"/>
        <w:spacing w:after="200"/>
      </w:pPr>
      <w:r>
        <w:t>[</w:t>
      </w:r>
      <w:bookmarkStart w:id="12" w:name="par77"/>
      <w:r>
        <w:t>77</w:t>
      </w:r>
      <w:bookmarkEnd w:id="12"/>
      <w:r>
        <w:t>]</w:t>
      </w:r>
      <w:r w:rsidR="00F01A1B">
        <w:rPr>
          <w:sz w:val="14"/>
          <w:szCs w:val="14"/>
        </w:rPr>
        <w:tab/>
      </w:r>
      <w:r>
        <w:t>Comme l’a souligné la soussignée à quelques reprises lors de la présente audience, la contestation devant la Commission des lésions professionnelles est assimilable à un appel «de novo»</w:t>
      </w:r>
      <w:r>
        <w:rPr>
          <w:i/>
          <w:iCs/>
        </w:rPr>
        <w:t>.</w:t>
      </w:r>
      <w:r>
        <w:t> L’article 377 définit l’étendue de la compétence du tribunal :</w:t>
      </w:r>
    </w:p>
    <w:p w14:paraId="23CB662C" w14:textId="03240617" w:rsidR="008A3488" w:rsidRDefault="008A3488" w:rsidP="00D63DD5">
      <w:pPr>
        <w:pStyle w:val="Citationendoubleretrait"/>
        <w:keepNext/>
        <w:keepLines/>
      </w:pPr>
      <w:r>
        <w:rPr>
          <w:b/>
          <w:bCs/>
        </w:rPr>
        <w:t>377. </w:t>
      </w:r>
      <w:r>
        <w:t>La Commission des lésions professionnelles a le pouvoir de décider de toute question de droit ou de fait nécessaire à l'exercice de sa compétence.</w:t>
      </w:r>
    </w:p>
    <w:p w14:paraId="4D1B775B" w14:textId="77777777" w:rsidR="008A3488" w:rsidRDefault="008A3488" w:rsidP="00D63DD5">
      <w:pPr>
        <w:pStyle w:val="Citationendoubleretrait"/>
        <w:keepNext/>
        <w:keepLines/>
        <w:spacing w:after="60"/>
      </w:pPr>
      <w:r>
        <w:t>Elle peut confirmer, modifier ou infirmer la décision, l'ordre ou l'ordonnance contesté et, s'il y a lieu, rendre la décision, l'ordre ou l'ordonnance qui, à son avis, aurait dû être rendu en premier lieu.</w:t>
      </w:r>
    </w:p>
    <w:p w14:paraId="31BEC1F0" w14:textId="77777777" w:rsidR="008A3488" w:rsidRDefault="008A3488" w:rsidP="00D63DD5">
      <w:pPr>
        <w:pStyle w:val="Citationendoubleretrait"/>
        <w:keepNext/>
        <w:keepLines/>
      </w:pPr>
      <w:r>
        <w:t>__________</w:t>
      </w:r>
    </w:p>
    <w:p w14:paraId="63167E56" w14:textId="20366DC4" w:rsidR="008A3488" w:rsidRDefault="008A3488" w:rsidP="00D63DD5">
      <w:pPr>
        <w:pStyle w:val="Citationendoubleretrait"/>
        <w:keepNext/>
        <w:keepLines/>
        <w:spacing w:after="200"/>
      </w:pPr>
      <w:r>
        <w:t>1985, c. 6, a. 377; </w:t>
      </w:r>
      <w:r w:rsidR="00940512" w:rsidRPr="004A12D1">
        <w:rPr>
          <w:rFonts w:cs="Arial"/>
          <w:sz w:val="20"/>
        </w:rPr>
        <w:t>1997, c. 27, a. 24</w:t>
      </w:r>
      <w:r w:rsidRPr="00F01A1B">
        <w:rPr>
          <w:color w:val="000000" w:themeColor="text1"/>
        </w:rPr>
        <w:t>.</w:t>
      </w:r>
    </w:p>
    <w:p w14:paraId="7FC907BA" w14:textId="57C6AD9E" w:rsidR="00F01A1B" w:rsidRPr="00F77354" w:rsidRDefault="008A3488" w:rsidP="00F77354">
      <w:pPr>
        <w:pStyle w:val="citation"/>
        <w:keepNext/>
        <w:keepLines/>
        <w:spacing w:after="200"/>
      </w:pPr>
      <w:r>
        <w:t>[</w:t>
      </w:r>
      <w:bookmarkStart w:id="13" w:name="par78"/>
      <w:r>
        <w:t>78</w:t>
      </w:r>
      <w:bookmarkEnd w:id="13"/>
      <w:r>
        <w:t>]</w:t>
      </w:r>
      <w:r w:rsidR="00F01A1B">
        <w:rPr>
          <w:sz w:val="14"/>
          <w:szCs w:val="14"/>
        </w:rPr>
        <w:tab/>
      </w:r>
      <w:r w:rsidRPr="00CE31CC">
        <w:rPr>
          <w:u w:val="single"/>
        </w:rPr>
        <w:t>Les dispositions de la loi</w:t>
      </w:r>
      <w:r>
        <w:t xml:space="preserve"> (voir entre autres les articles 369, 378, 429.13, 429.38,</w:t>
      </w:r>
      <w:r w:rsidR="00F77354">
        <w:t xml:space="preserve"> </w:t>
      </w:r>
      <w:r>
        <w:t>429.39 et 429.40) et des Règles de preuve, de procédure et de pratique de la Commission des lésions professionnelles</w:t>
      </w:r>
      <w:r w:rsidR="00F01A1B" w:rsidRPr="00F01A1B">
        <w:rPr>
          <w:vertAlign w:val="superscript"/>
        </w:rPr>
        <w:t>4</w:t>
      </w:r>
      <w:r w:rsidR="00F01A1B">
        <w:t xml:space="preserve"> </w:t>
      </w:r>
      <w:r>
        <w:t xml:space="preserve">(art. 1, 2 ,10, 11, 12, 15, 17, 24, 29, 30, 31 et 32) </w:t>
      </w:r>
      <w:r w:rsidRPr="00CE31CC">
        <w:rPr>
          <w:u w:val="single"/>
        </w:rPr>
        <w:t>permettent la tenue d’une audition «de novo» et l’introduction d’éléments de preuve et d’arguments nouveaux non nécessairement soumis devant la CSST ou son instance de révision. C’est un principe bien établi par la jurisprudence tant de l’ancienne Commission d’appel en matière de lésions professionnelles que du présent tribunal.</w:t>
      </w:r>
    </w:p>
    <w:p w14:paraId="03C2ACCD" w14:textId="6FE105F0" w:rsidR="00F01A1B" w:rsidRPr="00F77354" w:rsidRDefault="008A3488" w:rsidP="00F77354">
      <w:pPr>
        <w:pStyle w:val="citation"/>
        <w:spacing w:after="200"/>
        <w:rPr>
          <w:u w:val="single"/>
        </w:rPr>
      </w:pPr>
      <w:r>
        <w:t>[</w:t>
      </w:r>
      <w:bookmarkStart w:id="14" w:name="par79"/>
      <w:r>
        <w:t>79</w:t>
      </w:r>
      <w:bookmarkEnd w:id="14"/>
      <w:r>
        <w:t>]</w:t>
      </w:r>
      <w:r w:rsidR="00F01A1B">
        <w:rPr>
          <w:sz w:val="14"/>
          <w:szCs w:val="14"/>
        </w:rPr>
        <w:tab/>
      </w:r>
      <w:r>
        <w:rPr>
          <w:rStyle w:val="reflex"/>
          <w:rFonts w:cs="Arial"/>
          <w:color w:val="000000"/>
        </w:rPr>
        <w:t>Dans </w:t>
      </w:r>
      <w:r>
        <w:rPr>
          <w:rStyle w:val="reflex"/>
          <w:rFonts w:cs="Arial"/>
          <w:i/>
          <w:iCs/>
          <w:color w:val="000000"/>
        </w:rPr>
        <w:t>Desruisseaux c. CLP</w:t>
      </w:r>
      <w:r w:rsidR="00F01A1B" w:rsidRPr="00F01A1B">
        <w:rPr>
          <w:vertAlign w:val="superscript"/>
        </w:rPr>
        <w:t>5</w:t>
      </w:r>
      <w:r w:rsidR="00F01A1B">
        <w:rPr>
          <w:vertAlign w:val="superscript"/>
        </w:rPr>
        <w:t xml:space="preserve"> </w:t>
      </w:r>
      <w:r>
        <w:t xml:space="preserve">la Cour supérieure signalait que </w:t>
      </w:r>
      <w:r w:rsidRPr="00F01A1B">
        <w:rPr>
          <w:u w:val="single"/>
        </w:rPr>
        <w:t>le pouvoir de la Commission des lésions professionnelles tient davantage du procès «de novo» que de la révision pure et simple de la décision rendue en premier lieu. La Commission des lésions professionnelles ne doit pas se limiter à décider du bien-fondé de la décision de la CSST. Elle doit rendre la décision qui aurait dû être rendue. Cela signifie que la Commission des lésions professionnelles peut prendre en considération toute preuve pertinente, analyser tous les faits et apprécier tous les aspects d’une décision, même si cette preuve ou ces aspects n’ont pas été soulevés ou analysés pour en arriver à la décision contestée devant elle.</w:t>
      </w:r>
    </w:p>
    <w:p w14:paraId="325D566D" w14:textId="011F03F4" w:rsidR="00F01A1B" w:rsidRDefault="008A3488" w:rsidP="00F77354">
      <w:pPr>
        <w:pStyle w:val="citation"/>
        <w:spacing w:after="240"/>
      </w:pPr>
      <w:r>
        <w:t>[</w:t>
      </w:r>
      <w:bookmarkStart w:id="15" w:name="par80"/>
      <w:r>
        <w:t>80</w:t>
      </w:r>
      <w:bookmarkEnd w:id="15"/>
      <w:r>
        <w:t>]</w:t>
      </w:r>
      <w:r w:rsidR="00F01A1B">
        <w:rPr>
          <w:sz w:val="14"/>
          <w:szCs w:val="14"/>
        </w:rPr>
        <w:tab/>
      </w:r>
      <w:r>
        <w:t>Cela a comme conséquence que si des manquements ont eu lieu devant la conciliatrice-décideuse, ce que la soussignée ne tranche pas, la Commission des lésions professionnelles peut remédier au préjudice. Le travailleur a devant la Commission des lésions professionnelles l’occasion de faire entendre toute sa preuve et faire valoir tous les moyens.</w:t>
      </w:r>
    </w:p>
    <w:p w14:paraId="4A1A14A4" w14:textId="6D1CB37F" w:rsidR="00F01A1B" w:rsidRPr="00F77354" w:rsidRDefault="00F01A1B" w:rsidP="00F77354">
      <w:pPr>
        <w:pStyle w:val="citation"/>
        <w:spacing w:after="360"/>
        <w:rPr>
          <w:sz w:val="24"/>
          <w:szCs w:val="24"/>
        </w:rPr>
      </w:pPr>
      <w:r w:rsidRPr="00F01A1B">
        <w:rPr>
          <w:sz w:val="24"/>
          <w:szCs w:val="24"/>
        </w:rPr>
        <w:t>[Notes omises et no</w:t>
      </w:r>
      <w:r w:rsidR="00CE31CC">
        <w:rPr>
          <w:sz w:val="24"/>
          <w:szCs w:val="24"/>
        </w:rPr>
        <w:t xml:space="preserve">s </w:t>
      </w:r>
      <w:r w:rsidRPr="00F01A1B">
        <w:rPr>
          <w:sz w:val="24"/>
          <w:szCs w:val="24"/>
        </w:rPr>
        <w:t>soulignement</w:t>
      </w:r>
      <w:r w:rsidR="00CE31CC">
        <w:rPr>
          <w:sz w:val="24"/>
          <w:szCs w:val="24"/>
        </w:rPr>
        <w:t>s</w:t>
      </w:r>
      <w:r w:rsidRPr="00F01A1B">
        <w:rPr>
          <w:sz w:val="24"/>
          <w:szCs w:val="24"/>
        </w:rPr>
        <w:t>]</w:t>
      </w:r>
    </w:p>
    <w:p w14:paraId="61BF406E" w14:textId="1E52A17A" w:rsidR="00F01A1B" w:rsidRDefault="009132A2" w:rsidP="00F01A1B">
      <w:pPr>
        <w:pStyle w:val="corpsdedcision"/>
      </w:pPr>
      <w:r>
        <w:t xml:space="preserve">Le fait que les parties soient d’abord convoquées devant un médiateur-décideur de la Commission en vue de trancher le litige en regard de la plainte déposée conformément à l’article 227 de la LSST n’y change rien, même </w:t>
      </w:r>
      <w:r w:rsidR="009D2446">
        <w:t xml:space="preserve">si </w:t>
      </w:r>
      <w:r>
        <w:t>elles ne s’y présentent pas, comme l’a déjà décidé la Commission des lésions professionnelles en présence de faits similaires</w:t>
      </w:r>
      <w:r w:rsidR="003D365D">
        <w:rPr>
          <w:rStyle w:val="Appelnotedebasdep"/>
        </w:rPr>
        <w:footnoteReference w:id="5"/>
      </w:r>
      <w:r>
        <w:t> :</w:t>
      </w:r>
    </w:p>
    <w:p w14:paraId="2B9F97C0" w14:textId="080A58F3" w:rsidR="003D365D" w:rsidRPr="00F77354" w:rsidRDefault="009132A2" w:rsidP="00F77354">
      <w:pPr>
        <w:pStyle w:val="citation"/>
        <w:spacing w:after="200"/>
      </w:pPr>
      <w:bookmarkStart w:id="16" w:name="par14"/>
      <w:r>
        <w:t>14</w:t>
      </w:r>
      <w:bookmarkEnd w:id="16"/>
      <w:r>
        <w:t>.</w:t>
      </w:r>
      <w:r>
        <w:rPr>
          <w:sz w:val="14"/>
          <w:szCs w:val="14"/>
        </w:rPr>
        <w:t>  </w:t>
      </w:r>
      <w:r>
        <w:t xml:space="preserve">D’autre part, on constate que </w:t>
      </w:r>
      <w:r w:rsidRPr="003D365D">
        <w:t>l’</w:t>
      </w:r>
      <w:hyperlink r:id="rId8" w:anchor="art377_smooth" w:history="1">
        <w:r w:rsidR="00940512">
          <w:rPr>
            <w:rStyle w:val="Lienhypertexte"/>
            <w:color w:val="000000" w:themeColor="text1"/>
            <w:u w:val="none"/>
          </w:rPr>
          <w:t>article 377</w:t>
        </w:r>
      </w:hyperlink>
      <w:r w:rsidRPr="003D365D">
        <w:t> de la </w:t>
      </w:r>
      <w:r w:rsidR="00940512" w:rsidRPr="004A12D1">
        <w:t>LATMP</w:t>
      </w:r>
      <w:r w:rsidRPr="003D365D">
        <w:t> </w:t>
      </w:r>
      <w:r>
        <w:t>prévoit que la Commission des lésions professionnelles procède </w:t>
      </w:r>
      <w:r>
        <w:rPr>
          <w:i/>
          <w:iCs/>
        </w:rPr>
        <w:t>de novo</w:t>
      </w:r>
      <w:r>
        <w:t> lorsqu’elle analyse un litige.  En effet, le texte de celui-ci est le suivant :</w:t>
      </w:r>
    </w:p>
    <w:p w14:paraId="4C4DAA5B" w14:textId="1A206A03" w:rsidR="003D365D" w:rsidRDefault="009132A2" w:rsidP="00D63DD5">
      <w:pPr>
        <w:pStyle w:val="Citationendoubleretrait"/>
        <w:keepNext/>
        <w:keepLines/>
        <w:spacing w:after="120"/>
      </w:pPr>
      <w:r>
        <w:rPr>
          <w:b/>
          <w:bCs/>
        </w:rPr>
        <w:t>377.</w:t>
      </w:r>
      <w:r>
        <w:t> La Commission des lésions professionnelles a le pouvoir de décider de toute question de droit ou de fait nécessaire à l'exercice de sa compétence.</w:t>
      </w:r>
    </w:p>
    <w:p w14:paraId="61DB8D94" w14:textId="688FBB98" w:rsidR="003D365D" w:rsidRDefault="009132A2" w:rsidP="00D63DD5">
      <w:pPr>
        <w:pStyle w:val="Citationendoubleretrait"/>
        <w:keepNext/>
        <w:keepLines/>
        <w:spacing w:after="200"/>
      </w:pPr>
      <w:r>
        <w:t>Elle peut confirmer, modifier ou infirmer la décision, l'ordre ou l'ordonnance contesté et, s'il y a lieu, rendre la décision, l'ordre ou l'ordonnance qui, à son avis, aurait dû être rendu en premier lieu.</w:t>
      </w:r>
    </w:p>
    <w:p w14:paraId="7CE6592A" w14:textId="1237DEF9" w:rsidR="003D365D" w:rsidRPr="00F77354" w:rsidRDefault="009132A2" w:rsidP="00F77354">
      <w:pPr>
        <w:pStyle w:val="citation"/>
        <w:keepNext/>
        <w:keepLines/>
        <w:spacing w:after="240"/>
        <w:rPr>
          <w:u w:val="single"/>
        </w:rPr>
      </w:pPr>
      <w:bookmarkStart w:id="17" w:name="par15"/>
      <w:r>
        <w:t>15</w:t>
      </w:r>
      <w:bookmarkEnd w:id="17"/>
      <w:r>
        <w:t>.</w:t>
      </w:r>
      <w:r>
        <w:rPr>
          <w:sz w:val="14"/>
          <w:szCs w:val="14"/>
        </w:rPr>
        <w:t>  </w:t>
      </w:r>
      <w:r w:rsidRPr="003D365D">
        <w:rPr>
          <w:u w:val="single"/>
        </w:rPr>
        <w:t>Par conséquent, lorsqu’elle entend une affaire, elle peut recevoir toute nouvelle preuve qu’elle juge pertinente.  Ainsi, ce n’est pas parce que la travailleuse a opté pour ne pas assister à l’audience qu’a convoquée la CSST qu’elle ne peut se faire entendre devant la Commission des lésions professionnelles ou être empêchée de produire de nouveaux éléments de preuve.  D’ailleurs, en sa qualité de partie, aucune disposition législative ne forçait madame Larocque à se présenter devant la CSST pour étayer les allégations qui figurent dans sa plainte.</w:t>
      </w:r>
    </w:p>
    <w:p w14:paraId="410BA52F" w14:textId="2ED0902D" w:rsidR="003D365D" w:rsidRPr="00F77354" w:rsidRDefault="003D365D" w:rsidP="00F77354">
      <w:pPr>
        <w:pStyle w:val="citation"/>
        <w:spacing w:after="360"/>
        <w:rPr>
          <w:sz w:val="24"/>
          <w:szCs w:val="24"/>
        </w:rPr>
      </w:pPr>
      <w:r w:rsidRPr="003D365D">
        <w:rPr>
          <w:sz w:val="24"/>
          <w:szCs w:val="24"/>
        </w:rPr>
        <w:t>[Notre soulignement]</w:t>
      </w:r>
    </w:p>
    <w:p w14:paraId="1227B291" w14:textId="64C1FE9F" w:rsidR="008A3488" w:rsidRDefault="003D365D" w:rsidP="003D365D">
      <w:pPr>
        <w:pStyle w:val="corpsdedcision"/>
      </w:pPr>
      <w:r>
        <w:t xml:space="preserve">Ainsi, le Tribunal conclut que son pouvoir </w:t>
      </w:r>
      <w:r w:rsidRPr="003D365D">
        <w:rPr>
          <w:i/>
          <w:iCs/>
        </w:rPr>
        <w:t>de novo</w:t>
      </w:r>
      <w:r>
        <w:t xml:space="preserve"> conféré par la LITAT lui permet</w:t>
      </w:r>
      <w:r w:rsidR="000A6392">
        <w:t> </w:t>
      </w:r>
      <w:r>
        <w:t xml:space="preserve">de décider </w:t>
      </w:r>
      <w:r w:rsidR="009D2446">
        <w:t xml:space="preserve">sur le fond à l’égard </w:t>
      </w:r>
      <w:r>
        <w:t>de la plainte du travailleur</w:t>
      </w:r>
      <w:r w:rsidR="009D2446">
        <w:t xml:space="preserve"> déposé en vertu de l’article</w:t>
      </w:r>
      <w:r w:rsidR="000A6392">
        <w:t> </w:t>
      </w:r>
      <w:r w:rsidR="009D2446">
        <w:t>227 de la LSST</w:t>
      </w:r>
      <w:r>
        <w:t>, même si ce dernier a renoncé à la tenue d’une audience devant</w:t>
      </w:r>
      <w:r w:rsidR="000A6392">
        <w:t> </w:t>
      </w:r>
      <w:r>
        <w:t>la médiatrice</w:t>
      </w:r>
      <w:r w:rsidR="009D2446">
        <w:noBreakHyphen/>
      </w:r>
      <w:r>
        <w:t xml:space="preserve">décideuse de la Commission. </w:t>
      </w:r>
      <w:r w:rsidR="00870E30">
        <w:t>La question préliminaire</w:t>
      </w:r>
      <w:r>
        <w:t xml:space="preserve"> soulevé</w:t>
      </w:r>
      <w:r w:rsidR="00870E30">
        <w:t>e</w:t>
      </w:r>
      <w:r>
        <w:t xml:space="preserve"> par</w:t>
      </w:r>
      <w:r w:rsidR="000A6392">
        <w:t> </w:t>
      </w:r>
      <w:r>
        <w:t>l’employeur est en conséquence rejeté</w:t>
      </w:r>
      <w:r w:rsidR="00870E30">
        <w:t>e</w:t>
      </w:r>
      <w:r>
        <w:t>.</w:t>
      </w:r>
    </w:p>
    <w:p w14:paraId="3FD0CBE3" w14:textId="2C3A88F5" w:rsidR="0038083E" w:rsidRPr="0038083E" w:rsidRDefault="0038083E" w:rsidP="0038083E">
      <w:pPr>
        <w:pStyle w:val="corpsdedcision"/>
        <w:numPr>
          <w:ilvl w:val="0"/>
          <w:numId w:val="0"/>
        </w:numPr>
        <w:rPr>
          <w:b/>
          <w:bCs/>
        </w:rPr>
      </w:pPr>
      <w:r w:rsidRPr="0038083E">
        <w:rPr>
          <w:b/>
          <w:bCs/>
        </w:rPr>
        <w:t>Dans l’affirmative, le travailleur a-t-il exerc</w:t>
      </w:r>
      <w:r w:rsidR="00CE31CC">
        <w:rPr>
          <w:b/>
          <w:bCs/>
        </w:rPr>
        <w:t xml:space="preserve">é </w:t>
      </w:r>
      <w:r w:rsidRPr="0038083E">
        <w:rPr>
          <w:b/>
          <w:bCs/>
        </w:rPr>
        <w:t>une fonction qui lui résulte de la LSST, comme le prévoit l’article 227 de cette même loi ?</w:t>
      </w:r>
    </w:p>
    <w:p w14:paraId="1922C7D4" w14:textId="0D577B58" w:rsidR="00EB1042" w:rsidRDefault="00EB1042" w:rsidP="00EB1042">
      <w:pPr>
        <w:pStyle w:val="corpsdedcision"/>
      </w:pPr>
      <w:r>
        <w:t>L’article 227 de la LSST prévoit un recours pour un travailleur qui croit avoir été victime d’une sanction à la suite de l’exercice d’un droit ou d’une fonction qui résulte de cette même loi :</w:t>
      </w:r>
    </w:p>
    <w:p w14:paraId="224A531B" w14:textId="6B70C6DC" w:rsidR="00EB1042" w:rsidRDefault="00EB1042" w:rsidP="00F77354">
      <w:pPr>
        <w:pStyle w:val="articlesdelaLSST"/>
        <w:spacing w:after="360"/>
      </w:pPr>
      <w:r w:rsidRPr="00B81FA9">
        <w:rPr>
          <w:b/>
        </w:rPr>
        <w:t>227.</w:t>
      </w:r>
      <w:r>
        <w:t xml:space="preserve">  Le travailleur qui croit avoir été l'objet d'un congédiement, d'une suspension, d'un déplacement, de mesures discriminatoires ou de représailles ou de toute autre sanction à cause de l'exercice d'un droit ou d'une fonction qui lui résulte de la présente loi ou des règlements, peut recourir à la procédure de griefs prévue par la convention collective qui lui est applicable ou, à son choix, soumettre une plainte par écrit à la Commission dans les 30</w:t>
      </w:r>
      <w:r>
        <w:rPr>
          <w:rFonts w:cs="Arial"/>
        </w:rPr>
        <w:t> </w:t>
      </w:r>
      <w:r>
        <w:t>jours de la sanction ou de la mesure dont il se plaint.</w:t>
      </w:r>
    </w:p>
    <w:p w14:paraId="186302C3" w14:textId="77777777" w:rsidR="00EB1042" w:rsidRDefault="00EB1042" w:rsidP="00EB1042">
      <w:pPr>
        <w:pStyle w:val="corpsdedcision"/>
      </w:pPr>
      <w:r>
        <w:t xml:space="preserve">Comme le précise le Tribunal dans l’affaire </w:t>
      </w:r>
      <w:r w:rsidRPr="00D4393C">
        <w:rPr>
          <w:i/>
        </w:rPr>
        <w:t>Oskouie</w:t>
      </w:r>
      <w:r>
        <w:t xml:space="preserve"> et </w:t>
      </w:r>
      <w:r w:rsidRPr="00D4393C">
        <w:rPr>
          <w:i/>
        </w:rPr>
        <w:t>Aliments Multibar inc.</w:t>
      </w:r>
      <w:r>
        <w:rPr>
          <w:rStyle w:val="Appelnotedebasdep"/>
        </w:rPr>
        <w:footnoteReference w:id="6"/>
      </w:r>
      <w:r>
        <w:t>, il appartient donc à un travailleur de démontrer les cinq éléments suivants par prépondérance de preuve</w:t>
      </w:r>
      <w:r>
        <w:rPr>
          <w:rStyle w:val="Appelnotedebasdep"/>
        </w:rPr>
        <w:footnoteReference w:id="7"/>
      </w:r>
      <w:r>
        <w:t> :</w:t>
      </w:r>
    </w:p>
    <w:p w14:paraId="296D9F0D" w14:textId="60F33A1E" w:rsidR="00EB1042" w:rsidRPr="005D515E" w:rsidRDefault="00EB1042" w:rsidP="00F77354">
      <w:pPr>
        <w:pStyle w:val="citation"/>
        <w:numPr>
          <w:ilvl w:val="0"/>
          <w:numId w:val="13"/>
        </w:numPr>
        <w:spacing w:after="120"/>
      </w:pPr>
      <w:r w:rsidRPr="0061163E">
        <w:t xml:space="preserve">Être une travailleuse </w:t>
      </w:r>
      <w:r>
        <w:t xml:space="preserve">[ou un travailleur] </w:t>
      </w:r>
      <w:r w:rsidRPr="0061163E">
        <w:t>au sens de la </w:t>
      </w:r>
      <w:hyperlink r:id="rId9" w:history="1">
        <w:r w:rsidR="00940512">
          <w:t>LSST</w:t>
        </w:r>
      </w:hyperlink>
      <w:r w:rsidRPr="005D515E">
        <w:t>;</w:t>
      </w:r>
    </w:p>
    <w:p w14:paraId="6D7B6FA4" w14:textId="77777777" w:rsidR="00EB1042" w:rsidRPr="005D515E" w:rsidRDefault="00EB1042" w:rsidP="00F77354">
      <w:pPr>
        <w:pStyle w:val="citation"/>
        <w:numPr>
          <w:ilvl w:val="0"/>
          <w:numId w:val="13"/>
        </w:numPr>
        <w:spacing w:after="120"/>
      </w:pPr>
      <w:r w:rsidRPr="005D515E">
        <w:t>Avoir fait l’objet d’un congédiement, d’une suspension, d’un déplacement, de mesures discriminatoires ou de représailles ou de toute autre sanction;</w:t>
      </w:r>
    </w:p>
    <w:p w14:paraId="3376D014" w14:textId="63438951" w:rsidR="00EB1042" w:rsidRPr="005D515E" w:rsidRDefault="00EB1042" w:rsidP="00F77354">
      <w:pPr>
        <w:pStyle w:val="citation"/>
        <w:numPr>
          <w:ilvl w:val="0"/>
          <w:numId w:val="13"/>
        </w:numPr>
        <w:spacing w:after="120"/>
      </w:pPr>
      <w:r w:rsidRPr="005D515E">
        <w:t>Avoir exercé un droit ou une fonction qui lui résulte de la </w:t>
      </w:r>
      <w:r w:rsidR="00940512">
        <w:t>LSST</w:t>
      </w:r>
      <w:r>
        <w:t xml:space="preserve"> ou </w:t>
      </w:r>
      <w:r w:rsidRPr="005D515E">
        <w:t>des règlements;</w:t>
      </w:r>
    </w:p>
    <w:p w14:paraId="70195F83" w14:textId="77777777" w:rsidR="00EB1042" w:rsidRPr="005D515E" w:rsidRDefault="00EB1042" w:rsidP="00F77354">
      <w:pPr>
        <w:pStyle w:val="citation"/>
        <w:numPr>
          <w:ilvl w:val="0"/>
          <w:numId w:val="13"/>
        </w:numPr>
        <w:spacing w:after="120"/>
      </w:pPr>
      <w:r w:rsidRPr="005D515E">
        <w:t>Avoir déposé la plainte dans les 30 jours suivant la sanction;</w:t>
      </w:r>
    </w:p>
    <w:p w14:paraId="1FE806EB" w14:textId="167040C0" w:rsidR="00EB1042" w:rsidRDefault="00EB1042" w:rsidP="00F77354">
      <w:pPr>
        <w:pStyle w:val="citation"/>
        <w:numPr>
          <w:ilvl w:val="0"/>
          <w:numId w:val="13"/>
        </w:numPr>
        <w:spacing w:after="360"/>
      </w:pPr>
      <w:r w:rsidRPr="005D515E">
        <w:t>Avoir opté pour la plainte en lieu et place du grief.</w:t>
      </w:r>
    </w:p>
    <w:p w14:paraId="235E1F71" w14:textId="7CC7639B" w:rsidR="00EB1042" w:rsidRDefault="00EB1042" w:rsidP="00F77354">
      <w:pPr>
        <w:pStyle w:val="corpsdedcision"/>
      </w:pPr>
      <w:r>
        <w:t>De plus, en vertu de l’article 228 de la LSST</w:t>
      </w:r>
      <w:r w:rsidR="00870E30">
        <w:t>,</w:t>
      </w:r>
      <w:r>
        <w:t xml:space="preserve"> lorsque la sanction imposée survient dans les six mois de l’exercice d’un droit que lui confère cette loi, le travailleur bénéficie d’une présomption en sa faveur que ladite sanction l’a été en raison de l’exercice de ce même droit. Il appartient dès lors à l’employeur de prouver de manière probante que la sanction résulte d’une « </w:t>
      </w:r>
      <w:r w:rsidRPr="00EA3E5A">
        <w:rPr>
          <w:rStyle w:val="Citationintgre"/>
        </w:rPr>
        <w:t>autre cause</w:t>
      </w:r>
      <w:r>
        <w:t xml:space="preserve"> </w:t>
      </w:r>
      <w:r w:rsidRPr="008338E7">
        <w:rPr>
          <w:rStyle w:val="Citationintgre"/>
        </w:rPr>
        <w:t>juste et suffisante</w:t>
      </w:r>
      <w:r>
        <w:t> »</w:t>
      </w:r>
      <w:r>
        <w:rPr>
          <w:rStyle w:val="Appelnotedebasdep"/>
        </w:rPr>
        <w:footnoteReference w:id="8"/>
      </w:r>
      <w:r>
        <w:t>.</w:t>
      </w:r>
      <w:r w:rsidR="00870E30">
        <w:t xml:space="preserve"> Compte tenu des adaptations nécessaires, le Tribunal est d’avis qu’il en est de même lorsque la </w:t>
      </w:r>
      <w:r w:rsidR="0034272C">
        <w:t>sanction</w:t>
      </w:r>
      <w:r w:rsidR="00870E30">
        <w:t xml:space="preserve"> résulte de la fonction exercée par un travailleur </w:t>
      </w:r>
      <w:r w:rsidR="0034272C">
        <w:t xml:space="preserve">qui résulte </w:t>
      </w:r>
      <w:r w:rsidR="00870E30">
        <w:t>de la LSST.</w:t>
      </w:r>
    </w:p>
    <w:p w14:paraId="6CE9031F" w14:textId="131B8389" w:rsidR="00EB1042" w:rsidRDefault="00EB1042" w:rsidP="00F77354">
      <w:pPr>
        <w:pStyle w:val="corpsdedcision"/>
      </w:pPr>
      <w:r>
        <w:t>Il n’a pas été remis en question que le travailleur en était un</w:t>
      </w:r>
      <w:r w:rsidR="00405A65">
        <w:t>,</w:t>
      </w:r>
      <w:r>
        <w:t xml:space="preserve"> au sens de la</w:t>
      </w:r>
      <w:r w:rsidR="000A6392">
        <w:t> </w:t>
      </w:r>
      <w:r>
        <w:t>LSST</w:t>
      </w:r>
      <w:r w:rsidR="000719B8">
        <w:t xml:space="preserve">. Pour le Tribunal, il est </w:t>
      </w:r>
      <w:r w:rsidR="0034272C">
        <w:t xml:space="preserve">aussi </w:t>
      </w:r>
      <w:r w:rsidR="000719B8">
        <w:t>prouvé de manière prépondérante</w:t>
      </w:r>
      <w:r w:rsidR="0038083E">
        <w:t>, tant par les témoignages que par la preuve documentaire,</w:t>
      </w:r>
      <w:r w:rsidR="000719B8">
        <w:t xml:space="preserve"> que ce dernier a fait l’objet d’une sanction, puisqu’il n’a pas reçu son salaire pour la période du 29 avril 2024 au 3 mai 2024</w:t>
      </w:r>
      <w:r w:rsidR="00176B17">
        <w:t xml:space="preserve"> inclusivement</w:t>
      </w:r>
      <w:r w:rsidR="000719B8">
        <w:t xml:space="preserve">. </w:t>
      </w:r>
      <w:r w:rsidR="006F7D08">
        <w:t>De</w:t>
      </w:r>
      <w:r w:rsidR="00176B17">
        <w:t> </w:t>
      </w:r>
      <w:r w:rsidR="006F7D08">
        <w:t xml:space="preserve">plus, sa plainte à la Commission </w:t>
      </w:r>
      <w:r w:rsidR="00EE0056">
        <w:t>est déposée dans le délai prévu</w:t>
      </w:r>
      <w:r w:rsidR="0034272C">
        <w:rPr>
          <w:rStyle w:val="Appelnotedebasdep"/>
        </w:rPr>
        <w:footnoteReference w:id="9"/>
      </w:r>
      <w:r w:rsidR="0034272C">
        <w:t xml:space="preserve"> </w:t>
      </w:r>
      <w:r w:rsidR="00E3492A">
        <w:t xml:space="preserve">et </w:t>
      </w:r>
      <w:r w:rsidR="00EE0056">
        <w:t>la présente situation ne fait pas l’objet d’un grief</w:t>
      </w:r>
      <w:r w:rsidR="00E3492A">
        <w:t>.</w:t>
      </w:r>
    </w:p>
    <w:p w14:paraId="0AA44602" w14:textId="5D72A3D4" w:rsidR="00A47975" w:rsidRDefault="00E3492A" w:rsidP="00A47975">
      <w:pPr>
        <w:pStyle w:val="corpsdedcision"/>
      </w:pPr>
      <w:r>
        <w:t xml:space="preserve">Le seul élément </w:t>
      </w:r>
      <w:r w:rsidR="00EE0056">
        <w:t>réellement en litige</w:t>
      </w:r>
      <w:r>
        <w:t xml:space="preserve"> est la question </w:t>
      </w:r>
      <w:r w:rsidR="00754F8A">
        <w:t xml:space="preserve">de </w:t>
      </w:r>
      <w:r>
        <w:t>savoir si le travailleur a exercé un droit ou une fonction qui résulte de la LSST ou ses règlements. Ce dernier est</w:t>
      </w:r>
      <w:r w:rsidR="00405A65">
        <w:t> </w:t>
      </w:r>
      <w:r>
        <w:t xml:space="preserve">d’avis que oui, </w:t>
      </w:r>
      <w:r w:rsidR="00EE0056">
        <w:t xml:space="preserve">sa plainte résultant de l’absence de salaire alors qu’il a dû suivre la formation </w:t>
      </w:r>
      <w:r>
        <w:t>pour exercer la fonction de représentant en santé et en sécurité, comme prévu par la</w:t>
      </w:r>
      <w:r w:rsidR="00EE0056">
        <w:t> </w:t>
      </w:r>
      <w:r>
        <w:t>LSST. L’employeur prétend qu’à ce moment</w:t>
      </w:r>
      <w:r w:rsidR="006A48E7">
        <w:t>,</w:t>
      </w:r>
      <w:r>
        <w:t xml:space="preserve"> le travailleur ne pouvait exercer la fonction de responsable en santé et en sécurité</w:t>
      </w:r>
      <w:r w:rsidR="00DB7AD6">
        <w:t>,</w:t>
      </w:r>
      <w:r>
        <w:t xml:space="preserve"> </w:t>
      </w:r>
      <w:r w:rsidR="00DB7AD6">
        <w:t>puisqu’il n’avait pas encore terminé la formation.</w:t>
      </w:r>
    </w:p>
    <w:p w14:paraId="2BA5DB5E" w14:textId="1F15D25E" w:rsidR="00A47975" w:rsidRDefault="00DB7AD6" w:rsidP="00A47975">
      <w:pPr>
        <w:pStyle w:val="corpsdedcision"/>
      </w:pPr>
      <w:r>
        <w:t>Le Tribunal considère que le travailleur démontre avoir exercé une fonction prévue à la LSST</w:t>
      </w:r>
      <w:r w:rsidR="009D2446">
        <w:t xml:space="preserve"> pour les motifs suivants.</w:t>
      </w:r>
    </w:p>
    <w:p w14:paraId="04BD907B" w14:textId="43643201" w:rsidR="00DB7AD6" w:rsidRDefault="004A28D0" w:rsidP="004A28D0">
      <w:pPr>
        <w:pStyle w:val="corpsdedcision"/>
      </w:pPr>
      <w:r>
        <w:t xml:space="preserve">D’abord, le Tribunal souligne que les dispositions de la LSST visant la nouvelle fonction de représentant en santé et en sécurité </w:t>
      </w:r>
      <w:r w:rsidR="0038083E">
        <w:t xml:space="preserve">sur un chantier de construction </w:t>
      </w:r>
      <w:r>
        <w:t xml:space="preserve">ont été adoptées via la </w:t>
      </w:r>
      <w:r w:rsidRPr="004A28D0">
        <w:rPr>
          <w:i/>
        </w:rPr>
        <w:t>Loi modernisant le régime de santé et de sécurité du travail</w:t>
      </w:r>
      <w:r>
        <w:rPr>
          <w:rStyle w:val="Appelnotedebasdep"/>
        </w:rPr>
        <w:footnoteReference w:id="10"/>
      </w:r>
      <w:r>
        <w:t xml:space="preserve">. </w:t>
      </w:r>
    </w:p>
    <w:p w14:paraId="4D262984" w14:textId="78AD9616" w:rsidR="00504B12" w:rsidRDefault="0003460C" w:rsidP="004A28D0">
      <w:pPr>
        <w:pStyle w:val="corpsdedcision"/>
      </w:pPr>
      <w:r>
        <w:t>Ainsi, depuis le 1</w:t>
      </w:r>
      <w:r w:rsidRPr="0003460C">
        <w:rPr>
          <w:vertAlign w:val="superscript"/>
        </w:rPr>
        <w:t>er</w:t>
      </w:r>
      <w:r>
        <w:t xml:space="preserve"> janvier 2023, un représentant en santé et en sécurité doit être</w:t>
      </w:r>
      <w:r w:rsidR="00F77354">
        <w:t> </w:t>
      </w:r>
      <w:r>
        <w:t xml:space="preserve">désigné lorsque les activités sur un chantier de construction occuperont au moins </w:t>
      </w:r>
      <w:r w:rsidR="009C2D03">
        <w:t>dix</w:t>
      </w:r>
      <w:r w:rsidR="00A32576">
        <w:t> </w:t>
      </w:r>
      <w:r>
        <w:t>travailleurs de la construction, et ce, dès le début des travaux</w:t>
      </w:r>
      <w:r>
        <w:rPr>
          <w:rStyle w:val="Appelnotedebasdep"/>
        </w:rPr>
        <w:footnoteReference w:id="11"/>
      </w:r>
      <w:r>
        <w:t xml:space="preserve">. </w:t>
      </w:r>
    </w:p>
    <w:p w14:paraId="08DDC938" w14:textId="3B8BCDD0" w:rsidR="0003460C" w:rsidRDefault="00A32576" w:rsidP="00F77354">
      <w:pPr>
        <w:pStyle w:val="corpsdedcision"/>
        <w:keepNext/>
        <w:keepLines/>
      </w:pPr>
      <w:r>
        <w:t>De plus, lorsque les activités sur un chantier de construction occupent au moins 100</w:t>
      </w:r>
      <w:r w:rsidR="005A41A2">
        <w:t> </w:t>
      </w:r>
      <w:r>
        <w:t>travailleurs de la construction ou que le coût total des travaux excède 12</w:t>
      </w:r>
      <w:r w:rsidR="000A6392">
        <w:t> </w:t>
      </w:r>
      <w:r>
        <w:t>millions de</w:t>
      </w:r>
      <w:r w:rsidR="000A6392">
        <w:t> </w:t>
      </w:r>
      <w:r>
        <w:t>dollars, un ou plusieurs représentants en santé et en sécurité à plein temps doivent être désignés par l’ensemble des associations représentatives</w:t>
      </w:r>
      <w:r>
        <w:rPr>
          <w:rStyle w:val="Appelnotedebasdep"/>
        </w:rPr>
        <w:footnoteReference w:id="12"/>
      </w:r>
      <w:r>
        <w:t xml:space="preserve">. Lorsqu’il exerce ses fonctions, </w:t>
      </w:r>
      <w:r w:rsidR="007A6F29">
        <w:t>celui-ci</w:t>
      </w:r>
      <w:r>
        <w:t xml:space="preserve"> est réputé être au travail</w:t>
      </w:r>
      <w:r w:rsidR="00E43C4C">
        <w:rPr>
          <w:rStyle w:val="Appelnotedebasdep"/>
        </w:rPr>
        <w:footnoteReference w:id="13"/>
      </w:r>
      <w:r>
        <w:t xml:space="preserve">. </w:t>
      </w:r>
    </w:p>
    <w:p w14:paraId="24BD0FDB" w14:textId="2A3C126F" w:rsidR="00A32576" w:rsidRDefault="00A32576" w:rsidP="004A28D0">
      <w:pPr>
        <w:pStyle w:val="corpsdedcision"/>
      </w:pPr>
      <w:r>
        <w:t>Entré en vigueur le 1</w:t>
      </w:r>
      <w:r w:rsidRPr="00A32576">
        <w:rPr>
          <w:vertAlign w:val="superscript"/>
        </w:rPr>
        <w:t>er</w:t>
      </w:r>
      <w:r>
        <w:t xml:space="preserve"> janvier 2024, l’article 211 </w:t>
      </w:r>
      <w:r w:rsidR="00E43C4C">
        <w:t>d</w:t>
      </w:r>
      <w:r>
        <w:t>e la LSST pré</w:t>
      </w:r>
      <w:r w:rsidR="00E43C4C">
        <w:t>voit ce qui suit pour ce qui est de la formation que doit suivre le représentant en santé et en sécurité :</w:t>
      </w:r>
    </w:p>
    <w:p w14:paraId="01DA047B" w14:textId="135F5F39" w:rsidR="007E782D" w:rsidRDefault="007E782D" w:rsidP="005A41A2">
      <w:pPr>
        <w:pStyle w:val="articlesdelaLSST"/>
        <w:spacing w:after="120"/>
      </w:pPr>
      <w:r>
        <w:rPr>
          <w:b/>
        </w:rPr>
        <w:t>211</w:t>
      </w:r>
      <w:r w:rsidRPr="00013146">
        <w:rPr>
          <w:b/>
        </w:rPr>
        <w:t>.</w:t>
      </w:r>
      <w:r>
        <w:t xml:space="preserve">  Le représentant en santé et en sécurité doit participer aux programmes de formation dont le contenu et la durée sont déterminés par règlement.</w:t>
      </w:r>
    </w:p>
    <w:p w14:paraId="359A5335" w14:textId="0031D906" w:rsidR="007E782D" w:rsidRDefault="007E782D" w:rsidP="005A41A2">
      <w:pPr>
        <w:pStyle w:val="articlesdelaLSST"/>
        <w:spacing w:after="120"/>
      </w:pPr>
      <w:r>
        <w:t>Il peut s’absenter, sans perte de salaire, le temps nécessaire pour participer à ces programmes.</w:t>
      </w:r>
    </w:p>
    <w:p w14:paraId="3B3B93C7" w14:textId="7812B189" w:rsidR="007E782D" w:rsidRDefault="007E782D" w:rsidP="005A41A2">
      <w:pPr>
        <w:pStyle w:val="articlesdelaLSST"/>
        <w:spacing w:after="360"/>
      </w:pPr>
      <w:r>
        <w:t>Les frais d’inscription, de déplacement et de séjour sont assumés par la Commission conformément aux règlements.</w:t>
      </w:r>
    </w:p>
    <w:p w14:paraId="5CA81BB2" w14:textId="265AF2C8" w:rsidR="00CB6086" w:rsidRDefault="007E782D" w:rsidP="00CB6086">
      <w:pPr>
        <w:pStyle w:val="corpsdedcision"/>
      </w:pPr>
      <w:r>
        <w:t xml:space="preserve">C’est le </w:t>
      </w:r>
      <w:r w:rsidRPr="007E782D">
        <w:rPr>
          <w:i/>
          <w:iCs/>
        </w:rPr>
        <w:t>Règlement sur les mécanismes de prévention propres à un chantier de construction</w:t>
      </w:r>
      <w:r>
        <w:rPr>
          <w:rStyle w:val="Appelnotedebasdep"/>
        </w:rPr>
        <w:footnoteReference w:id="14"/>
      </w:r>
      <w:r w:rsidR="00AF0334">
        <w:t xml:space="preserve">, le Règlement, </w:t>
      </w:r>
      <w:r>
        <w:t>qui prévoit les modalités concernant la formation des représentants en santé et en sécurité pour les chantiers de construction, dispositions aussi entrées en vigueur le 1</w:t>
      </w:r>
      <w:r w:rsidRPr="007E782D">
        <w:rPr>
          <w:vertAlign w:val="superscript"/>
        </w:rPr>
        <w:t>er</w:t>
      </w:r>
      <w:r>
        <w:t xml:space="preserve"> janvier 2024 :</w:t>
      </w:r>
    </w:p>
    <w:p w14:paraId="4C734B67" w14:textId="6FAA6C89" w:rsidR="00CB6086" w:rsidRDefault="00CB6086" w:rsidP="005A41A2">
      <w:pPr>
        <w:pStyle w:val="articlesdelaLSST"/>
        <w:rPr>
          <w:bCs/>
        </w:rPr>
      </w:pPr>
      <w:r>
        <w:rPr>
          <w:b/>
        </w:rPr>
        <w:t>14</w:t>
      </w:r>
      <w:r w:rsidRPr="0077453A">
        <w:rPr>
          <w:b/>
        </w:rPr>
        <w:t xml:space="preserve">. </w:t>
      </w:r>
      <w:r>
        <w:rPr>
          <w:bCs/>
        </w:rPr>
        <w:t xml:space="preserve">Le représentant en santé et en sécurité désigné conformément à l’article 209 de la Loi doit obtenir une attestation de formation théorique d’une durée minimale de trois heures délivrée par la Commission ou par un organisme reconnu par elle. </w:t>
      </w:r>
    </w:p>
    <w:p w14:paraId="29970266" w14:textId="2952FC6B" w:rsidR="00CB6086" w:rsidRPr="0077453A" w:rsidRDefault="00CB6086" w:rsidP="00F77354">
      <w:pPr>
        <w:pStyle w:val="articlesdelaLSST"/>
        <w:spacing w:after="200"/>
        <w:rPr>
          <w:bCs/>
        </w:rPr>
      </w:pPr>
      <w:r>
        <w:rPr>
          <w:bCs/>
        </w:rPr>
        <w:t>La formation doit notamment porter sur les sujets suivants :</w:t>
      </w:r>
    </w:p>
    <w:p w14:paraId="3F1D014D" w14:textId="12282653" w:rsidR="00CB6086" w:rsidRPr="0077453A" w:rsidRDefault="00CB6086" w:rsidP="005A41A2">
      <w:pPr>
        <w:pStyle w:val="articlesdelaLSST"/>
        <w:spacing w:after="120"/>
        <w:rPr>
          <w:bCs/>
        </w:rPr>
      </w:pPr>
      <w:r w:rsidRPr="0077453A">
        <w:rPr>
          <w:bCs/>
        </w:rPr>
        <w:t xml:space="preserve">1°  </w:t>
      </w:r>
      <w:r>
        <w:rPr>
          <w:bCs/>
        </w:rPr>
        <w:t>les mécanismes de prévention applicables sur un chantier de construction</w:t>
      </w:r>
      <w:r w:rsidRPr="0077453A">
        <w:rPr>
          <w:bCs/>
        </w:rPr>
        <w:t>;</w:t>
      </w:r>
    </w:p>
    <w:p w14:paraId="479044FE" w14:textId="67B47CE4" w:rsidR="00CB6086" w:rsidRPr="0077453A" w:rsidRDefault="00CB6086" w:rsidP="005A41A2">
      <w:pPr>
        <w:pStyle w:val="articlesdelaLSST"/>
        <w:spacing w:after="120"/>
        <w:rPr>
          <w:bCs/>
        </w:rPr>
      </w:pPr>
      <w:r w:rsidRPr="0077453A">
        <w:rPr>
          <w:bCs/>
        </w:rPr>
        <w:t xml:space="preserve">2°  </w:t>
      </w:r>
      <w:r>
        <w:rPr>
          <w:bCs/>
        </w:rPr>
        <w:t>le rôle, les fonctions et les responsabilités du représentant</w:t>
      </w:r>
      <w:r w:rsidRPr="0077453A">
        <w:rPr>
          <w:bCs/>
        </w:rPr>
        <w:t>;</w:t>
      </w:r>
    </w:p>
    <w:p w14:paraId="7C43B37E" w14:textId="44D2D7FA" w:rsidR="00CB6086" w:rsidRPr="0077453A" w:rsidRDefault="00CB6086" w:rsidP="005A41A2">
      <w:pPr>
        <w:pStyle w:val="articlesdelaLSST"/>
        <w:spacing w:after="120"/>
        <w:rPr>
          <w:bCs/>
        </w:rPr>
      </w:pPr>
      <w:r w:rsidRPr="0077453A">
        <w:rPr>
          <w:bCs/>
        </w:rPr>
        <w:t xml:space="preserve">3°  </w:t>
      </w:r>
      <w:r>
        <w:rPr>
          <w:bCs/>
        </w:rPr>
        <w:t>l’inspection des lieux de travail</w:t>
      </w:r>
      <w:r w:rsidRPr="0077453A">
        <w:rPr>
          <w:bCs/>
        </w:rPr>
        <w:t>;</w:t>
      </w:r>
    </w:p>
    <w:p w14:paraId="4B4A8741" w14:textId="2D2D7AF5" w:rsidR="00CB6086" w:rsidRPr="0077453A" w:rsidRDefault="00CB6086" w:rsidP="005A41A2">
      <w:pPr>
        <w:pStyle w:val="articlesdelaLSST"/>
        <w:spacing w:after="120"/>
        <w:rPr>
          <w:bCs/>
        </w:rPr>
      </w:pPr>
      <w:r w:rsidRPr="0077453A">
        <w:rPr>
          <w:bCs/>
        </w:rPr>
        <w:t xml:space="preserve">4°  </w:t>
      </w:r>
      <w:r>
        <w:rPr>
          <w:bCs/>
        </w:rPr>
        <w:t>l’assistance aux travailleurs dans l’exercice des droits qui leur sont reconnus par la Loi et les règlements</w:t>
      </w:r>
      <w:r w:rsidRPr="0077453A">
        <w:rPr>
          <w:bCs/>
        </w:rPr>
        <w:t>;</w:t>
      </w:r>
    </w:p>
    <w:p w14:paraId="2B6D10F9" w14:textId="67C9361A" w:rsidR="00CB6086" w:rsidRPr="0077453A" w:rsidRDefault="00CB6086" w:rsidP="005A41A2">
      <w:pPr>
        <w:pStyle w:val="articlesdelaLSST"/>
        <w:spacing w:after="120"/>
        <w:rPr>
          <w:bCs/>
        </w:rPr>
      </w:pPr>
      <w:r w:rsidRPr="0077453A">
        <w:rPr>
          <w:bCs/>
        </w:rPr>
        <w:t xml:space="preserve">5°  </w:t>
      </w:r>
      <w:r>
        <w:rPr>
          <w:bCs/>
        </w:rPr>
        <w:t xml:space="preserve">le rôle du représentant lors de la visite d’un inspecteur </w:t>
      </w:r>
      <w:r w:rsidRPr="0077453A">
        <w:rPr>
          <w:bCs/>
        </w:rPr>
        <w:t>;</w:t>
      </w:r>
    </w:p>
    <w:p w14:paraId="3D31B803" w14:textId="39896A8B" w:rsidR="00CB6086" w:rsidRDefault="00CB6086" w:rsidP="00F77354">
      <w:pPr>
        <w:pStyle w:val="articlesdelaLSST"/>
        <w:spacing w:after="200"/>
        <w:rPr>
          <w:bCs/>
        </w:rPr>
      </w:pPr>
      <w:r w:rsidRPr="0077453A">
        <w:rPr>
          <w:bCs/>
        </w:rPr>
        <w:t xml:space="preserve">6°  </w:t>
      </w:r>
      <w:r>
        <w:rPr>
          <w:bCs/>
        </w:rPr>
        <w:t>l’enquête d’accident et l’analyse des incidents rapportés.</w:t>
      </w:r>
    </w:p>
    <w:p w14:paraId="3582816C" w14:textId="4C1D1EED" w:rsidR="00CB6086" w:rsidRDefault="00CB6086" w:rsidP="005A41A2">
      <w:pPr>
        <w:pStyle w:val="articlesdelaLSST"/>
        <w:spacing w:after="120"/>
      </w:pPr>
      <w:r>
        <w:rPr>
          <w:b/>
        </w:rPr>
        <w:t>15</w:t>
      </w:r>
      <w:r w:rsidRPr="00013146">
        <w:rPr>
          <w:b/>
        </w:rPr>
        <w:t>.</w:t>
      </w:r>
      <w:r>
        <w:t xml:space="preserve">  Le représentant en santé et en sécurité désigné conformément à l’article 212.1 de la</w:t>
      </w:r>
      <w:r w:rsidR="00405A65">
        <w:t> </w:t>
      </w:r>
      <w:r>
        <w:t>Loi doit obtenir une attestation de formation théorique d’une durée minimale de 40</w:t>
      </w:r>
      <w:r w:rsidR="00405A65">
        <w:t> </w:t>
      </w:r>
      <w:r>
        <w:t>heures délivrée par la Commission ou par un organisme reconnu par elle</w:t>
      </w:r>
      <w:r w:rsidR="00AF0334">
        <w:t>.</w:t>
      </w:r>
    </w:p>
    <w:p w14:paraId="2A9DBBE9" w14:textId="676C9CF9" w:rsidR="00CB6086" w:rsidRDefault="00CB6086" w:rsidP="005A41A2">
      <w:pPr>
        <w:pStyle w:val="articlesdelaLSST"/>
        <w:spacing w:after="360"/>
      </w:pPr>
      <w:r>
        <w:t>Outre les éléments visés au deuxième alinéa de l’</w:t>
      </w:r>
      <w:r w:rsidR="00CB37E4">
        <w:t>a</w:t>
      </w:r>
      <w:r>
        <w:t>rticle 14, la formation doit porter sur le programme de prévention et le fonctionnement d’un comité de chantier.</w:t>
      </w:r>
    </w:p>
    <w:p w14:paraId="7CD237BF" w14:textId="32AAB9E0" w:rsidR="00CB6086" w:rsidRDefault="00CB6086" w:rsidP="00CB6086">
      <w:pPr>
        <w:pStyle w:val="corpsdedcision"/>
      </w:pPr>
      <w:r>
        <w:t>C’est donc dans le contexte d’entrée en vigueur de ces nouvelles dispositions législatives et règlementaires que les faits entourant le présent litige prennent naissance.</w:t>
      </w:r>
    </w:p>
    <w:p w14:paraId="38884EBF" w14:textId="61BD2C2F" w:rsidR="00CB6086" w:rsidRDefault="00CB37E4" w:rsidP="00CB6086">
      <w:pPr>
        <w:pStyle w:val="corpsdedcision"/>
      </w:pPr>
      <w:r>
        <w:t>Monsieur Santino Agostino, conseiller syndical pour la CSD</w:t>
      </w:r>
      <w:r w:rsidR="000A6392">
        <w:noBreakHyphen/>
      </w:r>
      <w:r>
        <w:t xml:space="preserve">Construction, témoigne lors de l’audience. Il explique </w:t>
      </w:r>
      <w:r w:rsidR="00EE0056">
        <w:t>qu’il fait partie de ses tâches de</w:t>
      </w:r>
      <w:r>
        <w:t xml:space="preserve"> s’occuper pour la central</w:t>
      </w:r>
      <w:r w:rsidR="00E41CEB">
        <w:t>e</w:t>
      </w:r>
      <w:r>
        <w:t xml:space="preserve"> syndicale des </w:t>
      </w:r>
      <w:r w:rsidR="00E41CEB">
        <w:t>représentants</w:t>
      </w:r>
      <w:r>
        <w:t xml:space="preserve"> en santé et en sécurité</w:t>
      </w:r>
      <w:r w:rsidR="00E41CEB">
        <w:t>.</w:t>
      </w:r>
      <w:r>
        <w:t xml:space="preserve"> C’est lui qui reçoit les candidatures, effectue les entrevues et s’assure qu’ils reçoivent la formation nécessaire</w:t>
      </w:r>
      <w:r w:rsidR="00405A65">
        <w:t>,</w:t>
      </w:r>
      <w:r>
        <w:t xml:space="preserve"> </w:t>
      </w:r>
      <w:r w:rsidR="001A29ED">
        <w:t>comme le prévoit</w:t>
      </w:r>
      <w:r>
        <w:t xml:space="preserve"> la LSST. </w:t>
      </w:r>
    </w:p>
    <w:p w14:paraId="0B47C04B" w14:textId="56E5A814" w:rsidR="00CB37E4" w:rsidRDefault="00CB37E4" w:rsidP="00CB6086">
      <w:pPr>
        <w:pStyle w:val="corpsdedcision"/>
      </w:pPr>
      <w:r>
        <w:t xml:space="preserve">Dans le cas du chantier </w:t>
      </w:r>
      <w:r w:rsidR="00F35631">
        <w:t xml:space="preserve">de construction </w:t>
      </w:r>
      <w:r>
        <w:t xml:space="preserve">des </w:t>
      </w:r>
      <w:r w:rsidR="00E41CEB" w:rsidRPr="00EE0056">
        <w:rPr>
          <w:i/>
          <w:iCs/>
        </w:rPr>
        <w:t>C</w:t>
      </w:r>
      <w:r w:rsidRPr="00EE0056">
        <w:rPr>
          <w:i/>
          <w:iCs/>
        </w:rPr>
        <w:t>ondos San Leon</w:t>
      </w:r>
      <w:r>
        <w:t xml:space="preserve">, monsieur Agostino affirme </w:t>
      </w:r>
      <w:r w:rsidR="00471D47">
        <w:t>que certaines</w:t>
      </w:r>
      <w:r>
        <w:t xml:space="preserve"> difficultés </w:t>
      </w:r>
      <w:r w:rsidR="00471D47">
        <w:t xml:space="preserve">sont présentes </w:t>
      </w:r>
      <w:r>
        <w:t xml:space="preserve">au </w:t>
      </w:r>
      <w:r w:rsidR="00C173C0">
        <w:t>début</w:t>
      </w:r>
      <w:r>
        <w:t xml:space="preserve"> du </w:t>
      </w:r>
      <w:r w:rsidR="00C173C0">
        <w:t>chantier</w:t>
      </w:r>
      <w:r>
        <w:t xml:space="preserve"> et que </w:t>
      </w:r>
      <w:r w:rsidR="00471D47">
        <w:t>cela</w:t>
      </w:r>
      <w:r>
        <w:t xml:space="preserve"> a pris un moment avant qu’un premier représentant en santé et en sécurité « </w:t>
      </w:r>
      <w:r w:rsidRPr="00CB37E4">
        <w:rPr>
          <w:rStyle w:val="Citationintgre"/>
        </w:rPr>
        <w:t>arrive</w:t>
      </w:r>
      <w:r>
        <w:t xml:space="preserve"> ». </w:t>
      </w:r>
      <w:r w:rsidR="00C173C0">
        <w:t xml:space="preserve">Il souligne que lorsque des travailleurs sont sur le chantier, le représentant en santé et en sécurité doit </w:t>
      </w:r>
      <w:r w:rsidR="0038083E">
        <w:t>être présent.</w:t>
      </w:r>
    </w:p>
    <w:p w14:paraId="7DEDB3B2" w14:textId="1B9D8CA7" w:rsidR="00E41CEB" w:rsidRDefault="0038083E" w:rsidP="00CB6086">
      <w:pPr>
        <w:pStyle w:val="corpsdedcision"/>
      </w:pPr>
      <w:r>
        <w:t>Ce témoin explique qu’u</w:t>
      </w:r>
      <w:r w:rsidR="00E41CEB">
        <w:t>n premier représentant en santé et en sécurité est désigné, mais après un certain temps, ce dernier décide de quitter ses fonctions. Devant</w:t>
      </w:r>
      <w:r w:rsidR="000A6392">
        <w:t> </w:t>
      </w:r>
      <w:r w:rsidR="00E41CEB">
        <w:t>la situation, monsieur</w:t>
      </w:r>
      <w:r w:rsidR="00471D47">
        <w:t> </w:t>
      </w:r>
      <w:r w:rsidR="00E41CEB">
        <w:t>Agostino entreprend des démarches en vue d’en désigner un autre. Il estime qu’il s’</w:t>
      </w:r>
      <w:r w:rsidR="00620BDF">
        <w:t xml:space="preserve">est </w:t>
      </w:r>
      <w:r w:rsidR="00E41CEB">
        <w:t>écoul</w:t>
      </w:r>
      <w:r w:rsidR="00620BDF">
        <w:t>é</w:t>
      </w:r>
      <w:r w:rsidR="00E41CEB">
        <w:t xml:space="preserve"> moins de 30 jours entre le départ du premier représentant en santé et en sécurité et son contact avec le travailleur. </w:t>
      </w:r>
    </w:p>
    <w:p w14:paraId="46687F6B" w14:textId="175C99A6" w:rsidR="00E41CEB" w:rsidRDefault="00E41CEB" w:rsidP="00CB6086">
      <w:pPr>
        <w:pStyle w:val="corpsdedcision"/>
      </w:pPr>
      <w:r>
        <w:t>Le travailleur témoigne quant à lui que, intéressé par la fonction, il complète un formulaire en ligne</w:t>
      </w:r>
      <w:r w:rsidR="00601F08">
        <w:t xml:space="preserve"> le 12 mars 2024. Monsieur Agostino le contacte </w:t>
      </w:r>
      <w:r w:rsidR="009C2D03">
        <w:t xml:space="preserve">dans les heures suivantes </w:t>
      </w:r>
      <w:r w:rsidR="00601F08">
        <w:t>pour discuter de ses connaissances en matière de santé et de sécurité du</w:t>
      </w:r>
      <w:r w:rsidR="000A6392">
        <w:t> </w:t>
      </w:r>
      <w:r w:rsidR="00601F08">
        <w:t>travail. Ce dernier lui demande de compléter la formation en ligne d’une durée de trois</w:t>
      </w:r>
      <w:r w:rsidR="000A6392">
        <w:t> </w:t>
      </w:r>
      <w:r w:rsidR="00601F08">
        <w:t>heures, ce qu’il fait immédiatement</w:t>
      </w:r>
      <w:r w:rsidR="00471D47">
        <w:t>, bien que cela ne soit pas nécessaire à sa désignation.</w:t>
      </w:r>
    </w:p>
    <w:p w14:paraId="663439EB" w14:textId="05856484" w:rsidR="00601F08" w:rsidRDefault="00601F08" w:rsidP="00CB6086">
      <w:pPr>
        <w:pStyle w:val="corpsdedcision"/>
      </w:pPr>
      <w:r>
        <w:t>Puis, en date du 16 mars 2024, le travailleur est officiellement désigné par la CSD</w:t>
      </w:r>
      <w:r>
        <w:noBreakHyphen/>
        <w:t xml:space="preserve">Construction pour agir à titre de représentant en santé et en sécurité sur le chantier des </w:t>
      </w:r>
      <w:r w:rsidRPr="00471D47">
        <w:rPr>
          <w:i/>
          <w:iCs/>
        </w:rPr>
        <w:t>Condos San Leon</w:t>
      </w:r>
      <w:r>
        <w:t>, comme en fait foi le formulaire officiel signé par monsieur</w:t>
      </w:r>
      <w:r w:rsidR="00BC42AB">
        <w:t> </w:t>
      </w:r>
      <w:r>
        <w:t xml:space="preserve">Agostino. </w:t>
      </w:r>
      <w:r w:rsidR="00D63DD5">
        <w:t>Un courriel du 20 mars 2024 montre que l’employeur en est</w:t>
      </w:r>
      <w:r>
        <w:t xml:space="preserve"> informé le jour</w:t>
      </w:r>
      <w:r w:rsidR="00754F8A">
        <w:t xml:space="preserve"> </w:t>
      </w:r>
      <w:r>
        <w:t xml:space="preserve">même et qu’un rappel lui </w:t>
      </w:r>
      <w:r w:rsidR="00191DE7">
        <w:t xml:space="preserve">a été </w:t>
      </w:r>
      <w:r>
        <w:t xml:space="preserve">fait quelques jours plus tard, lui réitérant que le travailleur est désigné comme représentant en santé et en sécurité sur ce chantier et que </w:t>
      </w:r>
      <w:r w:rsidR="00E10527">
        <w:t>son entrée en fonction</w:t>
      </w:r>
      <w:r>
        <w:t xml:space="preserve"> </w:t>
      </w:r>
      <w:r w:rsidR="00D63DD5">
        <w:t>est prévue pour</w:t>
      </w:r>
      <w:r>
        <w:t xml:space="preserve"> le 25 mars 2024.</w:t>
      </w:r>
    </w:p>
    <w:p w14:paraId="5E965A8C" w14:textId="63073E5E" w:rsidR="00601F08" w:rsidRDefault="00601F08" w:rsidP="005A41A2">
      <w:pPr>
        <w:pStyle w:val="corpsdedcision"/>
      </w:pPr>
      <w:r>
        <w:t>Le travailleur affirme que l’employeur « </w:t>
      </w:r>
      <w:r w:rsidRPr="00601F08">
        <w:rPr>
          <w:rStyle w:val="Citationintgre"/>
        </w:rPr>
        <w:t>refuse</w:t>
      </w:r>
      <w:r>
        <w:t> » à ce moment d’avoir un représentant en santé et en sécurité sur le chantier</w:t>
      </w:r>
      <w:r w:rsidR="00471D47">
        <w:t>,</w:t>
      </w:r>
      <w:r>
        <w:t xml:space="preserve"> ce qui retarde son </w:t>
      </w:r>
      <w:r w:rsidR="00471D47">
        <w:t>arriv</w:t>
      </w:r>
      <w:r>
        <w:t xml:space="preserve">ée sur le </w:t>
      </w:r>
      <w:r w:rsidR="00FB6B3B">
        <w:t>projet</w:t>
      </w:r>
      <w:r w:rsidR="00191DE7">
        <w:t> </w:t>
      </w:r>
      <w:r w:rsidR="00FB6B3B">
        <w:t xml:space="preserve">des </w:t>
      </w:r>
      <w:r w:rsidR="00FB6B3B" w:rsidRPr="00FB6B3B">
        <w:rPr>
          <w:i/>
          <w:iCs/>
        </w:rPr>
        <w:t>Condos San Leon</w:t>
      </w:r>
      <w:r>
        <w:t>. Finalement, c’est le 2 avril 2024 qu’il débute officiellement ses fonctions de représentant en santé et en sécurité sur le chantier de l’employeur.</w:t>
      </w:r>
    </w:p>
    <w:p w14:paraId="14817FD1" w14:textId="27F0899F" w:rsidR="00601F08" w:rsidRDefault="00D75A6E" w:rsidP="005A41A2">
      <w:pPr>
        <w:pStyle w:val="corpsdedcision"/>
      </w:pPr>
      <w:r>
        <w:t xml:space="preserve">Environ une dizaine de jours </w:t>
      </w:r>
      <w:r w:rsidR="00601F08">
        <w:t xml:space="preserve">plus tard, le travailleur est </w:t>
      </w:r>
      <w:r w:rsidR="00E10527">
        <w:t>convoqu</w:t>
      </w:r>
      <w:r w:rsidR="00601F08">
        <w:t>é par la CSD</w:t>
      </w:r>
      <w:r>
        <w:noBreakHyphen/>
      </w:r>
      <w:r w:rsidR="00601F08">
        <w:t xml:space="preserve">Construction </w:t>
      </w:r>
      <w:r w:rsidR="00BC42AB">
        <w:t>pour assister à</w:t>
      </w:r>
      <w:r w:rsidR="00601F08">
        <w:t xml:space="preserve"> la formation obligatoire de 40</w:t>
      </w:r>
      <w:r w:rsidR="000A6392">
        <w:t> </w:t>
      </w:r>
      <w:r w:rsidR="00601F08">
        <w:t>heures pour les représentants en santé et en sécurité à plein temps</w:t>
      </w:r>
      <w:r w:rsidR="000A6392">
        <w:t>,</w:t>
      </w:r>
      <w:r w:rsidR="00601F08">
        <w:t xml:space="preserve"> </w:t>
      </w:r>
      <w:r w:rsidR="00BC42AB">
        <w:t xml:space="preserve">qui </w:t>
      </w:r>
      <w:r w:rsidR="00601F08">
        <w:t>est prévue du 29</w:t>
      </w:r>
      <w:r w:rsidR="000A6392">
        <w:t> </w:t>
      </w:r>
      <w:r w:rsidR="00601F08">
        <w:t>avril</w:t>
      </w:r>
      <w:r w:rsidR="000A6392">
        <w:t> </w:t>
      </w:r>
      <w:r w:rsidR="00601F08">
        <w:t>2024 au</w:t>
      </w:r>
      <w:r w:rsidR="000A6392">
        <w:t> </w:t>
      </w:r>
      <w:r w:rsidR="00601F08">
        <w:t>3</w:t>
      </w:r>
      <w:r w:rsidR="00BC42AB">
        <w:t> </w:t>
      </w:r>
      <w:r w:rsidR="00601F08">
        <w:t>mai</w:t>
      </w:r>
      <w:r w:rsidR="000A6392">
        <w:t> </w:t>
      </w:r>
      <w:r w:rsidR="00601F08">
        <w:t xml:space="preserve">2024 inclusivement. </w:t>
      </w:r>
      <w:r>
        <w:t>Il reçoit un courriel à cet effet de monsieur</w:t>
      </w:r>
      <w:r w:rsidR="000A6392">
        <w:t> </w:t>
      </w:r>
      <w:r>
        <w:t>Agostino</w:t>
      </w:r>
      <w:r w:rsidR="00191DE7">
        <w:t>,</w:t>
      </w:r>
      <w:r>
        <w:t xml:space="preserve"> qui l’informe également que l’employeur va le rémunérer durant la formation</w:t>
      </w:r>
      <w:r>
        <w:rPr>
          <w:rStyle w:val="Appelnotedebasdep"/>
        </w:rPr>
        <w:footnoteReference w:id="15"/>
      </w:r>
      <w:r>
        <w:t xml:space="preserve">. </w:t>
      </w:r>
    </w:p>
    <w:p w14:paraId="0798A801" w14:textId="027D54F8" w:rsidR="00D75A6E" w:rsidRDefault="00D75A6E" w:rsidP="00CB6086">
      <w:pPr>
        <w:pStyle w:val="corpsdedcision"/>
      </w:pPr>
      <w:r>
        <w:t>Peu de temps avant la formation, le travailleur est informé par l’employeur que ce dernier n’a pas l’intention de le rémunérer, puisqu’il a déjà payé pour la formation du premier représentant en santé et en sécurité</w:t>
      </w:r>
      <w:r w:rsidR="00191DE7">
        <w:t>,</w:t>
      </w:r>
      <w:r>
        <w:t xml:space="preserve"> </w:t>
      </w:r>
      <w:r w:rsidR="001A29ED">
        <w:t xml:space="preserve">lequel </w:t>
      </w:r>
      <w:r>
        <w:t>a décidé de quitter. Le 24</w:t>
      </w:r>
      <w:r w:rsidR="000A6392">
        <w:t> </w:t>
      </w:r>
      <w:r>
        <w:t>avril</w:t>
      </w:r>
      <w:r w:rsidR="000A6392">
        <w:t> </w:t>
      </w:r>
      <w:r>
        <w:t>2024, monsieur</w:t>
      </w:r>
      <w:r w:rsidR="000A6392">
        <w:t> </w:t>
      </w:r>
      <w:r>
        <w:t>Agostino transmet un courriel à l’employeur l’informant qu’il doit payer le salaire du</w:t>
      </w:r>
      <w:r w:rsidR="000A6392">
        <w:t> </w:t>
      </w:r>
      <w:r>
        <w:t>travailleur, que c’est « </w:t>
      </w:r>
      <w:r w:rsidRPr="00D75A6E">
        <w:rPr>
          <w:rStyle w:val="Citationintgre"/>
        </w:rPr>
        <w:t>prévu dans la loi</w:t>
      </w:r>
      <w:r>
        <w:t xml:space="preserve"> » et que si ce n’est pas fait, il déposera une plainte à la Commission. </w:t>
      </w:r>
    </w:p>
    <w:p w14:paraId="40818AF2" w14:textId="5F56329F" w:rsidR="00D75A6E" w:rsidRDefault="00D75A6E" w:rsidP="00CB6086">
      <w:pPr>
        <w:pStyle w:val="corpsdedcision"/>
      </w:pPr>
      <w:r>
        <w:t>Comme prévu, le travailleur participe à la formation entre le 29</w:t>
      </w:r>
      <w:r w:rsidR="00BC5AA1">
        <w:t> </w:t>
      </w:r>
      <w:r>
        <w:t>avril</w:t>
      </w:r>
      <w:r w:rsidR="00BC5AA1">
        <w:t> </w:t>
      </w:r>
      <w:r>
        <w:t>2024 et le 3</w:t>
      </w:r>
      <w:r w:rsidR="00471D47">
        <w:t> </w:t>
      </w:r>
      <w:r>
        <w:t>mai</w:t>
      </w:r>
      <w:r w:rsidR="00BC5AA1">
        <w:t> </w:t>
      </w:r>
      <w:r>
        <w:t>2024. Il obtient son attestation de formation comme représentant en santé et en sécurité – Temps plein</w:t>
      </w:r>
      <w:r>
        <w:rPr>
          <w:rStyle w:val="Appelnotedebasdep"/>
        </w:rPr>
        <w:footnoteReference w:id="16"/>
      </w:r>
      <w:r>
        <w:t xml:space="preserve">. Quelques jours plus tard, constatant que l’employeur ne l’a </w:t>
      </w:r>
      <w:r w:rsidR="00471D47">
        <w:t>p</w:t>
      </w:r>
      <w:r>
        <w:t>as rémunéré pour les journées où il était en formation, il dépose une plainte en vertu de l’article</w:t>
      </w:r>
      <w:r w:rsidR="00BC5AA1">
        <w:t> </w:t>
      </w:r>
      <w:r>
        <w:t>227 de la LSST, formulaire qu’il signe le 13</w:t>
      </w:r>
      <w:r w:rsidR="00BC5AA1">
        <w:t> </w:t>
      </w:r>
      <w:r>
        <w:t>mai</w:t>
      </w:r>
      <w:r w:rsidR="00BC5AA1">
        <w:t> </w:t>
      </w:r>
      <w:r>
        <w:t>2024.</w:t>
      </w:r>
    </w:p>
    <w:p w14:paraId="0AD5C45F" w14:textId="4DC8A36C" w:rsidR="00CB6086" w:rsidRDefault="00BC42AB" w:rsidP="00D75A6E">
      <w:pPr>
        <w:pStyle w:val="corpsdedcision"/>
      </w:pPr>
      <w:r>
        <w:t>Puis, l</w:t>
      </w:r>
      <w:r w:rsidR="00D75A6E">
        <w:t xml:space="preserve">e travailleur explique être demeuré sur ce chantier comme représentant en santé et en sécurité jusqu’à la fin du mois de novembre 2024. Il </w:t>
      </w:r>
      <w:r w:rsidR="00634C5D">
        <w:t>quitte</w:t>
      </w:r>
      <w:r w:rsidR="00D75A6E">
        <w:t xml:space="preserve"> ensuite pour aller travailler sur un autre chantier en Gaspésie.</w:t>
      </w:r>
    </w:p>
    <w:p w14:paraId="4D89FB7E" w14:textId="2CD76C7D" w:rsidR="009B20F2" w:rsidRDefault="00634C5D" w:rsidP="007A6F29">
      <w:pPr>
        <w:pStyle w:val="corpsdedcision"/>
      </w:pPr>
      <w:r>
        <w:t xml:space="preserve">L’employeur </w:t>
      </w:r>
      <w:r w:rsidR="00471D47">
        <w:t xml:space="preserve">plaide que puisque le travailleur n’est pas encore formé lorsqu’il s’absente, il n’exerce pas </w:t>
      </w:r>
      <w:r w:rsidR="00BC42AB">
        <w:t>à ce moment</w:t>
      </w:r>
      <w:r w:rsidR="00471D47">
        <w:t xml:space="preserve"> la fonction de représentant en santé et en sécurité. Bien que monsieur Agostino témoigne qu’il dispose d’un délai de 120</w:t>
      </w:r>
      <w:r w:rsidR="00BC5AA1">
        <w:t> </w:t>
      </w:r>
      <w:r w:rsidR="00471D47">
        <w:t>jours à</w:t>
      </w:r>
      <w:r w:rsidR="00191DE7">
        <w:t> </w:t>
      </w:r>
      <w:r w:rsidR="00471D47">
        <w:t>la</w:t>
      </w:r>
      <w:r w:rsidR="00191DE7">
        <w:t> </w:t>
      </w:r>
      <w:r w:rsidR="00471D47">
        <w:t xml:space="preserve">suite de la désignation pour </w:t>
      </w:r>
      <w:r w:rsidR="007A6F29">
        <w:t xml:space="preserve">lui </w:t>
      </w:r>
      <w:r w:rsidR="00471D47">
        <w:t>donner la formatio</w:t>
      </w:r>
      <w:r w:rsidR="007A6F29">
        <w:t>n, l</w:t>
      </w:r>
      <w:r w:rsidR="009B20F2">
        <w:t xml:space="preserve">’employeur argumente qu’il ne s’agit là que d’une politique, puisque ce délai est </w:t>
      </w:r>
      <w:r w:rsidR="00BC42AB">
        <w:t>mentionné</w:t>
      </w:r>
      <w:r w:rsidR="009B20F2">
        <w:t xml:space="preserve"> </w:t>
      </w:r>
      <w:r w:rsidR="00BC42AB">
        <w:t>à un</w:t>
      </w:r>
      <w:r w:rsidR="009B20F2">
        <w:t xml:space="preserve"> projet de règlement et</w:t>
      </w:r>
      <w:r w:rsidR="00191DE7">
        <w:t> </w:t>
      </w:r>
      <w:r w:rsidR="009B20F2">
        <w:t>que l’entrée en vigueur de celui-ci n’est prévue que pour le 1</w:t>
      </w:r>
      <w:r w:rsidR="009B20F2" w:rsidRPr="007A6F29">
        <w:rPr>
          <w:vertAlign w:val="superscript"/>
        </w:rPr>
        <w:t>er</w:t>
      </w:r>
      <w:r w:rsidR="00BC5AA1">
        <w:t> </w:t>
      </w:r>
      <w:r w:rsidR="009B20F2">
        <w:t>octobre</w:t>
      </w:r>
      <w:r w:rsidR="00BC5AA1">
        <w:t> </w:t>
      </w:r>
      <w:r w:rsidR="009B20F2">
        <w:t>2025.</w:t>
      </w:r>
    </w:p>
    <w:p w14:paraId="2CFB319A" w14:textId="03CCCE46" w:rsidR="009B20F2" w:rsidRDefault="009B20F2" w:rsidP="00D63DD5">
      <w:pPr>
        <w:pStyle w:val="corpsdedcision"/>
        <w:keepLines/>
      </w:pPr>
      <w:r>
        <w:t xml:space="preserve">À ce sujet, le Tribunal constate que le projet de règlement auquel semble référer l’employeur est celui visant les mécanismes de prévention et de participation </w:t>
      </w:r>
      <w:r w:rsidRPr="009B20F2">
        <w:rPr>
          <w:u w:val="single"/>
        </w:rPr>
        <w:t>en</w:t>
      </w:r>
      <w:r w:rsidR="001A29ED">
        <w:rPr>
          <w:u w:val="single"/>
        </w:rPr>
        <w:t> </w:t>
      </w:r>
      <w:r w:rsidRPr="009B20F2">
        <w:rPr>
          <w:u w:val="single"/>
        </w:rPr>
        <w:t>établissement</w:t>
      </w:r>
      <w:r w:rsidRPr="009B20F2">
        <w:rPr>
          <w:rStyle w:val="Appelnotedebasdep"/>
        </w:rPr>
        <w:footnoteReference w:id="17"/>
      </w:r>
      <w:r>
        <w:t>. Or, le Tribunal rappelle que celui visant les mécanismes de prévention propres à un chantier de construction est</w:t>
      </w:r>
      <w:r w:rsidR="00191DE7">
        <w:t>,</w:t>
      </w:r>
      <w:r>
        <w:t xml:space="preserve"> quant à lui</w:t>
      </w:r>
      <w:r w:rsidR="00191DE7">
        <w:t>,</w:t>
      </w:r>
      <w:r>
        <w:t xml:space="preserve"> déjà en vigueur</w:t>
      </w:r>
      <w:r w:rsidR="0038083E">
        <w:t xml:space="preserve"> au moment des faits pertinents.</w:t>
      </w:r>
    </w:p>
    <w:p w14:paraId="36157D78" w14:textId="5F648107" w:rsidR="009B20F2" w:rsidRDefault="009B20F2" w:rsidP="00BC5AA1">
      <w:pPr>
        <w:pStyle w:val="corpsdedcision"/>
        <w:keepNext/>
        <w:keepLines/>
      </w:pPr>
      <w:r>
        <w:t>Cela dit, aucun délai n’est précisé quant au délai accordé pour suivre la formation en question</w:t>
      </w:r>
      <w:r w:rsidR="0038083E">
        <w:t xml:space="preserve"> lorsqu’il s’agit d’un représentant en santé et en sécurité désigné sur un chantier de construction</w:t>
      </w:r>
      <w:r>
        <w:t>, mais un fait demeure pour le Tribunal</w:t>
      </w:r>
      <w:r w:rsidR="0038083E">
        <w:t> : l</w:t>
      </w:r>
      <w:r>
        <w:t>e type de désignation d’un représentant en santé et en sécurité se fait selon les articles 209 et 212.1 de la</w:t>
      </w:r>
      <w:r w:rsidR="00191DE7">
        <w:t> </w:t>
      </w:r>
      <w:r>
        <w:t xml:space="preserve">LSST et que </w:t>
      </w:r>
      <w:r w:rsidR="00AF0334">
        <w:t xml:space="preserve">c’est </w:t>
      </w:r>
      <w:r>
        <w:t xml:space="preserve">le nombre de travailleurs de la construction présents sur un chantier </w:t>
      </w:r>
      <w:r w:rsidR="00AF0334">
        <w:t xml:space="preserve">ou encore le coût total des travaux </w:t>
      </w:r>
      <w:r>
        <w:t xml:space="preserve">qui </w:t>
      </w:r>
      <w:r w:rsidR="0038083E">
        <w:t xml:space="preserve">en </w:t>
      </w:r>
      <w:r>
        <w:t xml:space="preserve">déterminera le nombre et s’ils doivent </w:t>
      </w:r>
      <w:r w:rsidR="0038083E">
        <w:t xml:space="preserve">affectés </w:t>
      </w:r>
      <w:r>
        <w:t>à temps plein</w:t>
      </w:r>
      <w:r w:rsidR="0038083E">
        <w:t xml:space="preserve"> ou pas.</w:t>
      </w:r>
      <w:r>
        <w:t xml:space="preserve"> </w:t>
      </w:r>
    </w:p>
    <w:p w14:paraId="1D0C92E5" w14:textId="076097FC" w:rsidR="00AF0334" w:rsidRDefault="00AF0334" w:rsidP="00D75A6E">
      <w:pPr>
        <w:pStyle w:val="corpsdedcision"/>
      </w:pPr>
      <w:r>
        <w:t xml:space="preserve">Le législateur précise </w:t>
      </w:r>
      <w:r w:rsidR="0038083E">
        <w:t xml:space="preserve">par ailleurs </w:t>
      </w:r>
      <w:r>
        <w:t>que les programmes de formation sont déterminés par règlement et que le représentant en santé et en sécurité peut s’absenter sans perdre de salaire pour y participer</w:t>
      </w:r>
      <w:r w:rsidR="007F2033">
        <w:rPr>
          <w:rStyle w:val="Appelnotedebasdep"/>
        </w:rPr>
        <w:footnoteReference w:id="18"/>
      </w:r>
      <w:r>
        <w:t>. Or, le Règlement prévoit que lorsqu’un représentant en santé et en sécurité est désigné conformément à l’article</w:t>
      </w:r>
      <w:r w:rsidR="00191DE7">
        <w:t> </w:t>
      </w:r>
      <w:r>
        <w:t>212.1 de la</w:t>
      </w:r>
      <w:r w:rsidR="00191DE7">
        <w:t> </w:t>
      </w:r>
      <w:r>
        <w:t>LSST, comme l</w:t>
      </w:r>
      <w:r w:rsidR="0038083E">
        <w:t>’est le</w:t>
      </w:r>
      <w:r>
        <w:t xml:space="preserve"> travailleur en l’espèce, ce dernier doit suivre une formation théorique d’une durée minimale de 40 heures.</w:t>
      </w:r>
    </w:p>
    <w:p w14:paraId="3F1EC61D" w14:textId="5A18CB9E" w:rsidR="00AF0334" w:rsidRDefault="00AF0334" w:rsidP="00AF0334">
      <w:pPr>
        <w:pStyle w:val="corpsdedcision"/>
      </w:pPr>
      <w:r>
        <w:t>Pour le Tribunal, il est manifeste que le travailleur est d</w:t>
      </w:r>
      <w:r w:rsidR="00191DE7">
        <w:t>û</w:t>
      </w:r>
      <w:r>
        <w:t>ment désigné comme représentant en santé et en sécurité</w:t>
      </w:r>
      <w:r w:rsidR="00191DE7">
        <w:t>,</w:t>
      </w:r>
      <w:r>
        <w:t xml:space="preserve"> conformément à l’article 212.1 de la LSST. De plus, la preuve est </w:t>
      </w:r>
      <w:r w:rsidR="00536A37">
        <w:t xml:space="preserve">prépondérante et </w:t>
      </w:r>
      <w:r>
        <w:t>non contredite sur le fait qu’il débute ses fonctions à ce</w:t>
      </w:r>
      <w:r w:rsidR="00191DE7">
        <w:t> </w:t>
      </w:r>
      <w:r>
        <w:t>titre chez l’employeur dès le 2</w:t>
      </w:r>
      <w:r w:rsidR="00524D97">
        <w:t> </w:t>
      </w:r>
      <w:r>
        <w:t>avril</w:t>
      </w:r>
      <w:r w:rsidR="00524D97">
        <w:t> </w:t>
      </w:r>
      <w:r w:rsidR="00191DE7">
        <w:t xml:space="preserve">2024 </w:t>
      </w:r>
      <w:r>
        <w:t xml:space="preserve">et qu’il est rémunéré par ce dernier. </w:t>
      </w:r>
      <w:r w:rsidR="00536A37">
        <w:t>Il</w:t>
      </w:r>
      <w:r w:rsidR="00191DE7">
        <w:t> </w:t>
      </w:r>
      <w:r w:rsidR="00536A37">
        <w:t>est</w:t>
      </w:r>
      <w:r w:rsidR="00191DE7">
        <w:t> </w:t>
      </w:r>
      <w:r w:rsidR="00536A37">
        <w:t xml:space="preserve">donc clair pour le Tribunal que celui-ci </w:t>
      </w:r>
      <w:r w:rsidR="0038083E">
        <w:t>exerce</w:t>
      </w:r>
      <w:r w:rsidR="00536A37">
        <w:t xml:space="preserve"> d</w:t>
      </w:r>
      <w:r w:rsidR="00524D97">
        <w:t>û</w:t>
      </w:r>
      <w:r w:rsidR="00536A37">
        <w:t>ment</w:t>
      </w:r>
      <w:r w:rsidR="0038083E">
        <w:t xml:space="preserve"> une fonction</w:t>
      </w:r>
      <w:r w:rsidR="00524D97">
        <w:t>,</w:t>
      </w:r>
      <w:r w:rsidR="0038083E">
        <w:t xml:space="preserve"> qui résulte de la</w:t>
      </w:r>
      <w:r w:rsidR="00191DE7">
        <w:t> </w:t>
      </w:r>
      <w:r w:rsidR="0038083E">
        <w:t>LSS</w:t>
      </w:r>
      <w:r w:rsidR="00536A37">
        <w:t>T</w:t>
      </w:r>
      <w:r w:rsidR="0038083E">
        <w:t>, au sens de l’article 227</w:t>
      </w:r>
      <w:r w:rsidR="00BC42AB">
        <w:t xml:space="preserve"> de cette loi</w:t>
      </w:r>
      <w:r w:rsidR="0038083E">
        <w:t>.</w:t>
      </w:r>
    </w:p>
    <w:p w14:paraId="05ACE1E7" w14:textId="51BCEBC1" w:rsidR="00AF0334" w:rsidRDefault="00AF0334" w:rsidP="00AF0334">
      <w:pPr>
        <w:pStyle w:val="corpsdedcision"/>
      </w:pPr>
      <w:r>
        <w:t xml:space="preserve">Le travailleur est donc déjà sur le chantier </w:t>
      </w:r>
      <w:r w:rsidR="00536A37">
        <w:t xml:space="preserve">de construction </w:t>
      </w:r>
      <w:r w:rsidR="00E10527">
        <w:t xml:space="preserve">des </w:t>
      </w:r>
      <w:r w:rsidR="00E10527" w:rsidRPr="00E10527">
        <w:rPr>
          <w:i/>
          <w:iCs/>
        </w:rPr>
        <w:t>Condos San Leon</w:t>
      </w:r>
      <w:r>
        <w:t xml:space="preserve"> et y exerce ses fonctions depuis environ trois semaines</w:t>
      </w:r>
      <w:r w:rsidR="00B978BB">
        <w:t>,</w:t>
      </w:r>
      <w:r>
        <w:t xml:space="preserve"> lorsqu’il s’absente pour suivre la</w:t>
      </w:r>
      <w:r w:rsidR="00B978BB">
        <w:t> </w:t>
      </w:r>
      <w:r>
        <w:t xml:space="preserve">formation exigée par la LSST et le Règlement. L’argument de l’employeur voulant qu’il ne soit pas encore représentant en santé et en sécurité à ce moment ne tient aucunement la route et doit être écarté. </w:t>
      </w:r>
    </w:p>
    <w:p w14:paraId="35E0B371" w14:textId="77777777" w:rsidR="00D63DD5" w:rsidRDefault="00DB7AD6" w:rsidP="00D63DD5">
      <w:pPr>
        <w:pStyle w:val="corpsdedcision"/>
      </w:pPr>
      <w:r>
        <w:t xml:space="preserve">Ainsi, comme le travailleur démontre de manière </w:t>
      </w:r>
      <w:r w:rsidR="00536A37">
        <w:t>prépondérante</w:t>
      </w:r>
      <w:r>
        <w:t xml:space="preserve"> avoir été victime d’une sanction en raison de l’exercice de sa fonction de représentant en santé et en</w:t>
      </w:r>
      <w:r w:rsidR="00B978BB">
        <w:t> </w:t>
      </w:r>
      <w:r>
        <w:t xml:space="preserve">sécurité, </w:t>
      </w:r>
      <w:r w:rsidR="00B370C2">
        <w:t xml:space="preserve">la présomption </w:t>
      </w:r>
      <w:r w:rsidR="00AF0239">
        <w:t>en sa faveur</w:t>
      </w:r>
      <w:r w:rsidR="00B370C2">
        <w:t xml:space="preserve"> est applicable. Il appartient maintenant à l’employeur de démontrer que la sanction l’a été</w:t>
      </w:r>
      <w:r w:rsidR="00B978BB">
        <w:t>,</w:t>
      </w:r>
      <w:r w:rsidR="00B370C2">
        <w:t xml:space="preserve"> pour une autre cause juste et suffisante. </w:t>
      </w:r>
    </w:p>
    <w:p w14:paraId="15D0BE97" w14:textId="696DD712" w:rsidR="00B370C2" w:rsidRDefault="00536A37" w:rsidP="00D63DD5">
      <w:pPr>
        <w:pStyle w:val="corpsdedcision"/>
      </w:pPr>
      <w:r>
        <w:t xml:space="preserve">Or, l’employeur ne réussit pas cette démonstration et ne se décharge donc </w:t>
      </w:r>
      <w:r w:rsidR="00B978BB">
        <w:t xml:space="preserve">pas </w:t>
      </w:r>
      <w:r>
        <w:t>du fardeau qui lui incombe.</w:t>
      </w:r>
      <w:r w:rsidR="00B370C2">
        <w:t xml:space="preserve"> </w:t>
      </w:r>
    </w:p>
    <w:p w14:paraId="3ABD4681" w14:textId="59C17AFE" w:rsidR="004A5D3A" w:rsidRDefault="004A5D3A" w:rsidP="00A47975">
      <w:pPr>
        <w:pStyle w:val="corpsdedcision"/>
      </w:pPr>
      <w:r>
        <w:t>Les termes « </w:t>
      </w:r>
      <w:r w:rsidRPr="004A5D3A">
        <w:rPr>
          <w:rStyle w:val="Citationintgre"/>
        </w:rPr>
        <w:t>un</w:t>
      </w:r>
      <w:r w:rsidR="003712DE">
        <w:rPr>
          <w:rStyle w:val="Citationintgre"/>
        </w:rPr>
        <w:t>e</w:t>
      </w:r>
      <w:r w:rsidRPr="004A5D3A">
        <w:rPr>
          <w:rStyle w:val="Citationintgre"/>
        </w:rPr>
        <w:t xml:space="preserve"> autre cause juste et suffisante</w:t>
      </w:r>
      <w:r>
        <w:t> » ont été défini</w:t>
      </w:r>
      <w:r w:rsidR="00535264">
        <w:t>s</w:t>
      </w:r>
      <w:r>
        <w:t xml:space="preserve"> par la Cour suprême du Canada comme étant une cause sérieuse</w:t>
      </w:r>
      <w:r w:rsidR="00535264">
        <w:t xml:space="preserve"> et véritable</w:t>
      </w:r>
      <w:r>
        <w:t>, par opposition à un prétexte</w:t>
      </w:r>
      <w:r>
        <w:rPr>
          <w:rStyle w:val="Appelnotedebasdep"/>
        </w:rPr>
        <w:footnoteReference w:id="19"/>
      </w:r>
      <w:r>
        <w:t xml:space="preserve">. Or, la preuve au dossier montre que la seule raison justifiant le non-paiement du salaire au travailleur par l’employeur est tout simplement qu’il n’est pas en accord avec le fait de devoir </w:t>
      </w:r>
      <w:r w:rsidR="00535264">
        <w:t>le rémunérer</w:t>
      </w:r>
      <w:r>
        <w:t xml:space="preserve"> durant sa formation.</w:t>
      </w:r>
    </w:p>
    <w:p w14:paraId="51D04537" w14:textId="0A48EE86" w:rsidR="00DB7AD6" w:rsidRDefault="00AF0239" w:rsidP="00A47975">
      <w:pPr>
        <w:pStyle w:val="corpsdedcision"/>
      </w:pPr>
      <w:r>
        <w:t>Monsieur Pat Scalia</w:t>
      </w:r>
      <w:r w:rsidR="00E10527">
        <w:t>, promoteur et entrepreneur général</w:t>
      </w:r>
      <w:r w:rsidR="00535264">
        <w:t>,</w:t>
      </w:r>
      <w:r>
        <w:t xml:space="preserve"> témoigne pour </w:t>
      </w:r>
      <w:r w:rsidR="00E10527">
        <w:t>son entreprise lors de l’audience</w:t>
      </w:r>
      <w:r>
        <w:t>. Il explique qu’avec les nouvelles dispositions législatives visant le représentant en santé et en sécurité, l’employeur n’a plus de « </w:t>
      </w:r>
      <w:r w:rsidRPr="00E10527">
        <w:rPr>
          <w:rStyle w:val="Citationintgre"/>
        </w:rPr>
        <w:t>pouvoir</w:t>
      </w:r>
      <w:r>
        <w:t> » et que c’est plutôt la centrale syndicale qu’il l’a. Il affirme que toute cette situation est nouvelle et qu’il ne s</w:t>
      </w:r>
      <w:r w:rsidR="00535264">
        <w:t>ai</w:t>
      </w:r>
      <w:r>
        <w:t xml:space="preserve">t pas trop comment gérer le tout au départ. </w:t>
      </w:r>
    </w:p>
    <w:p w14:paraId="320A4386" w14:textId="72E56A66" w:rsidR="00AF0239" w:rsidRDefault="00AF0239" w:rsidP="00A47975">
      <w:pPr>
        <w:pStyle w:val="corpsdedcision"/>
      </w:pPr>
      <w:r>
        <w:t xml:space="preserve">Monsieur Scalia mentionne que le premier représentant en santé et en sécurité nommé sur le chantier des </w:t>
      </w:r>
      <w:r w:rsidRPr="00AF0239">
        <w:rPr>
          <w:i/>
          <w:iCs/>
        </w:rPr>
        <w:t>Condos San Leon</w:t>
      </w:r>
      <w:r>
        <w:t xml:space="preserve"> </w:t>
      </w:r>
      <w:r w:rsidR="00535264">
        <w:t>l’</w:t>
      </w:r>
      <w:r>
        <w:t>a été sans formation et qu’il trouve cela « </w:t>
      </w:r>
      <w:r w:rsidRPr="00AF0239">
        <w:rPr>
          <w:rStyle w:val="Citationintgre"/>
        </w:rPr>
        <w:t>bizarre</w:t>
      </w:r>
      <w:r>
        <w:t> ». Puis, lorsque ce dernier quitte, une fois de plus</w:t>
      </w:r>
      <w:r w:rsidR="00754F8A">
        <w:t>,</w:t>
      </w:r>
      <w:r>
        <w:t xml:space="preserve"> la centrale syndicale lui impose un autre travailleur pour cette fonction. Il n’est pas d’accord avec le fait qu’un représentant en santé et en sécurité arrive sur un chantier sans formation et que ce soit à l’employeur </w:t>
      </w:r>
      <w:r w:rsidR="004A5D3A">
        <w:t>de payer son salaire lorsqu’il doit s’absenter pour la suivre</w:t>
      </w:r>
      <w:r>
        <w:t xml:space="preserve">, alors que c’est la centrale syndicale qui l’impose. </w:t>
      </w:r>
    </w:p>
    <w:p w14:paraId="15D372A0" w14:textId="76D86E47" w:rsidR="00AF0239" w:rsidRDefault="00EF5B80" w:rsidP="00A47975">
      <w:pPr>
        <w:pStyle w:val="corpsdedcision"/>
      </w:pPr>
      <w:r>
        <w:t xml:space="preserve">Le Tribunal peut concevoir qu’il s’agit de nouvelles dispositions législatives venant d’entrer en vigueur et que tant les travailleurs que les employeurs doivent s’y adapter. Manifestement, l’employeur </w:t>
      </w:r>
      <w:r w:rsidR="004A5D3A">
        <w:t>est en désaccord</w:t>
      </w:r>
      <w:r>
        <w:t xml:space="preserve"> avec le fait de ne pas avoir un certain contrôle sur la personne nommée comme représentant en santé et en sécurité sur ses chantiers. D’autant qu’en l’espèce, il a déjà déboursé le salaire pour la formation d’un autre antérieurement. </w:t>
      </w:r>
    </w:p>
    <w:p w14:paraId="1E4842C8" w14:textId="499B0C3A" w:rsidR="00EF5B80" w:rsidRDefault="00EF5B80" w:rsidP="00A47975">
      <w:pPr>
        <w:pStyle w:val="corpsdedcision"/>
      </w:pPr>
      <w:r>
        <w:t xml:space="preserve">Cela dit, </w:t>
      </w:r>
      <w:r w:rsidR="00536A37">
        <w:t>le fait de désigner et d’affecter un représentant en santé et en sécurité sur un chantier de construction est désormais</w:t>
      </w:r>
      <w:r>
        <w:t xml:space="preserve"> une obligation légale et règlementaire. Les</w:t>
      </w:r>
      <w:r w:rsidR="00893A11">
        <w:t> </w:t>
      </w:r>
      <w:r>
        <w:t>travailleurs et les employeurs doivent s’y conformer. Il y a lieu de rappeler l’objet même de la LSST :</w:t>
      </w:r>
    </w:p>
    <w:p w14:paraId="27BC82DA" w14:textId="24451190" w:rsidR="00EF5B80" w:rsidRDefault="00EF5B80" w:rsidP="00893A11">
      <w:pPr>
        <w:pStyle w:val="citation"/>
        <w:spacing w:after="200"/>
      </w:pPr>
      <w:r w:rsidRPr="0055546E">
        <w:rPr>
          <w:b/>
          <w:bCs/>
        </w:rPr>
        <w:t>2.</w:t>
      </w:r>
      <w:r>
        <w:t xml:space="preserve"> La présente loi a pour objet l’élimination à la source même des dangers pour la santé, la sécurité et l’intégrité physique et psychique des travailleurs.</w:t>
      </w:r>
    </w:p>
    <w:p w14:paraId="21CA4649" w14:textId="2578BF06" w:rsidR="00EF5B80" w:rsidRDefault="00EF5B80" w:rsidP="00BC5AA1">
      <w:pPr>
        <w:pStyle w:val="citation"/>
        <w:spacing w:after="360"/>
      </w:pPr>
      <w:r w:rsidRPr="00EF5B80">
        <w:rPr>
          <w:u w:val="single"/>
        </w:rPr>
        <w:t>Elle établit les mécanismes de participation des travailleurs et de leurs associations, ainsi que des employeurs et de leurs associations à la réalisation de cet objet</w:t>
      </w:r>
      <w:r>
        <w:t>.</w:t>
      </w:r>
    </w:p>
    <w:p w14:paraId="0C96F405" w14:textId="369C5C47" w:rsidR="00EF5B80" w:rsidRDefault="00EF5B80" w:rsidP="00EF5B80">
      <w:pPr>
        <w:pStyle w:val="corpsdedcision"/>
      </w:pPr>
      <w:r>
        <w:t xml:space="preserve">Or, le représentant en santé et en sécurité en fait partie intégrante dans le cas des chantiers de construction. Le fait pour l’employeur de ne pas être en accord avec </w:t>
      </w:r>
      <w:r w:rsidR="00C86D20">
        <w:t>c</w:t>
      </w:r>
      <w:r>
        <w:t xml:space="preserve">es dispositions ne </w:t>
      </w:r>
      <w:r w:rsidR="00C86D20">
        <w:t>peut</w:t>
      </w:r>
      <w:r>
        <w:t xml:space="preserve"> constituer une </w:t>
      </w:r>
      <w:r w:rsidR="00536A37">
        <w:t xml:space="preserve">autre </w:t>
      </w:r>
      <w:r>
        <w:t>cause juste et suffisant</w:t>
      </w:r>
      <w:r w:rsidR="00C86D20">
        <w:t>e</w:t>
      </w:r>
      <w:r>
        <w:t xml:space="preserve"> de ne pas verser le</w:t>
      </w:r>
      <w:r w:rsidR="00BC5AA1">
        <w:t> </w:t>
      </w:r>
      <w:r>
        <w:t xml:space="preserve">salaire </w:t>
      </w:r>
      <w:r w:rsidR="00C86D20">
        <w:t xml:space="preserve">au travailleur, qui exerce la fonction de représentant en santé et en sécurité, lorsqu’il s’absente pour participer à la formation obligatoire en vertu de la LSST et du Règlement. </w:t>
      </w:r>
    </w:p>
    <w:p w14:paraId="1A76603A" w14:textId="7B9DD6F4" w:rsidR="00C86D20" w:rsidRDefault="00C86D20" w:rsidP="00BC5AA1">
      <w:pPr>
        <w:pStyle w:val="corpsdedcision"/>
        <w:keepNext/>
        <w:keepLines/>
      </w:pPr>
      <w:r>
        <w:t xml:space="preserve">De plus, le fait que l’employeur ait déjà payé le salaire du premier représentant en santé et en sécurité qui avait été désigné, mais </w:t>
      </w:r>
      <w:r w:rsidR="00B14AF1">
        <w:t>qui a par la suite quitté ses fonctions,</w:t>
      </w:r>
      <w:r>
        <w:t xml:space="preserve"> ne</w:t>
      </w:r>
      <w:r w:rsidR="00893A11">
        <w:t> </w:t>
      </w:r>
      <w:r>
        <w:t xml:space="preserve">peut non plus être considéré comme une </w:t>
      </w:r>
      <w:r w:rsidR="00535264">
        <w:t xml:space="preserve">autre </w:t>
      </w:r>
      <w:r>
        <w:t xml:space="preserve">cause suffisante. En l’absence d’un représentant en santé et en sécurité sur le chantier, il était obligatoire </w:t>
      </w:r>
      <w:r w:rsidR="00535264">
        <w:t>de désigner une autre personne</w:t>
      </w:r>
      <w:r>
        <w:t>. L’article 211 de la LSST est clair, c’est à l’employeur qu’il incombe de payer le salaire lorsqu’un représentant en santé et en sécurité s’absente pour suivre la formation</w:t>
      </w:r>
      <w:r w:rsidR="00B14AF1">
        <w:t xml:space="preserve">. Il n’a aucune discrétion </w:t>
      </w:r>
      <w:r w:rsidR="00536A37">
        <w:t>à ce sujet</w:t>
      </w:r>
      <w:r w:rsidR="00B14AF1">
        <w:t>.</w:t>
      </w:r>
    </w:p>
    <w:p w14:paraId="650BCF2E" w14:textId="0B2C09DD" w:rsidR="00AF0239" w:rsidRDefault="00C86D20" w:rsidP="00AF0239">
      <w:pPr>
        <w:pStyle w:val="corpsdedcision"/>
      </w:pPr>
      <w:r>
        <w:t>Finalement, le Tribunal souligne</w:t>
      </w:r>
      <w:r w:rsidR="00AF0239">
        <w:t xml:space="preserve"> que les dispositions entourant l’exigence de la formation obligatoire </w:t>
      </w:r>
      <w:r>
        <w:t>sont</w:t>
      </w:r>
      <w:r w:rsidR="00AF0239">
        <w:t xml:space="preserve"> en vigueur depuis moins de trois mois lorsque le travailleur est</w:t>
      </w:r>
      <w:r w:rsidR="00893A11">
        <w:t> </w:t>
      </w:r>
      <w:r w:rsidR="00AF0239">
        <w:t>désigné comme représentant en santé et en sécurité. Monsieur Agostino témoigne d’ailleurs que</w:t>
      </w:r>
      <w:r w:rsidR="00016A14">
        <w:t>,</w:t>
      </w:r>
      <w:r w:rsidR="00AF0239">
        <w:t xml:space="preserve"> sur une soixantaine de représentant</w:t>
      </w:r>
      <w:r w:rsidR="00D30238">
        <w:t>s</w:t>
      </w:r>
      <w:r w:rsidR="00AF0239">
        <w:t xml:space="preserve"> en santé et en sécurité formés, </w:t>
      </w:r>
      <w:r w:rsidR="007A6F29">
        <w:t>le</w:t>
      </w:r>
      <w:r w:rsidR="00893A11">
        <w:t> </w:t>
      </w:r>
      <w:r w:rsidR="007A6F29">
        <w:t>présent dossier est</w:t>
      </w:r>
      <w:r w:rsidR="00AF0239">
        <w:t xml:space="preserve"> le seul cas où un </w:t>
      </w:r>
      <w:r w:rsidR="007A6F29">
        <w:t>travailleur</w:t>
      </w:r>
      <w:r w:rsidR="00E10527">
        <w:t xml:space="preserve"> </w:t>
      </w:r>
      <w:r w:rsidR="00AF0239">
        <w:t>n’a pas été payé par l’employeur</w:t>
      </w:r>
      <w:r w:rsidR="00E10527">
        <w:t xml:space="preserve"> lors</w:t>
      </w:r>
      <w:r w:rsidR="00893A11">
        <w:t> </w:t>
      </w:r>
      <w:r w:rsidR="00E10527">
        <w:t>de</w:t>
      </w:r>
      <w:r w:rsidR="00893A11">
        <w:t> </w:t>
      </w:r>
      <w:r w:rsidR="00E10527">
        <w:t xml:space="preserve">son absence pour assister à la formation </w:t>
      </w:r>
      <w:r w:rsidR="00535264">
        <w:t>théorique</w:t>
      </w:r>
      <w:r w:rsidR="00AF0239">
        <w:t>.</w:t>
      </w:r>
    </w:p>
    <w:p w14:paraId="0B8E4364" w14:textId="433FF923" w:rsidR="00BD3541" w:rsidRPr="00B51F99" w:rsidRDefault="00C86D20" w:rsidP="00BC5AA1">
      <w:pPr>
        <w:pStyle w:val="corpsdedcision"/>
      </w:pPr>
      <w:r>
        <w:t xml:space="preserve">Pour l’ensemble de ces motifs, le Tribunal considère que la plainte </w:t>
      </w:r>
      <w:r w:rsidR="00E10527">
        <w:t>est b</w:t>
      </w:r>
      <w:r w:rsidR="00893A11">
        <w:t>i</w:t>
      </w:r>
      <w:r w:rsidR="00E10527">
        <w:t xml:space="preserve">en fondée et que la contestation </w:t>
      </w:r>
      <w:r>
        <w:t>doit être accueillie</w:t>
      </w:r>
      <w:r w:rsidR="00E10527">
        <w:t>.</w:t>
      </w:r>
      <w:r>
        <w:t xml:space="preserve"> </w:t>
      </w:r>
      <w:r w:rsidR="00E10527">
        <w:t>I</w:t>
      </w:r>
      <w:r>
        <w:t>l y a lieu d’ordonner</w:t>
      </w:r>
      <w:r w:rsidR="007012F1">
        <w:t xml:space="preserve"> à l’employeur de </w:t>
      </w:r>
      <w:r w:rsidR="00BD3541">
        <w:t>vers</w:t>
      </w:r>
      <w:r w:rsidR="007012F1">
        <w:t>er au travailleur son salaire pour la période du 29 avril 2024 au 3</w:t>
      </w:r>
      <w:r w:rsidR="00893A11">
        <w:t> </w:t>
      </w:r>
      <w:r w:rsidR="007012F1">
        <w:t>mai</w:t>
      </w:r>
      <w:r w:rsidR="00893A11">
        <w:t> </w:t>
      </w:r>
      <w:r w:rsidR="007012F1">
        <w:t>2024</w:t>
      </w:r>
      <w:r w:rsidR="007F2033">
        <w:t xml:space="preserve"> inclusivement</w:t>
      </w:r>
      <w:r w:rsidR="00BD3541">
        <w:t>, et ce, dans les huit</w:t>
      </w:r>
      <w:r w:rsidR="00893A11">
        <w:t> </w:t>
      </w:r>
      <w:r w:rsidR="00BD3541">
        <w:t>jours de la notification de la présente décision, comme le prévoit l’article</w:t>
      </w:r>
      <w:r w:rsidR="00893A11">
        <w:t> </w:t>
      </w:r>
      <w:r w:rsidR="00BD3541">
        <w:t>263 de la</w:t>
      </w:r>
      <w:r w:rsidR="00893A11">
        <w:t> </w:t>
      </w:r>
      <w:r w:rsidR="00BD3541">
        <w:t>LATMP, appliqué par le Tribunal</w:t>
      </w:r>
      <w:r w:rsidR="00FD79BF">
        <w:t xml:space="preserve"> lorsque l’ordonnance vise le paiement </w:t>
      </w:r>
      <w:r w:rsidR="002A70EE">
        <w:t>du salaire</w:t>
      </w:r>
      <w:r w:rsidR="00BD3541">
        <w:rPr>
          <w:rStyle w:val="Appelnotedebasdep"/>
        </w:rPr>
        <w:footnoteReference w:id="20"/>
      </w:r>
      <w:r w:rsidR="00BD3541">
        <w:t>.</w:t>
      </w:r>
    </w:p>
    <w:p w14:paraId="0ECE5EE8" w14:textId="77777777" w:rsidR="00C74B6F" w:rsidRDefault="00C74B6F" w:rsidP="00BC5AA1">
      <w:pPr>
        <w:pStyle w:val="Dispositif"/>
      </w:pPr>
      <w:r>
        <w:rPr>
          <w:b/>
        </w:rPr>
        <w:t>P</w:t>
      </w:r>
      <w:r w:rsidR="00401325">
        <w:rPr>
          <w:b/>
        </w:rPr>
        <w:t>AR</w:t>
      </w:r>
      <w:r w:rsidR="00D07FA6">
        <w:rPr>
          <w:b/>
        </w:rPr>
        <w:t xml:space="preserve"> CES MOTIFS, LE TRIBUNAL ADMINISTRATIF DU TRAVAIL</w:t>
      </w:r>
      <w:r>
        <w:rPr>
          <w:b/>
        </w:rPr>
        <w:t> :</w:t>
      </w:r>
    </w:p>
    <w:p w14:paraId="4B7C4CB4" w14:textId="7FC2D011" w:rsidR="00240563" w:rsidRDefault="00240563" w:rsidP="00BC5AA1">
      <w:pPr>
        <w:pStyle w:val="Dispositif"/>
      </w:pPr>
      <w:r>
        <w:rPr>
          <w:b/>
        </w:rPr>
        <w:t>ACCUEILLE</w:t>
      </w:r>
      <w:r>
        <w:t xml:space="preserve"> la contestation de monsieur Marc Coulombe, le travailleur;</w:t>
      </w:r>
    </w:p>
    <w:p w14:paraId="7A977C90" w14:textId="4D73ECB8" w:rsidR="00240563" w:rsidRPr="002719D0" w:rsidRDefault="00240563" w:rsidP="00BC5AA1">
      <w:pPr>
        <w:pStyle w:val="Dispositif"/>
      </w:pPr>
      <w:r>
        <w:rPr>
          <w:b/>
        </w:rPr>
        <w:t>IN</w:t>
      </w:r>
      <w:r w:rsidRPr="00674965">
        <w:rPr>
          <w:b/>
        </w:rPr>
        <w:t>FIRME</w:t>
      </w:r>
      <w:r>
        <w:t xml:space="preserve"> la</w:t>
      </w:r>
      <w:r w:rsidRPr="00674965">
        <w:t xml:space="preserve"> décision </w:t>
      </w:r>
      <w:r>
        <w:t>rendue par la médiatrice-décideuse de la Commission des </w:t>
      </w:r>
      <w:r w:rsidRPr="00674965">
        <w:t xml:space="preserve">normes, </w:t>
      </w:r>
      <w:r w:rsidRPr="002719D0">
        <w:t>de l’équité, de la santé et de la sécurité du travail le</w:t>
      </w:r>
      <w:r w:rsidR="00893A11">
        <w:t xml:space="preserve"> </w:t>
      </w:r>
      <w:r w:rsidRPr="002719D0">
        <w:t>7</w:t>
      </w:r>
      <w:r w:rsidR="00893A11">
        <w:t> </w:t>
      </w:r>
      <w:r w:rsidRPr="002719D0">
        <w:t>janvier</w:t>
      </w:r>
      <w:r w:rsidR="00893A11">
        <w:t> </w:t>
      </w:r>
      <w:r w:rsidRPr="002719D0">
        <w:t>2025;</w:t>
      </w:r>
    </w:p>
    <w:p w14:paraId="3E5FBF85" w14:textId="7B522E98" w:rsidR="002719D0" w:rsidRPr="002719D0" w:rsidRDefault="002719D0" w:rsidP="00BC5AA1">
      <w:pPr>
        <w:pStyle w:val="Dispositif"/>
      </w:pPr>
      <w:r w:rsidRPr="002719D0">
        <w:rPr>
          <w:b/>
          <w:bCs/>
        </w:rPr>
        <w:t>DÉCLARE</w:t>
      </w:r>
      <w:r w:rsidR="00BC5AA1">
        <w:t xml:space="preserve"> </w:t>
      </w:r>
      <w:r w:rsidRPr="002719D0">
        <w:t xml:space="preserve">que </w:t>
      </w:r>
      <w:r>
        <w:t>le travailleur</w:t>
      </w:r>
      <w:r w:rsidRPr="002719D0">
        <w:t xml:space="preserve"> a fait l’objet d’une sanction à cause de l’exercice d’un</w:t>
      </w:r>
      <w:r w:rsidR="00EE08CE">
        <w:t>e</w:t>
      </w:r>
      <w:r w:rsidRPr="002719D0">
        <w:t xml:space="preserve"> </w:t>
      </w:r>
      <w:r w:rsidR="00EE08CE">
        <w:t xml:space="preserve">fonction qui lui résulte de </w:t>
      </w:r>
      <w:r w:rsidRPr="002719D0">
        <w:t xml:space="preserve">la </w:t>
      </w:r>
      <w:r w:rsidRPr="002719D0">
        <w:rPr>
          <w:i/>
          <w:iCs/>
        </w:rPr>
        <w:t>Loi sur la santé et la sécurité du travail</w:t>
      </w:r>
      <w:r>
        <w:t>;</w:t>
      </w:r>
    </w:p>
    <w:p w14:paraId="28120406" w14:textId="5C2AC078" w:rsidR="00C74B6F" w:rsidRDefault="002719D0" w:rsidP="00BC5AA1">
      <w:pPr>
        <w:pStyle w:val="Dispositif"/>
        <w:spacing w:after="1400"/>
      </w:pPr>
      <w:r w:rsidRPr="002719D0">
        <w:rPr>
          <w:b/>
          <w:bCs/>
        </w:rPr>
        <w:t>ORDONNE</w:t>
      </w:r>
      <w:r w:rsidR="00BC5AA1">
        <w:t xml:space="preserve"> </w:t>
      </w:r>
      <w:r>
        <w:t>à l’entreprise 9075-1538 Québec inc.</w:t>
      </w:r>
      <w:r w:rsidRPr="002719D0">
        <w:t xml:space="preserve">, l’employeur, de verser </w:t>
      </w:r>
      <w:r>
        <w:t>au travailleur</w:t>
      </w:r>
      <w:r w:rsidRPr="002719D0">
        <w:t>, dans les huit (8) jours de la notification de la présente décision</w:t>
      </w:r>
      <w:r w:rsidR="00685641">
        <w:t>,</w:t>
      </w:r>
      <w:r>
        <w:t xml:space="preserve"> le salaire </w:t>
      </w:r>
      <w:r w:rsidR="00893A11">
        <w:t xml:space="preserve">dû </w:t>
      </w:r>
      <w:r>
        <w:t>pour la période du 29 avril 2024 au 3 mai 2024 inclusivement</w:t>
      </w:r>
      <w:r w:rsidR="00BD3541">
        <w:t>.</w:t>
      </w: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5664AF6C" w14:textId="77777777">
        <w:tc>
          <w:tcPr>
            <w:tcW w:w="4795" w:type="dxa"/>
          </w:tcPr>
          <w:p w14:paraId="56312D6D" w14:textId="77777777" w:rsidR="00C74B6F" w:rsidRDefault="00C74B6F"/>
        </w:tc>
        <w:tc>
          <w:tcPr>
            <w:tcW w:w="4795" w:type="dxa"/>
          </w:tcPr>
          <w:p w14:paraId="37A880DF" w14:textId="77777777" w:rsidR="00C74B6F" w:rsidRDefault="00C74B6F">
            <w:bookmarkStart w:id="18" w:name="signature"/>
            <w:bookmarkEnd w:id="18"/>
            <w:r>
              <w:t>__________________________________</w:t>
            </w:r>
          </w:p>
        </w:tc>
      </w:tr>
      <w:tr w:rsidR="00C74B6F" w14:paraId="085BC9F2" w14:textId="77777777">
        <w:tc>
          <w:tcPr>
            <w:tcW w:w="4795" w:type="dxa"/>
          </w:tcPr>
          <w:p w14:paraId="6FAA95DA" w14:textId="77777777" w:rsidR="00C74B6F" w:rsidRDefault="00C74B6F"/>
        </w:tc>
        <w:tc>
          <w:tcPr>
            <w:tcW w:w="4795" w:type="dxa"/>
          </w:tcPr>
          <w:p w14:paraId="7E43C14E" w14:textId="0FFEC8C3" w:rsidR="00C74B6F" w:rsidRDefault="00697397">
            <w:r>
              <w:t xml:space="preserve">Marie-Anne Lecavalier </w:t>
            </w:r>
          </w:p>
        </w:tc>
      </w:tr>
      <w:tr w:rsidR="00C74B6F" w14:paraId="0B6CD559" w14:textId="77777777">
        <w:trPr>
          <w:cantSplit/>
        </w:trPr>
        <w:tc>
          <w:tcPr>
            <w:tcW w:w="9590" w:type="dxa"/>
            <w:gridSpan w:val="2"/>
          </w:tcPr>
          <w:p w14:paraId="445EFF16" w14:textId="77777777" w:rsidR="00C74B6F" w:rsidRDefault="00C74B6F"/>
        </w:tc>
      </w:tr>
      <w:tr w:rsidR="00C74B6F" w14:paraId="0E5D90DB" w14:textId="77777777">
        <w:trPr>
          <w:cantSplit/>
        </w:trPr>
        <w:tc>
          <w:tcPr>
            <w:tcW w:w="9590" w:type="dxa"/>
            <w:gridSpan w:val="2"/>
          </w:tcPr>
          <w:p w14:paraId="69416F73" w14:textId="77777777" w:rsidR="00C74B6F" w:rsidRPr="00C912F9" w:rsidRDefault="00C74B6F" w:rsidP="00EC5C8D">
            <w:pPr>
              <w:tabs>
                <w:tab w:val="left" w:pos="1592"/>
              </w:tabs>
            </w:pPr>
          </w:p>
        </w:tc>
      </w:tr>
      <w:tr w:rsidR="00C74B6F" w14:paraId="08FE7638" w14:textId="77777777">
        <w:trPr>
          <w:cantSplit/>
        </w:trPr>
        <w:tc>
          <w:tcPr>
            <w:tcW w:w="9590" w:type="dxa"/>
            <w:gridSpan w:val="2"/>
          </w:tcPr>
          <w:p w14:paraId="368AE1A0" w14:textId="77777777" w:rsidR="00C74B6F" w:rsidRDefault="00C74B6F"/>
        </w:tc>
      </w:tr>
      <w:tr w:rsidR="00C74B6F" w14:paraId="35C6E1F1" w14:textId="77777777">
        <w:trPr>
          <w:cantSplit/>
        </w:trPr>
        <w:tc>
          <w:tcPr>
            <w:tcW w:w="9590" w:type="dxa"/>
            <w:gridSpan w:val="2"/>
          </w:tcPr>
          <w:p w14:paraId="03322520" w14:textId="3D9ED333" w:rsidR="00C74B6F" w:rsidRDefault="00697397">
            <w:pPr>
              <w:pStyle w:val="zSoquijdatNomProcureurDem"/>
            </w:pPr>
            <w:r>
              <w:t>M</w:t>
            </w:r>
            <w:r w:rsidRPr="00697397">
              <w:rPr>
                <w:vertAlign w:val="superscript"/>
              </w:rPr>
              <w:t>e</w:t>
            </w:r>
            <w:r w:rsidR="00F30267">
              <w:t xml:space="preserve"> </w:t>
            </w:r>
            <w:r>
              <w:t>Isabelle Laurin</w:t>
            </w:r>
          </w:p>
        </w:tc>
      </w:tr>
      <w:tr w:rsidR="00C74B6F" w14:paraId="29B42CF5" w14:textId="77777777">
        <w:trPr>
          <w:cantSplit/>
        </w:trPr>
        <w:tc>
          <w:tcPr>
            <w:tcW w:w="9590" w:type="dxa"/>
            <w:gridSpan w:val="2"/>
          </w:tcPr>
          <w:p w14:paraId="29D69F90" w14:textId="69F7768D" w:rsidR="00C74B6F" w:rsidRDefault="00697397">
            <w:pPr>
              <w:pStyle w:val="zSoquijdatCabinetProcureurDem"/>
            </w:pPr>
            <w:r>
              <w:t>CENTRALE DES SYNDICATS DÉMOCRATIQUES</w:t>
            </w:r>
          </w:p>
        </w:tc>
      </w:tr>
      <w:tr w:rsidR="00C74B6F" w14:paraId="6C4AC59E" w14:textId="77777777">
        <w:trPr>
          <w:cantSplit/>
        </w:trPr>
        <w:tc>
          <w:tcPr>
            <w:tcW w:w="9590" w:type="dxa"/>
            <w:gridSpan w:val="2"/>
          </w:tcPr>
          <w:p w14:paraId="002D7E16" w14:textId="77777777" w:rsidR="00C74B6F" w:rsidRDefault="00CB05A7">
            <w:pPr>
              <w:pStyle w:val="zSoquijlblProcureurDem"/>
            </w:pPr>
            <w:r>
              <w:t>Pour la partie demanderesse</w:t>
            </w:r>
          </w:p>
        </w:tc>
      </w:tr>
      <w:tr w:rsidR="00C74B6F" w14:paraId="19681243" w14:textId="77777777">
        <w:trPr>
          <w:cantSplit/>
        </w:trPr>
        <w:tc>
          <w:tcPr>
            <w:tcW w:w="9590" w:type="dxa"/>
            <w:gridSpan w:val="2"/>
          </w:tcPr>
          <w:p w14:paraId="0B8C1E03" w14:textId="77777777" w:rsidR="00C74B6F" w:rsidRDefault="00C74B6F"/>
        </w:tc>
      </w:tr>
      <w:tr w:rsidR="00C74B6F" w14:paraId="0BE3E76A" w14:textId="77777777">
        <w:trPr>
          <w:cantSplit/>
        </w:trPr>
        <w:tc>
          <w:tcPr>
            <w:tcW w:w="9590" w:type="dxa"/>
            <w:gridSpan w:val="2"/>
          </w:tcPr>
          <w:p w14:paraId="48915E85" w14:textId="70BBFFF4" w:rsidR="00C74B6F" w:rsidRDefault="00697397">
            <w:pPr>
              <w:pStyle w:val="zSoquijdatNomProcureurDef"/>
            </w:pPr>
            <w:r>
              <w:t>M</w:t>
            </w:r>
            <w:r w:rsidRPr="00697397">
              <w:rPr>
                <w:vertAlign w:val="superscript"/>
              </w:rPr>
              <w:t>e</w:t>
            </w:r>
            <w:r w:rsidR="00F30267">
              <w:t xml:space="preserve"> </w:t>
            </w:r>
            <w:r>
              <w:t>Anas Qiabi</w:t>
            </w:r>
          </w:p>
        </w:tc>
      </w:tr>
      <w:tr w:rsidR="00C74B6F" w:rsidRPr="007945A4" w14:paraId="25B4D81F" w14:textId="77777777">
        <w:trPr>
          <w:cantSplit/>
        </w:trPr>
        <w:tc>
          <w:tcPr>
            <w:tcW w:w="9590" w:type="dxa"/>
            <w:gridSpan w:val="2"/>
          </w:tcPr>
          <w:p w14:paraId="413191D8" w14:textId="71576A8C" w:rsidR="00C74B6F" w:rsidRPr="00697397" w:rsidRDefault="00697397">
            <w:pPr>
              <w:pStyle w:val="zSoquijdatCabinetProcureurDef"/>
              <w:rPr>
                <w:lang w:val="en-CA"/>
              </w:rPr>
            </w:pPr>
            <w:r w:rsidRPr="00697397">
              <w:rPr>
                <w:lang w:val="en-CA"/>
              </w:rPr>
              <w:t>GATTUSO BOUCHARD MAZZONE S.E</w:t>
            </w:r>
            <w:r>
              <w:rPr>
                <w:lang w:val="en-CA"/>
              </w:rPr>
              <w:t>.N.C.R.L.</w:t>
            </w:r>
          </w:p>
        </w:tc>
      </w:tr>
      <w:tr w:rsidR="00C74B6F" w14:paraId="4EB01E25" w14:textId="77777777">
        <w:trPr>
          <w:cantSplit/>
        </w:trPr>
        <w:tc>
          <w:tcPr>
            <w:tcW w:w="9590" w:type="dxa"/>
            <w:gridSpan w:val="2"/>
          </w:tcPr>
          <w:p w14:paraId="25D3F022" w14:textId="7C1772F8" w:rsidR="00C74B6F" w:rsidRDefault="00CB05A7">
            <w:pPr>
              <w:pStyle w:val="zSoquijlblProcureurDef"/>
            </w:pPr>
            <w:r>
              <w:t xml:space="preserve">Pour la partie </w:t>
            </w:r>
            <w:r w:rsidR="00697397">
              <w:t>mise en cause</w:t>
            </w:r>
          </w:p>
        </w:tc>
      </w:tr>
      <w:tr w:rsidR="007569DE" w14:paraId="5C123C40" w14:textId="77777777">
        <w:trPr>
          <w:cantSplit/>
        </w:trPr>
        <w:tc>
          <w:tcPr>
            <w:tcW w:w="9590" w:type="dxa"/>
            <w:gridSpan w:val="2"/>
          </w:tcPr>
          <w:p w14:paraId="55814A75" w14:textId="77777777" w:rsidR="007569DE" w:rsidRDefault="007569DE"/>
        </w:tc>
      </w:tr>
      <w:tr w:rsidR="00C15A3F" w14:paraId="31FD912D" w14:textId="77777777">
        <w:trPr>
          <w:cantSplit/>
        </w:trPr>
        <w:tc>
          <w:tcPr>
            <w:tcW w:w="9590" w:type="dxa"/>
            <w:gridSpan w:val="2"/>
          </w:tcPr>
          <w:p w14:paraId="2B4C87AC" w14:textId="36BA8D80" w:rsidR="00C15A3F" w:rsidRDefault="00C15A3F" w:rsidP="000E56A6">
            <w:pPr>
              <w:pStyle w:val="zSoquijdatDateAudience"/>
            </w:pPr>
            <w:bookmarkStart w:id="19" w:name="Date_derniere_audience"/>
            <w:bookmarkEnd w:id="19"/>
            <w:r>
              <w:t xml:space="preserve">Date de la </w:t>
            </w:r>
            <w:r w:rsidR="00CC6338">
              <w:t>mise en délibéré</w:t>
            </w:r>
            <w:r>
              <w:t> :</w:t>
            </w:r>
            <w:r w:rsidR="00597016">
              <w:tab/>
            </w:r>
            <w:r w:rsidR="00697397">
              <w:t>28 mai 2025</w:t>
            </w:r>
          </w:p>
        </w:tc>
      </w:tr>
    </w:tbl>
    <w:p w14:paraId="796AFC32" w14:textId="77777777" w:rsidR="002542E0" w:rsidRDefault="002542E0" w:rsidP="002542E0">
      <w:pPr>
        <w:pStyle w:val="corpsdedcision"/>
        <w:numPr>
          <w:ilvl w:val="0"/>
          <w:numId w:val="0"/>
        </w:numPr>
        <w:tabs>
          <w:tab w:val="clear" w:pos="720"/>
        </w:tabs>
      </w:pPr>
    </w:p>
    <w:sectPr w:rsidR="002542E0">
      <w:headerReference w:type="default" r:id="rId10"/>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F81B8D" w14:textId="77777777" w:rsidR="00697397" w:rsidRDefault="00697397">
      <w:r>
        <w:separator/>
      </w:r>
    </w:p>
  </w:endnote>
  <w:endnote w:type="continuationSeparator" w:id="0">
    <w:p w14:paraId="3FAAC1E4" w14:textId="77777777" w:rsidR="00697397" w:rsidRDefault="006973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altName w:val="Arial"/>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F5F6C1" w14:textId="77777777" w:rsidR="00697397" w:rsidRDefault="00697397">
      <w:r>
        <w:separator/>
      </w:r>
    </w:p>
  </w:footnote>
  <w:footnote w:type="continuationSeparator" w:id="0">
    <w:p w14:paraId="71E7A755" w14:textId="77777777" w:rsidR="00697397" w:rsidRDefault="00697397">
      <w:r>
        <w:continuationSeparator/>
      </w:r>
    </w:p>
  </w:footnote>
  <w:footnote w:id="1">
    <w:p w14:paraId="48FEFCE6" w14:textId="6493E99C" w:rsidR="0053175C" w:rsidRPr="0053175C" w:rsidRDefault="0053175C" w:rsidP="0053175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F7EBB">
        <w:rPr>
          <w:sz w:val="20"/>
        </w:rPr>
        <w:t>RLRQ, c. S-2.1</w:t>
      </w:r>
      <w:r>
        <w:rPr>
          <w:sz w:val="20"/>
        </w:rPr>
        <w:t>.</w:t>
      </w:r>
    </w:p>
  </w:footnote>
  <w:footnote w:id="2">
    <w:p w14:paraId="0BEA9080" w14:textId="77777777" w:rsidR="001B2459" w:rsidRDefault="001B2459" w:rsidP="0007644B">
      <w:pPr>
        <w:pStyle w:val="Notedebasdepage"/>
      </w:pPr>
      <w:r>
        <w:rPr>
          <w:rStyle w:val="Appelnotedebasdep"/>
        </w:rPr>
        <w:footnoteRef/>
      </w:r>
      <w:r>
        <w:t xml:space="preserve"> </w:t>
      </w:r>
      <w:r>
        <w:tab/>
      </w:r>
      <w:r>
        <w:rPr>
          <w:sz w:val="20"/>
        </w:rPr>
        <w:t>RLRQ, c. T-15.1.</w:t>
      </w:r>
    </w:p>
  </w:footnote>
  <w:footnote w:id="3">
    <w:p w14:paraId="6F46EFCE" w14:textId="5D0C10CA" w:rsidR="008A3488" w:rsidRPr="008A3488" w:rsidRDefault="008A3488" w:rsidP="008A348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C.L.P. 205455-61-0304, 5 décembre 2003, L. Nadeau, </w:t>
      </w:r>
      <w:r w:rsidRPr="00B14AF1">
        <w:rPr>
          <w:rFonts w:cs="Arial"/>
          <w:sz w:val="20"/>
        </w:rPr>
        <w:t>révision rejeté</w:t>
      </w:r>
      <w:r w:rsidR="00B14AF1" w:rsidRPr="00B14AF1">
        <w:rPr>
          <w:rFonts w:cs="Arial"/>
          <w:sz w:val="20"/>
        </w:rPr>
        <w:t>e le 20 janvier 2005.</w:t>
      </w:r>
      <w:r w:rsidR="00D63DD5">
        <w:rPr>
          <w:rFonts w:cs="Arial"/>
          <w:sz w:val="20"/>
        </w:rPr>
        <w:t xml:space="preserve"> À noter que cette décision porte sur l’ancien article 377 de la LATMP, abrogé lorsque la Commission des lésion professionnelles est devenue le Tribunal administratif du travail le 1</w:t>
      </w:r>
      <w:r w:rsidR="00D63DD5" w:rsidRPr="00D63DD5">
        <w:rPr>
          <w:rFonts w:cs="Arial"/>
          <w:sz w:val="20"/>
          <w:vertAlign w:val="superscript"/>
        </w:rPr>
        <w:t>er</w:t>
      </w:r>
      <w:r w:rsidR="00D63DD5">
        <w:rPr>
          <w:rFonts w:cs="Arial"/>
          <w:sz w:val="20"/>
        </w:rPr>
        <w:t xml:space="preserve"> janvier 2016, maintenant remplacé par l’article 9 de la LITAT. Les principes sont donc transposables.</w:t>
      </w:r>
    </w:p>
  </w:footnote>
  <w:footnote w:id="4">
    <w:p w14:paraId="7988EC61" w14:textId="77777777" w:rsidR="001A29ED" w:rsidRDefault="001A29ED"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5">
    <w:p w14:paraId="0B020D84" w14:textId="6F5D7809" w:rsidR="003D365D" w:rsidRPr="003D365D" w:rsidRDefault="003D365D" w:rsidP="003D365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D365D">
        <w:rPr>
          <w:rFonts w:cs="Arial"/>
          <w:i/>
          <w:iCs/>
          <w:sz w:val="20"/>
        </w:rPr>
        <w:t>Larocque</w:t>
      </w:r>
      <w:r>
        <w:rPr>
          <w:rFonts w:cs="Arial"/>
          <w:sz w:val="20"/>
        </w:rPr>
        <w:t xml:space="preserve"> et </w:t>
      </w:r>
      <w:r w:rsidRPr="003D365D">
        <w:rPr>
          <w:rFonts w:cs="Arial"/>
          <w:i/>
          <w:iCs/>
          <w:sz w:val="20"/>
        </w:rPr>
        <w:t>Memphrémagog</w:t>
      </w:r>
      <w:r>
        <w:rPr>
          <w:rFonts w:cs="Arial"/>
          <w:sz w:val="20"/>
        </w:rPr>
        <w:t>, C.L.P. 109892-05-9902, 9 juillet 1999, F. Ranger, r</w:t>
      </w:r>
      <w:r w:rsidR="00B14AF1">
        <w:rPr>
          <w:rFonts w:cs="Arial"/>
          <w:sz w:val="20"/>
        </w:rPr>
        <w:t>èglement sur requête en révision.</w:t>
      </w:r>
    </w:p>
  </w:footnote>
  <w:footnote w:id="6">
    <w:p w14:paraId="4229AAA2" w14:textId="77777777" w:rsidR="00EB1042" w:rsidRPr="0061163E" w:rsidRDefault="00EB1042" w:rsidP="00EB104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2020 QCTAT 2683, révision rejetée, 2021 QCTAT 4667.</w:t>
      </w:r>
    </w:p>
  </w:footnote>
  <w:footnote w:id="7">
    <w:p w14:paraId="5383D1C2" w14:textId="77777777" w:rsidR="00EB1042" w:rsidRPr="005D515E" w:rsidRDefault="00EB1042" w:rsidP="00EB104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D515E">
        <w:rPr>
          <w:rFonts w:cs="Arial"/>
          <w:i/>
          <w:sz w:val="20"/>
        </w:rPr>
        <w:t>Id.</w:t>
      </w:r>
      <w:r>
        <w:rPr>
          <w:rFonts w:cs="Arial"/>
          <w:sz w:val="20"/>
        </w:rPr>
        <w:t>, par. 9.</w:t>
      </w:r>
    </w:p>
  </w:footnote>
  <w:footnote w:id="8">
    <w:p w14:paraId="0312CF34" w14:textId="2A61F31A" w:rsidR="00EB1042" w:rsidRPr="00BF201F" w:rsidRDefault="00EB1042" w:rsidP="00EB104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 255 de</w:t>
      </w:r>
      <w:r w:rsidRPr="001A29ED">
        <w:rPr>
          <w:rFonts w:cs="Arial"/>
          <w:sz w:val="20"/>
        </w:rPr>
        <w:t xml:space="preserve"> </w:t>
      </w:r>
      <w:r>
        <w:rPr>
          <w:rFonts w:cs="Arial"/>
          <w:sz w:val="20"/>
        </w:rPr>
        <w:t>la LATMP. En effet, l’article 228 de la LSST prévoit que la section III du chapitre VII de la LATMP s’applique comme si la plainte avait été soumise en vertu de l’article 32 de la LATMP.</w:t>
      </w:r>
    </w:p>
  </w:footnote>
  <w:footnote w:id="9">
    <w:p w14:paraId="05965121" w14:textId="302302A7" w:rsidR="0034272C" w:rsidRPr="0034272C" w:rsidRDefault="0034272C" w:rsidP="0034272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La plainte est signée par le travailleur le 13 mai 2024, alors que la Commission indique l’avoir reçu</w:t>
      </w:r>
      <w:r w:rsidR="007F6A10">
        <w:rPr>
          <w:rFonts w:cs="Arial"/>
          <w:sz w:val="20"/>
        </w:rPr>
        <w:t>e</w:t>
      </w:r>
      <w:r>
        <w:rPr>
          <w:rFonts w:cs="Arial"/>
          <w:sz w:val="20"/>
        </w:rPr>
        <w:t xml:space="preserve"> le 22 mai 2024. Le délai de 30 jours de la sanction est donc respecté.</w:t>
      </w:r>
    </w:p>
  </w:footnote>
  <w:footnote w:id="10">
    <w:p w14:paraId="62956FCD" w14:textId="77777777" w:rsidR="004A28D0" w:rsidRPr="008A53ED" w:rsidRDefault="004A28D0" w:rsidP="004A28D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L.Q., 2021, c. 27.</w:t>
      </w:r>
    </w:p>
  </w:footnote>
  <w:footnote w:id="11">
    <w:p w14:paraId="5377D92C" w14:textId="6D0A5239" w:rsidR="0003460C" w:rsidRPr="0003460C" w:rsidRDefault="0003460C" w:rsidP="0003460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 209 de la LSST.</w:t>
      </w:r>
    </w:p>
  </w:footnote>
  <w:footnote w:id="12">
    <w:p w14:paraId="4087A1E5" w14:textId="58B50EFC" w:rsidR="00A32576" w:rsidRPr="00A32576" w:rsidRDefault="00A32576" w:rsidP="00A3257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 212.1 de la LSST.</w:t>
      </w:r>
    </w:p>
  </w:footnote>
  <w:footnote w:id="13">
    <w:p w14:paraId="0C1B513D" w14:textId="591CF120" w:rsidR="00E43C4C" w:rsidRPr="00E43C4C" w:rsidRDefault="00E43C4C" w:rsidP="00E43C4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 214 de la LSST.</w:t>
      </w:r>
    </w:p>
  </w:footnote>
  <w:footnote w:id="14">
    <w:p w14:paraId="262066C1" w14:textId="301BC981" w:rsidR="007E782D" w:rsidRPr="007E782D" w:rsidRDefault="007E782D" w:rsidP="007E782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S-2.1, r. 8.2.</w:t>
      </w:r>
    </w:p>
  </w:footnote>
  <w:footnote w:id="15">
    <w:p w14:paraId="453A4FC9" w14:textId="7EE451B4" w:rsidR="00D75A6E" w:rsidRPr="00D75A6E" w:rsidRDefault="00D75A6E" w:rsidP="00D75A6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Courriel du 11 avril 2024.</w:t>
      </w:r>
    </w:p>
  </w:footnote>
  <w:footnote w:id="16">
    <w:p w14:paraId="3AFC9FBE" w14:textId="0714AABE" w:rsidR="00D75A6E" w:rsidRPr="00D75A6E" w:rsidRDefault="00D75A6E" w:rsidP="00D75A6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Attestation de formation émise le 10 mai 2024, confirmant la fin de la formation le 3 mai 2024.</w:t>
      </w:r>
    </w:p>
  </w:footnote>
  <w:footnote w:id="17">
    <w:p w14:paraId="53F612DC" w14:textId="7DD25754" w:rsidR="009B20F2" w:rsidRPr="009B20F2" w:rsidRDefault="009B20F2" w:rsidP="009B20F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685641" w:rsidRPr="00685641">
        <w:rPr>
          <w:rFonts w:cs="Arial"/>
          <w:i/>
          <w:iCs/>
          <w:sz w:val="20"/>
        </w:rPr>
        <w:t>Projet de règlement, Loi sur la santé et la sécurité du travail (chapitre S-2.1), Loi modernisant le régime de santé et de sécurité du travail</w:t>
      </w:r>
      <w:r w:rsidR="00685641">
        <w:rPr>
          <w:rFonts w:cs="Arial"/>
          <w:sz w:val="20"/>
        </w:rPr>
        <w:t xml:space="preserve">, </w:t>
      </w:r>
      <w:r w:rsidR="00685641" w:rsidRPr="00685641">
        <w:rPr>
          <w:rFonts w:cs="Arial"/>
          <w:sz w:val="20"/>
        </w:rPr>
        <w:t>(2021, chapitre 27), (2024) 156, G.O. II, 84</w:t>
      </w:r>
      <w:r w:rsidR="00685641">
        <w:rPr>
          <w:rFonts w:cs="Arial"/>
          <w:sz w:val="20"/>
        </w:rPr>
        <w:t>.</w:t>
      </w:r>
    </w:p>
  </w:footnote>
  <w:footnote w:id="18">
    <w:p w14:paraId="1FB365E2" w14:textId="07426177" w:rsidR="007F2033" w:rsidRPr="007F2033" w:rsidRDefault="007F2033" w:rsidP="007F203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211 de la LSST.</w:t>
      </w:r>
    </w:p>
  </w:footnote>
  <w:footnote w:id="19">
    <w:p w14:paraId="294CE170" w14:textId="3CC94FC2" w:rsidR="004A5D3A" w:rsidRPr="004A5D3A" w:rsidRDefault="004A5D3A" w:rsidP="004A5D3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F6A10">
        <w:rPr>
          <w:rFonts w:cs="Arial"/>
          <w:i/>
          <w:iCs/>
          <w:sz w:val="20"/>
        </w:rPr>
        <w:t xml:space="preserve">Lafrance </w:t>
      </w:r>
      <w:r w:rsidR="007F6A10" w:rsidRPr="007F6A10">
        <w:rPr>
          <w:rFonts w:cs="Arial"/>
          <w:i/>
          <w:iCs/>
          <w:sz w:val="20"/>
        </w:rPr>
        <w:t>et autres</w:t>
      </w:r>
      <w:r w:rsidR="007F6A10">
        <w:rPr>
          <w:rFonts w:cs="Arial"/>
          <w:sz w:val="20"/>
        </w:rPr>
        <w:t xml:space="preserve"> </w:t>
      </w:r>
      <w:r>
        <w:rPr>
          <w:rFonts w:cs="Arial"/>
          <w:sz w:val="20"/>
        </w:rPr>
        <w:t xml:space="preserve">c. </w:t>
      </w:r>
      <w:r w:rsidRPr="004A5D3A">
        <w:rPr>
          <w:rFonts w:cs="Arial"/>
          <w:i/>
          <w:iCs/>
          <w:sz w:val="20"/>
        </w:rPr>
        <w:t>Commercial Photo Service inc.,</w:t>
      </w:r>
      <w:r>
        <w:rPr>
          <w:rFonts w:cs="Arial"/>
          <w:sz w:val="20"/>
        </w:rPr>
        <w:t xml:space="preserve"> [1980] 1 R.C.S. 536.</w:t>
      </w:r>
    </w:p>
  </w:footnote>
  <w:footnote w:id="20">
    <w:p w14:paraId="29AE5127" w14:textId="488D898E" w:rsidR="00BD3541" w:rsidRPr="00FD79BF" w:rsidRDefault="00BD3541" w:rsidP="00BD354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FD79BF">
        <w:rPr>
          <w:rFonts w:cs="Arial"/>
          <w:i/>
          <w:iCs/>
          <w:sz w:val="20"/>
        </w:rPr>
        <w:t>Perreault et Olymel Vallée-Jonction – Olymel</w:t>
      </w:r>
      <w:r w:rsidR="00FD79BF">
        <w:rPr>
          <w:rFonts w:cs="Arial"/>
          <w:sz w:val="20"/>
        </w:rPr>
        <w:t>, 2024 QCTAT 4661</w:t>
      </w:r>
      <w:r w:rsidR="002A70EE">
        <w:rPr>
          <w:rFonts w:cs="Arial"/>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1691191B" w14:textId="77777777" w:rsidTr="00697397">
      <w:tc>
        <w:tcPr>
          <w:tcW w:w="8730" w:type="dxa"/>
        </w:tcPr>
        <w:p w14:paraId="0239309C" w14:textId="77777777" w:rsidR="00D330B6" w:rsidRDefault="00D330B6">
          <w:pPr>
            <w:pStyle w:val="En-tte"/>
            <w:ind w:left="-90"/>
          </w:pPr>
        </w:p>
      </w:tc>
      <w:tc>
        <w:tcPr>
          <w:tcW w:w="860" w:type="dxa"/>
        </w:tcPr>
        <w:p w14:paraId="670A70AA" w14:textId="77777777" w:rsidR="00D330B6" w:rsidRDefault="00D330B6">
          <w:pPr>
            <w:pStyle w:val="En-tte"/>
            <w:ind w:left="-90"/>
          </w:pPr>
        </w:p>
      </w:tc>
    </w:tr>
    <w:tr w:rsidR="00697397" w14:paraId="25EBBC38" w14:textId="77777777" w:rsidTr="00697397">
      <w:tc>
        <w:tcPr>
          <w:tcW w:w="8730" w:type="dxa"/>
        </w:tcPr>
        <w:p w14:paraId="577CE824" w14:textId="43616F4D" w:rsidR="00697397" w:rsidRDefault="00697397" w:rsidP="00697397">
          <w:r>
            <w:t>1409976-01B-2503</w:t>
          </w:r>
        </w:p>
      </w:tc>
      <w:tc>
        <w:tcPr>
          <w:tcW w:w="860" w:type="dxa"/>
        </w:tcPr>
        <w:p w14:paraId="6DE283EB" w14:textId="77777777" w:rsidR="00697397" w:rsidRDefault="00697397" w:rsidP="00697397">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940512">
            <w:rPr>
              <w:rStyle w:val="Numrodepage"/>
              <w:noProof/>
            </w:rPr>
            <w:t>7</w:t>
          </w:r>
          <w:r>
            <w:rPr>
              <w:rStyle w:val="Numrodepage"/>
            </w:rPr>
            <w:fldChar w:fldCharType="end"/>
          </w:r>
        </w:p>
      </w:tc>
    </w:tr>
    <w:tr w:rsidR="00697397" w14:paraId="28D82E94" w14:textId="77777777" w:rsidTr="00697397">
      <w:tc>
        <w:tcPr>
          <w:tcW w:w="8730" w:type="dxa"/>
        </w:tcPr>
        <w:p w14:paraId="5FA06EE8" w14:textId="77777777" w:rsidR="00697397" w:rsidRDefault="00697397" w:rsidP="00697397"/>
      </w:tc>
      <w:tc>
        <w:tcPr>
          <w:tcW w:w="860" w:type="dxa"/>
        </w:tcPr>
        <w:p w14:paraId="28CBADD3" w14:textId="77777777" w:rsidR="00697397" w:rsidRDefault="00697397" w:rsidP="00697397">
          <w:pPr>
            <w:pStyle w:val="En-tte"/>
            <w:ind w:left="-90"/>
            <w:jc w:val="right"/>
          </w:pPr>
        </w:p>
      </w:tc>
    </w:tr>
  </w:tbl>
  <w:p w14:paraId="087F9CB7"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540511F7"/>
    <w:multiLevelType w:val="hybridMultilevel"/>
    <w:tmpl w:val="A25E81CC"/>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3" w15:restartNumberingAfterBreak="0">
    <w:nsid w:val="6A7F49CC"/>
    <w:multiLevelType w:val="hybridMultilevel"/>
    <w:tmpl w:val="8FC6151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5"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9"/>
  </w:num>
  <w:num w:numId="2">
    <w:abstractNumId w:val="8"/>
  </w:num>
  <w:num w:numId="3">
    <w:abstractNumId w:val="7"/>
  </w:num>
  <w:num w:numId="4">
    <w:abstractNumId w:val="5"/>
  </w:num>
  <w:num w:numId="5">
    <w:abstractNumId w:val="11"/>
  </w:num>
  <w:num w:numId="6">
    <w:abstractNumId w:val="11"/>
  </w:num>
  <w:num w:numId="7">
    <w:abstractNumId w:val="0"/>
  </w:num>
  <w:num w:numId="8">
    <w:abstractNumId w:val="4"/>
  </w:num>
  <w:num w:numId="9">
    <w:abstractNumId w:val="1"/>
  </w:num>
  <w:num w:numId="10">
    <w:abstractNumId w:val="10"/>
  </w:num>
  <w:num w:numId="11">
    <w:abstractNumId w:val="6"/>
  </w:num>
  <w:num w:numId="12">
    <w:abstractNumId w:val="3"/>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7397"/>
    <w:rsid w:val="000034B0"/>
    <w:rsid w:val="000041A1"/>
    <w:rsid w:val="00006DD2"/>
    <w:rsid w:val="0001305E"/>
    <w:rsid w:val="00016A14"/>
    <w:rsid w:val="00016AAF"/>
    <w:rsid w:val="00016D99"/>
    <w:rsid w:val="00021B30"/>
    <w:rsid w:val="00021E4C"/>
    <w:rsid w:val="00022556"/>
    <w:rsid w:val="00023858"/>
    <w:rsid w:val="0003460C"/>
    <w:rsid w:val="000352CA"/>
    <w:rsid w:val="000366EC"/>
    <w:rsid w:val="00036794"/>
    <w:rsid w:val="00043E4D"/>
    <w:rsid w:val="000536CC"/>
    <w:rsid w:val="000559A8"/>
    <w:rsid w:val="00055A3E"/>
    <w:rsid w:val="00056393"/>
    <w:rsid w:val="00057739"/>
    <w:rsid w:val="000719B8"/>
    <w:rsid w:val="0007225E"/>
    <w:rsid w:val="00074ABE"/>
    <w:rsid w:val="00074EAE"/>
    <w:rsid w:val="000756D0"/>
    <w:rsid w:val="00076D81"/>
    <w:rsid w:val="00080885"/>
    <w:rsid w:val="00082A97"/>
    <w:rsid w:val="0008378A"/>
    <w:rsid w:val="0008784D"/>
    <w:rsid w:val="00090018"/>
    <w:rsid w:val="00090306"/>
    <w:rsid w:val="00090F69"/>
    <w:rsid w:val="00093ACD"/>
    <w:rsid w:val="00095814"/>
    <w:rsid w:val="00097D81"/>
    <w:rsid w:val="00097FCE"/>
    <w:rsid w:val="000A1DAC"/>
    <w:rsid w:val="000A4AD0"/>
    <w:rsid w:val="000A5AD1"/>
    <w:rsid w:val="000A6392"/>
    <w:rsid w:val="000A63DF"/>
    <w:rsid w:val="000A77C5"/>
    <w:rsid w:val="000B6275"/>
    <w:rsid w:val="000B7F1B"/>
    <w:rsid w:val="000C451C"/>
    <w:rsid w:val="000C4C61"/>
    <w:rsid w:val="000C710F"/>
    <w:rsid w:val="000D3948"/>
    <w:rsid w:val="000E0C28"/>
    <w:rsid w:val="000E0C3A"/>
    <w:rsid w:val="000E1320"/>
    <w:rsid w:val="000E3FF6"/>
    <w:rsid w:val="000E56A6"/>
    <w:rsid w:val="000F20A5"/>
    <w:rsid w:val="000F3423"/>
    <w:rsid w:val="000F5F81"/>
    <w:rsid w:val="00100AB8"/>
    <w:rsid w:val="00104550"/>
    <w:rsid w:val="00104C3D"/>
    <w:rsid w:val="001050B4"/>
    <w:rsid w:val="001144AB"/>
    <w:rsid w:val="0012224D"/>
    <w:rsid w:val="001225BC"/>
    <w:rsid w:val="00122A9E"/>
    <w:rsid w:val="00122F94"/>
    <w:rsid w:val="0012326A"/>
    <w:rsid w:val="00132622"/>
    <w:rsid w:val="00137E7E"/>
    <w:rsid w:val="001407FC"/>
    <w:rsid w:val="00144572"/>
    <w:rsid w:val="00146116"/>
    <w:rsid w:val="00147A49"/>
    <w:rsid w:val="00147B8B"/>
    <w:rsid w:val="0015125A"/>
    <w:rsid w:val="00152464"/>
    <w:rsid w:val="0015539F"/>
    <w:rsid w:val="00160597"/>
    <w:rsid w:val="00162ECC"/>
    <w:rsid w:val="001664C8"/>
    <w:rsid w:val="00167AD0"/>
    <w:rsid w:val="00167DEF"/>
    <w:rsid w:val="00167E9D"/>
    <w:rsid w:val="00173184"/>
    <w:rsid w:val="00175079"/>
    <w:rsid w:val="001761B9"/>
    <w:rsid w:val="00176B17"/>
    <w:rsid w:val="00183515"/>
    <w:rsid w:val="001846FC"/>
    <w:rsid w:val="00191DE7"/>
    <w:rsid w:val="001924FE"/>
    <w:rsid w:val="001965E1"/>
    <w:rsid w:val="001A03BE"/>
    <w:rsid w:val="001A067E"/>
    <w:rsid w:val="001A2900"/>
    <w:rsid w:val="001A29ED"/>
    <w:rsid w:val="001A4081"/>
    <w:rsid w:val="001A65F1"/>
    <w:rsid w:val="001B2459"/>
    <w:rsid w:val="001B2B40"/>
    <w:rsid w:val="001B3E9D"/>
    <w:rsid w:val="001B4A40"/>
    <w:rsid w:val="001B5524"/>
    <w:rsid w:val="001B6D8A"/>
    <w:rsid w:val="001C19D4"/>
    <w:rsid w:val="001C2B0B"/>
    <w:rsid w:val="001C436D"/>
    <w:rsid w:val="001D63C8"/>
    <w:rsid w:val="001D65D8"/>
    <w:rsid w:val="001E3DFD"/>
    <w:rsid w:val="001E42F0"/>
    <w:rsid w:val="001E497A"/>
    <w:rsid w:val="001E5E3B"/>
    <w:rsid w:val="00225C46"/>
    <w:rsid w:val="00226493"/>
    <w:rsid w:val="00227040"/>
    <w:rsid w:val="00230CFC"/>
    <w:rsid w:val="0023162A"/>
    <w:rsid w:val="00231C1D"/>
    <w:rsid w:val="00233532"/>
    <w:rsid w:val="00234BC8"/>
    <w:rsid w:val="00240563"/>
    <w:rsid w:val="00241CED"/>
    <w:rsid w:val="00242FB4"/>
    <w:rsid w:val="00245605"/>
    <w:rsid w:val="002542E0"/>
    <w:rsid w:val="002563F0"/>
    <w:rsid w:val="00256DBB"/>
    <w:rsid w:val="00260119"/>
    <w:rsid w:val="00266064"/>
    <w:rsid w:val="00267C8D"/>
    <w:rsid w:val="002701DD"/>
    <w:rsid w:val="002710FD"/>
    <w:rsid w:val="002719D0"/>
    <w:rsid w:val="00273F49"/>
    <w:rsid w:val="00275DA5"/>
    <w:rsid w:val="002769B5"/>
    <w:rsid w:val="00276B25"/>
    <w:rsid w:val="00276B59"/>
    <w:rsid w:val="00281319"/>
    <w:rsid w:val="00286149"/>
    <w:rsid w:val="0028668D"/>
    <w:rsid w:val="00290289"/>
    <w:rsid w:val="00292188"/>
    <w:rsid w:val="002923D9"/>
    <w:rsid w:val="00296645"/>
    <w:rsid w:val="00296A4B"/>
    <w:rsid w:val="00297284"/>
    <w:rsid w:val="002A0077"/>
    <w:rsid w:val="002A07DC"/>
    <w:rsid w:val="002A3573"/>
    <w:rsid w:val="002A374B"/>
    <w:rsid w:val="002A70EE"/>
    <w:rsid w:val="002A73E9"/>
    <w:rsid w:val="002B132B"/>
    <w:rsid w:val="002B2FC3"/>
    <w:rsid w:val="002B35F0"/>
    <w:rsid w:val="002B58AF"/>
    <w:rsid w:val="002C08D8"/>
    <w:rsid w:val="002C3748"/>
    <w:rsid w:val="002C5E89"/>
    <w:rsid w:val="002D42BC"/>
    <w:rsid w:val="002D71A9"/>
    <w:rsid w:val="002D7846"/>
    <w:rsid w:val="002D7FCB"/>
    <w:rsid w:val="002E05AE"/>
    <w:rsid w:val="002F7507"/>
    <w:rsid w:val="0030059B"/>
    <w:rsid w:val="00302FB4"/>
    <w:rsid w:val="00305273"/>
    <w:rsid w:val="003057FC"/>
    <w:rsid w:val="00305AFB"/>
    <w:rsid w:val="00307C85"/>
    <w:rsid w:val="00312983"/>
    <w:rsid w:val="00323DC5"/>
    <w:rsid w:val="003248CB"/>
    <w:rsid w:val="00331EA7"/>
    <w:rsid w:val="003332B8"/>
    <w:rsid w:val="00337555"/>
    <w:rsid w:val="0034272C"/>
    <w:rsid w:val="00343B46"/>
    <w:rsid w:val="00344465"/>
    <w:rsid w:val="00346DC1"/>
    <w:rsid w:val="0034740A"/>
    <w:rsid w:val="00353079"/>
    <w:rsid w:val="0035375B"/>
    <w:rsid w:val="00362D74"/>
    <w:rsid w:val="003664E9"/>
    <w:rsid w:val="00366D1E"/>
    <w:rsid w:val="003703A5"/>
    <w:rsid w:val="0037112C"/>
    <w:rsid w:val="003712DE"/>
    <w:rsid w:val="00373EE5"/>
    <w:rsid w:val="0038083E"/>
    <w:rsid w:val="003817E7"/>
    <w:rsid w:val="00382E55"/>
    <w:rsid w:val="00390B55"/>
    <w:rsid w:val="003961B2"/>
    <w:rsid w:val="003A41AD"/>
    <w:rsid w:val="003B0C41"/>
    <w:rsid w:val="003B152B"/>
    <w:rsid w:val="003B1734"/>
    <w:rsid w:val="003B1735"/>
    <w:rsid w:val="003B2D2E"/>
    <w:rsid w:val="003B6CBF"/>
    <w:rsid w:val="003C47A7"/>
    <w:rsid w:val="003D0826"/>
    <w:rsid w:val="003D18FC"/>
    <w:rsid w:val="003D365D"/>
    <w:rsid w:val="003D3C93"/>
    <w:rsid w:val="003D6A23"/>
    <w:rsid w:val="003D71BB"/>
    <w:rsid w:val="003E00D5"/>
    <w:rsid w:val="003E02BA"/>
    <w:rsid w:val="003F0578"/>
    <w:rsid w:val="003F7F38"/>
    <w:rsid w:val="00401325"/>
    <w:rsid w:val="004019AA"/>
    <w:rsid w:val="0040399B"/>
    <w:rsid w:val="00405A65"/>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29D3"/>
    <w:rsid w:val="0045354D"/>
    <w:rsid w:val="00453F31"/>
    <w:rsid w:val="00456B0C"/>
    <w:rsid w:val="00460101"/>
    <w:rsid w:val="00464E7C"/>
    <w:rsid w:val="0046538B"/>
    <w:rsid w:val="00471C92"/>
    <w:rsid w:val="00471D47"/>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12D1"/>
    <w:rsid w:val="004A28D0"/>
    <w:rsid w:val="004A2D66"/>
    <w:rsid w:val="004A4449"/>
    <w:rsid w:val="004A5B56"/>
    <w:rsid w:val="004A5D3A"/>
    <w:rsid w:val="004A679B"/>
    <w:rsid w:val="004C0FB4"/>
    <w:rsid w:val="004C1811"/>
    <w:rsid w:val="004C2944"/>
    <w:rsid w:val="004C4555"/>
    <w:rsid w:val="004D16D6"/>
    <w:rsid w:val="004D1893"/>
    <w:rsid w:val="004D6CEA"/>
    <w:rsid w:val="004E0E02"/>
    <w:rsid w:val="004E3564"/>
    <w:rsid w:val="004E3D9F"/>
    <w:rsid w:val="004E51C0"/>
    <w:rsid w:val="004E64BE"/>
    <w:rsid w:val="004F6293"/>
    <w:rsid w:val="00503B8D"/>
    <w:rsid w:val="00503EE3"/>
    <w:rsid w:val="00504B12"/>
    <w:rsid w:val="00505811"/>
    <w:rsid w:val="0051261C"/>
    <w:rsid w:val="00515DE7"/>
    <w:rsid w:val="00517EB0"/>
    <w:rsid w:val="005205CB"/>
    <w:rsid w:val="0052430C"/>
    <w:rsid w:val="00524D97"/>
    <w:rsid w:val="0053175C"/>
    <w:rsid w:val="005348E4"/>
    <w:rsid w:val="00534D8F"/>
    <w:rsid w:val="00535264"/>
    <w:rsid w:val="005352F1"/>
    <w:rsid w:val="00536A37"/>
    <w:rsid w:val="00540094"/>
    <w:rsid w:val="00545CFF"/>
    <w:rsid w:val="00547A9C"/>
    <w:rsid w:val="00555800"/>
    <w:rsid w:val="00556DBB"/>
    <w:rsid w:val="00560781"/>
    <w:rsid w:val="0056268F"/>
    <w:rsid w:val="005662E9"/>
    <w:rsid w:val="005700F8"/>
    <w:rsid w:val="00572AAF"/>
    <w:rsid w:val="005801AE"/>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384C"/>
    <w:rsid w:val="005A41A2"/>
    <w:rsid w:val="005A5437"/>
    <w:rsid w:val="005A6969"/>
    <w:rsid w:val="005A70A0"/>
    <w:rsid w:val="005A715F"/>
    <w:rsid w:val="005B0612"/>
    <w:rsid w:val="005B13F0"/>
    <w:rsid w:val="005B2E0C"/>
    <w:rsid w:val="005B30F6"/>
    <w:rsid w:val="005B45BA"/>
    <w:rsid w:val="005B5689"/>
    <w:rsid w:val="005B6680"/>
    <w:rsid w:val="005B6774"/>
    <w:rsid w:val="005C0A89"/>
    <w:rsid w:val="005C3BC4"/>
    <w:rsid w:val="005D26CC"/>
    <w:rsid w:val="005D4711"/>
    <w:rsid w:val="005D59B1"/>
    <w:rsid w:val="005D764B"/>
    <w:rsid w:val="005D7656"/>
    <w:rsid w:val="005E2367"/>
    <w:rsid w:val="005E34D2"/>
    <w:rsid w:val="005E5E90"/>
    <w:rsid w:val="005E62C7"/>
    <w:rsid w:val="005E654C"/>
    <w:rsid w:val="005F05F6"/>
    <w:rsid w:val="005F0D07"/>
    <w:rsid w:val="00601F08"/>
    <w:rsid w:val="00605734"/>
    <w:rsid w:val="0061488E"/>
    <w:rsid w:val="0061574B"/>
    <w:rsid w:val="00616406"/>
    <w:rsid w:val="00620BDF"/>
    <w:rsid w:val="00622670"/>
    <w:rsid w:val="00623328"/>
    <w:rsid w:val="00623A1A"/>
    <w:rsid w:val="00626E8D"/>
    <w:rsid w:val="0063156B"/>
    <w:rsid w:val="006326A9"/>
    <w:rsid w:val="00632DA8"/>
    <w:rsid w:val="00634C4B"/>
    <w:rsid w:val="00634C5D"/>
    <w:rsid w:val="00634E6E"/>
    <w:rsid w:val="0063651F"/>
    <w:rsid w:val="0064342A"/>
    <w:rsid w:val="00643A28"/>
    <w:rsid w:val="006452FA"/>
    <w:rsid w:val="0065093D"/>
    <w:rsid w:val="00652679"/>
    <w:rsid w:val="00652A16"/>
    <w:rsid w:val="00655193"/>
    <w:rsid w:val="00655459"/>
    <w:rsid w:val="00656FB2"/>
    <w:rsid w:val="00657A70"/>
    <w:rsid w:val="00661454"/>
    <w:rsid w:val="006620AA"/>
    <w:rsid w:val="006626AF"/>
    <w:rsid w:val="0066642D"/>
    <w:rsid w:val="006722E2"/>
    <w:rsid w:val="00675E85"/>
    <w:rsid w:val="0067750F"/>
    <w:rsid w:val="0068061C"/>
    <w:rsid w:val="00681396"/>
    <w:rsid w:val="0068171F"/>
    <w:rsid w:val="0068401E"/>
    <w:rsid w:val="006841A4"/>
    <w:rsid w:val="00685641"/>
    <w:rsid w:val="0068643F"/>
    <w:rsid w:val="006877A1"/>
    <w:rsid w:val="00692150"/>
    <w:rsid w:val="00692F0C"/>
    <w:rsid w:val="006944B0"/>
    <w:rsid w:val="00696E7C"/>
    <w:rsid w:val="00696EF2"/>
    <w:rsid w:val="00697397"/>
    <w:rsid w:val="006A0C54"/>
    <w:rsid w:val="006A2A02"/>
    <w:rsid w:val="006A3E54"/>
    <w:rsid w:val="006A48E7"/>
    <w:rsid w:val="006A7C53"/>
    <w:rsid w:val="006B140A"/>
    <w:rsid w:val="006B309C"/>
    <w:rsid w:val="006B4316"/>
    <w:rsid w:val="006B727F"/>
    <w:rsid w:val="006C1B57"/>
    <w:rsid w:val="006C4F8F"/>
    <w:rsid w:val="006C6D3A"/>
    <w:rsid w:val="006C7B36"/>
    <w:rsid w:val="006C7B7F"/>
    <w:rsid w:val="006D19E8"/>
    <w:rsid w:val="006D566D"/>
    <w:rsid w:val="006D7768"/>
    <w:rsid w:val="006E04B5"/>
    <w:rsid w:val="006E330C"/>
    <w:rsid w:val="006E3DD8"/>
    <w:rsid w:val="006E793F"/>
    <w:rsid w:val="006F0154"/>
    <w:rsid w:val="006F608D"/>
    <w:rsid w:val="006F7944"/>
    <w:rsid w:val="006F7D08"/>
    <w:rsid w:val="007012F1"/>
    <w:rsid w:val="00704121"/>
    <w:rsid w:val="00705BB5"/>
    <w:rsid w:val="007130DE"/>
    <w:rsid w:val="0071326F"/>
    <w:rsid w:val="007153D7"/>
    <w:rsid w:val="00720ED4"/>
    <w:rsid w:val="00722736"/>
    <w:rsid w:val="0074488F"/>
    <w:rsid w:val="00745AA8"/>
    <w:rsid w:val="007503E0"/>
    <w:rsid w:val="007510EC"/>
    <w:rsid w:val="00751B2B"/>
    <w:rsid w:val="0075233C"/>
    <w:rsid w:val="0075256A"/>
    <w:rsid w:val="00752DCD"/>
    <w:rsid w:val="0075357F"/>
    <w:rsid w:val="00754F8A"/>
    <w:rsid w:val="007569DE"/>
    <w:rsid w:val="0075723C"/>
    <w:rsid w:val="0076146A"/>
    <w:rsid w:val="0076350E"/>
    <w:rsid w:val="00763F36"/>
    <w:rsid w:val="00775BDF"/>
    <w:rsid w:val="0077614D"/>
    <w:rsid w:val="00782C8F"/>
    <w:rsid w:val="00785F78"/>
    <w:rsid w:val="0078659D"/>
    <w:rsid w:val="007869EC"/>
    <w:rsid w:val="00791ED8"/>
    <w:rsid w:val="007945A4"/>
    <w:rsid w:val="007A1E58"/>
    <w:rsid w:val="007A5C7E"/>
    <w:rsid w:val="007A63F9"/>
    <w:rsid w:val="007A69A9"/>
    <w:rsid w:val="007A6E2F"/>
    <w:rsid w:val="007A6F29"/>
    <w:rsid w:val="007B0DF2"/>
    <w:rsid w:val="007B3BC5"/>
    <w:rsid w:val="007B6F8D"/>
    <w:rsid w:val="007C1832"/>
    <w:rsid w:val="007D03DF"/>
    <w:rsid w:val="007D4953"/>
    <w:rsid w:val="007D50F4"/>
    <w:rsid w:val="007D7173"/>
    <w:rsid w:val="007E1216"/>
    <w:rsid w:val="007E4CD4"/>
    <w:rsid w:val="007E530C"/>
    <w:rsid w:val="007E782D"/>
    <w:rsid w:val="007F0E8E"/>
    <w:rsid w:val="007F2033"/>
    <w:rsid w:val="007F2149"/>
    <w:rsid w:val="007F4E00"/>
    <w:rsid w:val="007F6A10"/>
    <w:rsid w:val="007F7259"/>
    <w:rsid w:val="008048CF"/>
    <w:rsid w:val="008079DD"/>
    <w:rsid w:val="0081130F"/>
    <w:rsid w:val="00813095"/>
    <w:rsid w:val="008145AD"/>
    <w:rsid w:val="008146B2"/>
    <w:rsid w:val="00824430"/>
    <w:rsid w:val="00825B1F"/>
    <w:rsid w:val="00827D55"/>
    <w:rsid w:val="00832C84"/>
    <w:rsid w:val="00840EDD"/>
    <w:rsid w:val="0084255F"/>
    <w:rsid w:val="00846FB1"/>
    <w:rsid w:val="00854FB3"/>
    <w:rsid w:val="00857FCA"/>
    <w:rsid w:val="00860F13"/>
    <w:rsid w:val="0086199C"/>
    <w:rsid w:val="00861F8B"/>
    <w:rsid w:val="0086561F"/>
    <w:rsid w:val="00865A7A"/>
    <w:rsid w:val="00865FE1"/>
    <w:rsid w:val="0087069B"/>
    <w:rsid w:val="00870E30"/>
    <w:rsid w:val="00874542"/>
    <w:rsid w:val="008748C7"/>
    <w:rsid w:val="0087521A"/>
    <w:rsid w:val="008808C0"/>
    <w:rsid w:val="00882255"/>
    <w:rsid w:val="00890BDE"/>
    <w:rsid w:val="00892AD3"/>
    <w:rsid w:val="00893A11"/>
    <w:rsid w:val="00894155"/>
    <w:rsid w:val="008962E7"/>
    <w:rsid w:val="008A1118"/>
    <w:rsid w:val="008A281F"/>
    <w:rsid w:val="008A3488"/>
    <w:rsid w:val="008A48D2"/>
    <w:rsid w:val="008A4AF6"/>
    <w:rsid w:val="008A4FF8"/>
    <w:rsid w:val="008A5ED1"/>
    <w:rsid w:val="008A73CE"/>
    <w:rsid w:val="008A7FD1"/>
    <w:rsid w:val="008B042E"/>
    <w:rsid w:val="008B211E"/>
    <w:rsid w:val="008B6D48"/>
    <w:rsid w:val="008C7660"/>
    <w:rsid w:val="008C79A7"/>
    <w:rsid w:val="008D5521"/>
    <w:rsid w:val="008D555F"/>
    <w:rsid w:val="008D625D"/>
    <w:rsid w:val="008D650E"/>
    <w:rsid w:val="008D6F9F"/>
    <w:rsid w:val="008E673E"/>
    <w:rsid w:val="008E67D1"/>
    <w:rsid w:val="008E6A41"/>
    <w:rsid w:val="008E6FC1"/>
    <w:rsid w:val="008F15D5"/>
    <w:rsid w:val="008F20EA"/>
    <w:rsid w:val="008F79C4"/>
    <w:rsid w:val="00903990"/>
    <w:rsid w:val="009042A8"/>
    <w:rsid w:val="00904950"/>
    <w:rsid w:val="009132A2"/>
    <w:rsid w:val="00913BC9"/>
    <w:rsid w:val="0091442E"/>
    <w:rsid w:val="00915E5E"/>
    <w:rsid w:val="009166B8"/>
    <w:rsid w:val="00916FA5"/>
    <w:rsid w:val="00917915"/>
    <w:rsid w:val="00920684"/>
    <w:rsid w:val="009216E6"/>
    <w:rsid w:val="009224EC"/>
    <w:rsid w:val="00922DB7"/>
    <w:rsid w:val="0092684A"/>
    <w:rsid w:val="00927654"/>
    <w:rsid w:val="00937FAB"/>
    <w:rsid w:val="00940512"/>
    <w:rsid w:val="0094094D"/>
    <w:rsid w:val="00942AB8"/>
    <w:rsid w:val="0094548C"/>
    <w:rsid w:val="00945CAF"/>
    <w:rsid w:val="00946AC9"/>
    <w:rsid w:val="00947448"/>
    <w:rsid w:val="00952B38"/>
    <w:rsid w:val="00952C99"/>
    <w:rsid w:val="009619EB"/>
    <w:rsid w:val="00965333"/>
    <w:rsid w:val="009712EF"/>
    <w:rsid w:val="009727BF"/>
    <w:rsid w:val="00973321"/>
    <w:rsid w:val="00975C2E"/>
    <w:rsid w:val="009770EB"/>
    <w:rsid w:val="00977270"/>
    <w:rsid w:val="009824F2"/>
    <w:rsid w:val="00983080"/>
    <w:rsid w:val="00986AA3"/>
    <w:rsid w:val="00993B24"/>
    <w:rsid w:val="0099611F"/>
    <w:rsid w:val="009A083F"/>
    <w:rsid w:val="009A135C"/>
    <w:rsid w:val="009A67E7"/>
    <w:rsid w:val="009B20F2"/>
    <w:rsid w:val="009C2D03"/>
    <w:rsid w:val="009C603A"/>
    <w:rsid w:val="009C74CD"/>
    <w:rsid w:val="009D048F"/>
    <w:rsid w:val="009D162F"/>
    <w:rsid w:val="009D23FF"/>
    <w:rsid w:val="009D2446"/>
    <w:rsid w:val="009D401F"/>
    <w:rsid w:val="009D5B42"/>
    <w:rsid w:val="009D68FA"/>
    <w:rsid w:val="009E1E4F"/>
    <w:rsid w:val="009E32CF"/>
    <w:rsid w:val="009E4261"/>
    <w:rsid w:val="009E4FC2"/>
    <w:rsid w:val="009F44AE"/>
    <w:rsid w:val="009F59B9"/>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27546"/>
    <w:rsid w:val="00A32576"/>
    <w:rsid w:val="00A33601"/>
    <w:rsid w:val="00A3362A"/>
    <w:rsid w:val="00A34251"/>
    <w:rsid w:val="00A35278"/>
    <w:rsid w:val="00A36257"/>
    <w:rsid w:val="00A36E3B"/>
    <w:rsid w:val="00A37045"/>
    <w:rsid w:val="00A37B70"/>
    <w:rsid w:val="00A40AC7"/>
    <w:rsid w:val="00A435C7"/>
    <w:rsid w:val="00A47975"/>
    <w:rsid w:val="00A55607"/>
    <w:rsid w:val="00A569B2"/>
    <w:rsid w:val="00A577F1"/>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238"/>
    <w:rsid w:val="00A90BD9"/>
    <w:rsid w:val="00A9101B"/>
    <w:rsid w:val="00A94A49"/>
    <w:rsid w:val="00A95C5E"/>
    <w:rsid w:val="00AA1815"/>
    <w:rsid w:val="00AA1D3E"/>
    <w:rsid w:val="00AA20E7"/>
    <w:rsid w:val="00AA2C19"/>
    <w:rsid w:val="00AA39F9"/>
    <w:rsid w:val="00AA79D3"/>
    <w:rsid w:val="00AB0931"/>
    <w:rsid w:val="00AB4DC4"/>
    <w:rsid w:val="00AB5C9B"/>
    <w:rsid w:val="00AC0159"/>
    <w:rsid w:val="00AC0276"/>
    <w:rsid w:val="00AC0312"/>
    <w:rsid w:val="00AC0449"/>
    <w:rsid w:val="00AC0DC3"/>
    <w:rsid w:val="00AD035F"/>
    <w:rsid w:val="00AD2497"/>
    <w:rsid w:val="00AD2EE9"/>
    <w:rsid w:val="00AD5C04"/>
    <w:rsid w:val="00AD5D55"/>
    <w:rsid w:val="00AD5EB4"/>
    <w:rsid w:val="00AD667B"/>
    <w:rsid w:val="00AD772E"/>
    <w:rsid w:val="00AE63E2"/>
    <w:rsid w:val="00AE7976"/>
    <w:rsid w:val="00AF0239"/>
    <w:rsid w:val="00AF0334"/>
    <w:rsid w:val="00AF04C9"/>
    <w:rsid w:val="00AF19A2"/>
    <w:rsid w:val="00AF1DC4"/>
    <w:rsid w:val="00AF26B6"/>
    <w:rsid w:val="00AF2979"/>
    <w:rsid w:val="00AF3189"/>
    <w:rsid w:val="00AF5BF8"/>
    <w:rsid w:val="00B0375C"/>
    <w:rsid w:val="00B052CB"/>
    <w:rsid w:val="00B14AF1"/>
    <w:rsid w:val="00B156C3"/>
    <w:rsid w:val="00B15F67"/>
    <w:rsid w:val="00B1624F"/>
    <w:rsid w:val="00B20F5D"/>
    <w:rsid w:val="00B21184"/>
    <w:rsid w:val="00B224C5"/>
    <w:rsid w:val="00B325CD"/>
    <w:rsid w:val="00B36C0F"/>
    <w:rsid w:val="00B370C2"/>
    <w:rsid w:val="00B37793"/>
    <w:rsid w:val="00B41203"/>
    <w:rsid w:val="00B4561E"/>
    <w:rsid w:val="00B4768D"/>
    <w:rsid w:val="00B518E5"/>
    <w:rsid w:val="00B51E1F"/>
    <w:rsid w:val="00B52601"/>
    <w:rsid w:val="00B57032"/>
    <w:rsid w:val="00B60222"/>
    <w:rsid w:val="00B62CFB"/>
    <w:rsid w:val="00B662F5"/>
    <w:rsid w:val="00B7000C"/>
    <w:rsid w:val="00B760D5"/>
    <w:rsid w:val="00B77495"/>
    <w:rsid w:val="00B833BB"/>
    <w:rsid w:val="00B83B2C"/>
    <w:rsid w:val="00B92049"/>
    <w:rsid w:val="00B94740"/>
    <w:rsid w:val="00B95002"/>
    <w:rsid w:val="00B978BB"/>
    <w:rsid w:val="00B97F75"/>
    <w:rsid w:val="00BA0A4F"/>
    <w:rsid w:val="00BA1CAE"/>
    <w:rsid w:val="00BA33BB"/>
    <w:rsid w:val="00BA4830"/>
    <w:rsid w:val="00BA6E22"/>
    <w:rsid w:val="00BB1460"/>
    <w:rsid w:val="00BB362C"/>
    <w:rsid w:val="00BB5942"/>
    <w:rsid w:val="00BC0A03"/>
    <w:rsid w:val="00BC42AB"/>
    <w:rsid w:val="00BC4A42"/>
    <w:rsid w:val="00BC5AA1"/>
    <w:rsid w:val="00BC5BB4"/>
    <w:rsid w:val="00BD3541"/>
    <w:rsid w:val="00BD4139"/>
    <w:rsid w:val="00BE059A"/>
    <w:rsid w:val="00BE1981"/>
    <w:rsid w:val="00BE2DA6"/>
    <w:rsid w:val="00BE2E86"/>
    <w:rsid w:val="00BE320B"/>
    <w:rsid w:val="00BE56E9"/>
    <w:rsid w:val="00BE63CF"/>
    <w:rsid w:val="00BE7014"/>
    <w:rsid w:val="00BE7991"/>
    <w:rsid w:val="00BF25C7"/>
    <w:rsid w:val="00C009B7"/>
    <w:rsid w:val="00C02B8F"/>
    <w:rsid w:val="00C04E32"/>
    <w:rsid w:val="00C116B1"/>
    <w:rsid w:val="00C14CD8"/>
    <w:rsid w:val="00C15A3F"/>
    <w:rsid w:val="00C173C0"/>
    <w:rsid w:val="00C20630"/>
    <w:rsid w:val="00C224A4"/>
    <w:rsid w:val="00C22F7A"/>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B69"/>
    <w:rsid w:val="00C644B7"/>
    <w:rsid w:val="00C64564"/>
    <w:rsid w:val="00C66D6F"/>
    <w:rsid w:val="00C71377"/>
    <w:rsid w:val="00C73C87"/>
    <w:rsid w:val="00C74B6F"/>
    <w:rsid w:val="00C86D20"/>
    <w:rsid w:val="00C87EF3"/>
    <w:rsid w:val="00C9015F"/>
    <w:rsid w:val="00C912F9"/>
    <w:rsid w:val="00C91B22"/>
    <w:rsid w:val="00C9241B"/>
    <w:rsid w:val="00C9370B"/>
    <w:rsid w:val="00C96DDF"/>
    <w:rsid w:val="00C97569"/>
    <w:rsid w:val="00CA199D"/>
    <w:rsid w:val="00CA4D9C"/>
    <w:rsid w:val="00CB05A7"/>
    <w:rsid w:val="00CB06A4"/>
    <w:rsid w:val="00CB325B"/>
    <w:rsid w:val="00CB37E4"/>
    <w:rsid w:val="00CB3EFF"/>
    <w:rsid w:val="00CB6086"/>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E31CC"/>
    <w:rsid w:val="00CE59ED"/>
    <w:rsid w:val="00CF640B"/>
    <w:rsid w:val="00CF6B5A"/>
    <w:rsid w:val="00D027AF"/>
    <w:rsid w:val="00D0323E"/>
    <w:rsid w:val="00D06652"/>
    <w:rsid w:val="00D07FA6"/>
    <w:rsid w:val="00D16ADF"/>
    <w:rsid w:val="00D17C53"/>
    <w:rsid w:val="00D17D57"/>
    <w:rsid w:val="00D2341D"/>
    <w:rsid w:val="00D252DA"/>
    <w:rsid w:val="00D25E0E"/>
    <w:rsid w:val="00D30238"/>
    <w:rsid w:val="00D302EB"/>
    <w:rsid w:val="00D31679"/>
    <w:rsid w:val="00D320C8"/>
    <w:rsid w:val="00D330B6"/>
    <w:rsid w:val="00D3672F"/>
    <w:rsid w:val="00D40ABA"/>
    <w:rsid w:val="00D40FE2"/>
    <w:rsid w:val="00D440FA"/>
    <w:rsid w:val="00D44BCF"/>
    <w:rsid w:val="00D46E73"/>
    <w:rsid w:val="00D5548D"/>
    <w:rsid w:val="00D56572"/>
    <w:rsid w:val="00D60F81"/>
    <w:rsid w:val="00D63951"/>
    <w:rsid w:val="00D63BF2"/>
    <w:rsid w:val="00D63DD5"/>
    <w:rsid w:val="00D63DE7"/>
    <w:rsid w:val="00D67348"/>
    <w:rsid w:val="00D70A26"/>
    <w:rsid w:val="00D73BB4"/>
    <w:rsid w:val="00D74577"/>
    <w:rsid w:val="00D75A6E"/>
    <w:rsid w:val="00D75FEC"/>
    <w:rsid w:val="00D76B98"/>
    <w:rsid w:val="00D82E63"/>
    <w:rsid w:val="00D835A0"/>
    <w:rsid w:val="00D86905"/>
    <w:rsid w:val="00D86F2C"/>
    <w:rsid w:val="00D94301"/>
    <w:rsid w:val="00D96248"/>
    <w:rsid w:val="00DA0680"/>
    <w:rsid w:val="00DA36F6"/>
    <w:rsid w:val="00DA451C"/>
    <w:rsid w:val="00DA48F0"/>
    <w:rsid w:val="00DB0C8D"/>
    <w:rsid w:val="00DB6AF2"/>
    <w:rsid w:val="00DB7AD6"/>
    <w:rsid w:val="00DC1599"/>
    <w:rsid w:val="00DC1611"/>
    <w:rsid w:val="00DD36A8"/>
    <w:rsid w:val="00DD3C53"/>
    <w:rsid w:val="00DD6B73"/>
    <w:rsid w:val="00DE745D"/>
    <w:rsid w:val="00DF0774"/>
    <w:rsid w:val="00DF1036"/>
    <w:rsid w:val="00DF4644"/>
    <w:rsid w:val="00DF68F6"/>
    <w:rsid w:val="00DF7A83"/>
    <w:rsid w:val="00E012B4"/>
    <w:rsid w:val="00E05451"/>
    <w:rsid w:val="00E05651"/>
    <w:rsid w:val="00E0704E"/>
    <w:rsid w:val="00E100F6"/>
    <w:rsid w:val="00E10527"/>
    <w:rsid w:val="00E11BA5"/>
    <w:rsid w:val="00E17CBD"/>
    <w:rsid w:val="00E20425"/>
    <w:rsid w:val="00E21768"/>
    <w:rsid w:val="00E25DCB"/>
    <w:rsid w:val="00E2613B"/>
    <w:rsid w:val="00E313DF"/>
    <w:rsid w:val="00E330E0"/>
    <w:rsid w:val="00E3492A"/>
    <w:rsid w:val="00E36C70"/>
    <w:rsid w:val="00E4156E"/>
    <w:rsid w:val="00E41CEB"/>
    <w:rsid w:val="00E43C4C"/>
    <w:rsid w:val="00E44D61"/>
    <w:rsid w:val="00E453F2"/>
    <w:rsid w:val="00E460AD"/>
    <w:rsid w:val="00E61925"/>
    <w:rsid w:val="00E6363B"/>
    <w:rsid w:val="00E65C0E"/>
    <w:rsid w:val="00E65FB9"/>
    <w:rsid w:val="00E730FC"/>
    <w:rsid w:val="00E746F0"/>
    <w:rsid w:val="00E809B9"/>
    <w:rsid w:val="00E81D96"/>
    <w:rsid w:val="00E82A15"/>
    <w:rsid w:val="00E85445"/>
    <w:rsid w:val="00E87589"/>
    <w:rsid w:val="00E875BF"/>
    <w:rsid w:val="00E938FF"/>
    <w:rsid w:val="00E93DFE"/>
    <w:rsid w:val="00EA1DD0"/>
    <w:rsid w:val="00EA2124"/>
    <w:rsid w:val="00EA2B12"/>
    <w:rsid w:val="00EA34DC"/>
    <w:rsid w:val="00EA456C"/>
    <w:rsid w:val="00EA5017"/>
    <w:rsid w:val="00EA6BED"/>
    <w:rsid w:val="00EB1042"/>
    <w:rsid w:val="00EB14F0"/>
    <w:rsid w:val="00EB3844"/>
    <w:rsid w:val="00EB5A9F"/>
    <w:rsid w:val="00EB6A59"/>
    <w:rsid w:val="00EC573F"/>
    <w:rsid w:val="00EC5C8D"/>
    <w:rsid w:val="00ED106C"/>
    <w:rsid w:val="00ED2D34"/>
    <w:rsid w:val="00ED4805"/>
    <w:rsid w:val="00ED57F6"/>
    <w:rsid w:val="00ED6C51"/>
    <w:rsid w:val="00ED6DA1"/>
    <w:rsid w:val="00EE0056"/>
    <w:rsid w:val="00EE08CE"/>
    <w:rsid w:val="00EF0AF8"/>
    <w:rsid w:val="00EF207D"/>
    <w:rsid w:val="00EF4258"/>
    <w:rsid w:val="00EF5B80"/>
    <w:rsid w:val="00EF6D31"/>
    <w:rsid w:val="00F01A1B"/>
    <w:rsid w:val="00F02237"/>
    <w:rsid w:val="00F046F1"/>
    <w:rsid w:val="00F072E2"/>
    <w:rsid w:val="00F079A6"/>
    <w:rsid w:val="00F10236"/>
    <w:rsid w:val="00F15811"/>
    <w:rsid w:val="00F22423"/>
    <w:rsid w:val="00F24C72"/>
    <w:rsid w:val="00F30267"/>
    <w:rsid w:val="00F31D22"/>
    <w:rsid w:val="00F348B2"/>
    <w:rsid w:val="00F34BF0"/>
    <w:rsid w:val="00F34ED8"/>
    <w:rsid w:val="00F35631"/>
    <w:rsid w:val="00F4095A"/>
    <w:rsid w:val="00F452CC"/>
    <w:rsid w:val="00F45845"/>
    <w:rsid w:val="00F50189"/>
    <w:rsid w:val="00F508FC"/>
    <w:rsid w:val="00F510B7"/>
    <w:rsid w:val="00F53571"/>
    <w:rsid w:val="00F54044"/>
    <w:rsid w:val="00F576E7"/>
    <w:rsid w:val="00F73D1C"/>
    <w:rsid w:val="00F763FC"/>
    <w:rsid w:val="00F76B4A"/>
    <w:rsid w:val="00F772C1"/>
    <w:rsid w:val="00F77354"/>
    <w:rsid w:val="00F8026D"/>
    <w:rsid w:val="00F8245F"/>
    <w:rsid w:val="00F82E40"/>
    <w:rsid w:val="00F87EF2"/>
    <w:rsid w:val="00F91629"/>
    <w:rsid w:val="00F91E2A"/>
    <w:rsid w:val="00F96C39"/>
    <w:rsid w:val="00F96E41"/>
    <w:rsid w:val="00FA153F"/>
    <w:rsid w:val="00FA1D78"/>
    <w:rsid w:val="00FA1F7E"/>
    <w:rsid w:val="00FA280F"/>
    <w:rsid w:val="00FA5289"/>
    <w:rsid w:val="00FA6213"/>
    <w:rsid w:val="00FB2186"/>
    <w:rsid w:val="00FB6B3B"/>
    <w:rsid w:val="00FB7E03"/>
    <w:rsid w:val="00FD0133"/>
    <w:rsid w:val="00FD25FE"/>
    <w:rsid w:val="00FD6206"/>
    <w:rsid w:val="00FD79BF"/>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F62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Mentionnonrsolue1">
    <w:name w:val="Mention non résolue1"/>
    <w:basedOn w:val="Policepardfaut"/>
    <w:uiPriority w:val="99"/>
    <w:semiHidden/>
    <w:unhideWhenUsed/>
    <w:rsid w:val="002719D0"/>
    <w:rPr>
      <w:color w:val="605E5C"/>
      <w:shd w:val="clear" w:color="auto" w:fill="E1DFDD"/>
    </w:rPr>
  </w:style>
  <w:style w:type="character" w:customStyle="1" w:styleId="corpsdedcisionCar">
    <w:name w:val="corps de décision Car"/>
    <w:link w:val="corpsdedcision"/>
    <w:rsid w:val="0053175C"/>
    <w:rPr>
      <w:rFonts w:ascii="Arial" w:hAnsi="Arial"/>
      <w:sz w:val="24"/>
    </w:rPr>
  </w:style>
  <w:style w:type="paragraph" w:customStyle="1" w:styleId="yChet1">
    <w:name w:val="yCh_et1"/>
    <w:rsid w:val="00EF5B80"/>
    <w:rPr>
      <w:rFonts w:ascii="Arial" w:hAnsi="Arial"/>
      <w:sz w:val="24"/>
    </w:rPr>
  </w:style>
  <w:style w:type="paragraph" w:customStyle="1" w:styleId="corpsdedcision0">
    <w:name w:val="corpsdedcision"/>
    <w:basedOn w:val="Normal"/>
    <w:rsid w:val="008A3488"/>
    <w:pPr>
      <w:spacing w:before="100" w:beforeAutospacing="1" w:after="100" w:afterAutospacing="1"/>
    </w:pPr>
    <w:rPr>
      <w:rFonts w:ascii="Times New Roman" w:hAnsi="Times New Roman"/>
      <w:szCs w:val="24"/>
    </w:rPr>
  </w:style>
  <w:style w:type="paragraph" w:customStyle="1" w:styleId="articlesdelalatmpnouveaux0">
    <w:name w:val="articlesdelalatmpnouveaux"/>
    <w:basedOn w:val="Normal"/>
    <w:rsid w:val="008A3488"/>
    <w:pPr>
      <w:spacing w:before="100" w:beforeAutospacing="1" w:after="100" w:afterAutospacing="1"/>
    </w:pPr>
    <w:rPr>
      <w:rFonts w:ascii="Times New Roman" w:hAnsi="Times New Roman"/>
      <w:szCs w:val="24"/>
    </w:rPr>
  </w:style>
  <w:style w:type="character" w:customStyle="1" w:styleId="reflex">
    <w:name w:val="reflex"/>
    <w:basedOn w:val="Policepardfaut"/>
    <w:rsid w:val="008A3488"/>
  </w:style>
  <w:style w:type="paragraph" w:styleId="Corpsdetexte0">
    <w:name w:val="Body Text"/>
    <w:basedOn w:val="Normal"/>
    <w:link w:val="CorpsdetexteCar"/>
    <w:uiPriority w:val="99"/>
    <w:unhideWhenUsed/>
    <w:rsid w:val="009132A2"/>
    <w:pPr>
      <w:spacing w:before="100" w:beforeAutospacing="1" w:after="100" w:afterAutospacing="1"/>
    </w:pPr>
    <w:rPr>
      <w:rFonts w:ascii="Times New Roman" w:hAnsi="Times New Roman"/>
      <w:szCs w:val="24"/>
    </w:rPr>
  </w:style>
  <w:style w:type="character" w:customStyle="1" w:styleId="CorpsdetexteCar">
    <w:name w:val="Corps de texte Car"/>
    <w:basedOn w:val="Policepardfaut"/>
    <w:link w:val="Corpsdetexte0"/>
    <w:uiPriority w:val="99"/>
    <w:rsid w:val="009132A2"/>
    <w:rPr>
      <w:sz w:val="24"/>
      <w:szCs w:val="24"/>
    </w:rPr>
  </w:style>
  <w:style w:type="paragraph" w:customStyle="1" w:styleId="articledeloiaprsle1avril">
    <w:name w:val="articledeloiaprsle1avril"/>
    <w:basedOn w:val="Normal"/>
    <w:rsid w:val="009132A2"/>
    <w:pPr>
      <w:spacing w:before="100" w:beforeAutospacing="1" w:after="100" w:afterAutospacing="1"/>
    </w:pPr>
    <w:rPr>
      <w:rFonts w:ascii="Times New Roman" w:hAnsi="Times New Roman"/>
      <w:szCs w:val="24"/>
    </w:rPr>
  </w:style>
  <w:style w:type="paragraph" w:styleId="Rvision">
    <w:name w:val="Revision"/>
    <w:hidden/>
    <w:uiPriority w:val="99"/>
    <w:semiHidden/>
    <w:rsid w:val="000A6392"/>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858606">
      <w:bodyDiv w:val="1"/>
      <w:marLeft w:val="0"/>
      <w:marRight w:val="0"/>
      <w:marTop w:val="0"/>
      <w:marBottom w:val="0"/>
      <w:divBdr>
        <w:top w:val="none" w:sz="0" w:space="0" w:color="auto"/>
        <w:left w:val="none" w:sz="0" w:space="0" w:color="auto"/>
        <w:bottom w:val="none" w:sz="0" w:space="0" w:color="auto"/>
        <w:right w:val="none" w:sz="0" w:space="0" w:color="auto"/>
      </w:divBdr>
      <w:divsChild>
        <w:div w:id="1214343810">
          <w:marLeft w:val="0"/>
          <w:marRight w:val="0"/>
          <w:marTop w:val="0"/>
          <w:marBottom w:val="0"/>
          <w:divBdr>
            <w:top w:val="none" w:sz="0" w:space="0" w:color="auto"/>
            <w:left w:val="none" w:sz="0" w:space="0" w:color="auto"/>
            <w:bottom w:val="none" w:sz="0" w:space="0" w:color="auto"/>
            <w:right w:val="none" w:sz="0" w:space="0" w:color="auto"/>
          </w:divBdr>
        </w:div>
        <w:div w:id="704058069">
          <w:marLeft w:val="0"/>
          <w:marRight w:val="0"/>
          <w:marTop w:val="0"/>
          <w:marBottom w:val="0"/>
          <w:divBdr>
            <w:top w:val="none" w:sz="0" w:space="0" w:color="auto"/>
            <w:left w:val="none" w:sz="0" w:space="0" w:color="auto"/>
            <w:bottom w:val="none" w:sz="0" w:space="0" w:color="auto"/>
            <w:right w:val="none" w:sz="0" w:space="0" w:color="auto"/>
          </w:divBdr>
        </w:div>
      </w:divsChild>
    </w:div>
    <w:div w:id="317540856">
      <w:bodyDiv w:val="1"/>
      <w:marLeft w:val="0"/>
      <w:marRight w:val="0"/>
      <w:marTop w:val="0"/>
      <w:marBottom w:val="0"/>
      <w:divBdr>
        <w:top w:val="none" w:sz="0" w:space="0" w:color="auto"/>
        <w:left w:val="none" w:sz="0" w:space="0" w:color="auto"/>
        <w:bottom w:val="none" w:sz="0" w:space="0" w:color="auto"/>
        <w:right w:val="none" w:sz="0" w:space="0" w:color="auto"/>
      </w:divBdr>
      <w:divsChild>
        <w:div w:id="979067481">
          <w:marLeft w:val="0"/>
          <w:marRight w:val="0"/>
          <w:marTop w:val="0"/>
          <w:marBottom w:val="0"/>
          <w:divBdr>
            <w:top w:val="none" w:sz="0" w:space="0" w:color="auto"/>
            <w:left w:val="none" w:sz="0" w:space="0" w:color="auto"/>
            <w:bottom w:val="none" w:sz="0" w:space="0" w:color="auto"/>
            <w:right w:val="none" w:sz="0" w:space="0" w:color="auto"/>
          </w:divBdr>
        </w:div>
        <w:div w:id="586815280">
          <w:marLeft w:val="0"/>
          <w:marRight w:val="0"/>
          <w:marTop w:val="0"/>
          <w:marBottom w:val="0"/>
          <w:divBdr>
            <w:top w:val="none" w:sz="0" w:space="0" w:color="auto"/>
            <w:left w:val="none" w:sz="0" w:space="0" w:color="auto"/>
            <w:bottom w:val="none" w:sz="0" w:space="0" w:color="auto"/>
            <w:right w:val="none" w:sz="0" w:space="0" w:color="auto"/>
          </w:divBdr>
        </w:div>
        <w:div w:id="358285402">
          <w:marLeft w:val="0"/>
          <w:marRight w:val="0"/>
          <w:marTop w:val="0"/>
          <w:marBottom w:val="0"/>
          <w:divBdr>
            <w:top w:val="none" w:sz="0" w:space="0" w:color="auto"/>
            <w:left w:val="none" w:sz="0" w:space="0" w:color="auto"/>
            <w:bottom w:val="none" w:sz="0" w:space="0" w:color="auto"/>
            <w:right w:val="none" w:sz="0" w:space="0" w:color="auto"/>
          </w:divBdr>
        </w:div>
        <w:div w:id="277759110">
          <w:marLeft w:val="0"/>
          <w:marRight w:val="0"/>
          <w:marTop w:val="0"/>
          <w:marBottom w:val="0"/>
          <w:divBdr>
            <w:top w:val="none" w:sz="0" w:space="0" w:color="auto"/>
            <w:left w:val="none" w:sz="0" w:space="0" w:color="auto"/>
            <w:bottom w:val="none" w:sz="0" w:space="0" w:color="auto"/>
            <w:right w:val="none" w:sz="0" w:space="0" w:color="auto"/>
          </w:divBdr>
        </w:div>
        <w:div w:id="1506168127">
          <w:marLeft w:val="0"/>
          <w:marRight w:val="0"/>
          <w:marTop w:val="0"/>
          <w:marBottom w:val="0"/>
          <w:divBdr>
            <w:top w:val="none" w:sz="0" w:space="0" w:color="auto"/>
            <w:left w:val="none" w:sz="0" w:space="0" w:color="auto"/>
            <w:bottom w:val="none" w:sz="0" w:space="0" w:color="auto"/>
            <w:right w:val="none" w:sz="0" w:space="0" w:color="auto"/>
          </w:divBdr>
        </w:div>
      </w:divsChild>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1234046623">
      <w:bodyDiv w:val="1"/>
      <w:marLeft w:val="0"/>
      <w:marRight w:val="0"/>
      <w:marTop w:val="0"/>
      <w:marBottom w:val="0"/>
      <w:divBdr>
        <w:top w:val="none" w:sz="0" w:space="0" w:color="auto"/>
        <w:left w:val="none" w:sz="0" w:space="0" w:color="auto"/>
        <w:bottom w:val="none" w:sz="0" w:space="0" w:color="auto"/>
        <w:right w:val="none" w:sz="0" w:space="0" w:color="auto"/>
      </w:divBdr>
    </w:div>
    <w:div w:id="1266572480">
      <w:bodyDiv w:val="1"/>
      <w:marLeft w:val="0"/>
      <w:marRight w:val="0"/>
      <w:marTop w:val="0"/>
      <w:marBottom w:val="0"/>
      <w:divBdr>
        <w:top w:val="none" w:sz="0" w:space="0" w:color="auto"/>
        <w:left w:val="none" w:sz="0" w:space="0" w:color="auto"/>
        <w:bottom w:val="none" w:sz="0" w:space="0" w:color="auto"/>
        <w:right w:val="none" w:sz="0" w:space="0" w:color="auto"/>
      </w:divBdr>
    </w:div>
    <w:div w:id="1814102377">
      <w:bodyDiv w:val="1"/>
      <w:marLeft w:val="0"/>
      <w:marRight w:val="0"/>
      <w:marTop w:val="0"/>
      <w:marBottom w:val="0"/>
      <w:divBdr>
        <w:top w:val="none" w:sz="0" w:space="0" w:color="auto"/>
        <w:left w:val="none" w:sz="0" w:space="0" w:color="auto"/>
        <w:bottom w:val="none" w:sz="0" w:space="0" w:color="auto"/>
        <w:right w:val="none" w:sz="0" w:space="0" w:color="auto"/>
      </w:divBdr>
      <w:divsChild>
        <w:div w:id="1612056610">
          <w:marLeft w:val="0"/>
          <w:marRight w:val="0"/>
          <w:marTop w:val="219"/>
          <w:marBottom w:val="0"/>
          <w:divBdr>
            <w:top w:val="none" w:sz="0" w:space="0" w:color="auto"/>
            <w:left w:val="none" w:sz="0" w:space="0" w:color="auto"/>
            <w:bottom w:val="none" w:sz="0" w:space="0" w:color="auto"/>
            <w:right w:val="none" w:sz="0" w:space="0" w:color="auto"/>
          </w:divBdr>
          <w:divsChild>
            <w:div w:id="1362439454">
              <w:marLeft w:val="0"/>
              <w:marRight w:val="0"/>
              <w:marTop w:val="0"/>
              <w:marBottom w:val="0"/>
              <w:divBdr>
                <w:top w:val="none" w:sz="0" w:space="0" w:color="auto"/>
                <w:left w:val="none" w:sz="0" w:space="0" w:color="auto"/>
                <w:bottom w:val="none" w:sz="0" w:space="0" w:color="auto"/>
                <w:right w:val="none" w:sz="0" w:space="0" w:color="auto"/>
              </w:divBdr>
              <w:divsChild>
                <w:div w:id="2006275073">
                  <w:marLeft w:val="0"/>
                  <w:marRight w:val="0"/>
                  <w:marTop w:val="219"/>
                  <w:marBottom w:val="240"/>
                  <w:divBdr>
                    <w:top w:val="none" w:sz="0" w:space="0" w:color="auto"/>
                    <w:left w:val="none" w:sz="0" w:space="0" w:color="auto"/>
                    <w:bottom w:val="none" w:sz="0" w:space="0" w:color="auto"/>
                    <w:right w:val="none" w:sz="0" w:space="0" w:color="auto"/>
                  </w:divBdr>
                </w:div>
              </w:divsChild>
            </w:div>
            <w:div w:id="1471900930">
              <w:marLeft w:val="0"/>
              <w:marRight w:val="0"/>
              <w:marTop w:val="260"/>
              <w:marBottom w:val="240"/>
              <w:divBdr>
                <w:top w:val="none" w:sz="0" w:space="0" w:color="auto"/>
                <w:left w:val="none" w:sz="0" w:space="0" w:color="auto"/>
                <w:bottom w:val="none" w:sz="0" w:space="0" w:color="auto"/>
                <w:right w:val="none" w:sz="0" w:space="0" w:color="auto"/>
              </w:divBdr>
              <w:divsChild>
                <w:div w:id="1607929736">
                  <w:marLeft w:val="0"/>
                  <w:marRight w:val="0"/>
                  <w:marTop w:val="219"/>
                  <w:marBottom w:val="0"/>
                  <w:divBdr>
                    <w:top w:val="none" w:sz="0" w:space="0" w:color="auto"/>
                    <w:left w:val="none" w:sz="0" w:space="0" w:color="auto"/>
                    <w:bottom w:val="none" w:sz="0" w:space="0" w:color="auto"/>
                    <w:right w:val="none" w:sz="0" w:space="0" w:color="auto"/>
                  </w:divBdr>
                </w:div>
                <w:div w:id="1452043866">
                  <w:marLeft w:val="0"/>
                  <w:marRight w:val="0"/>
                  <w:marTop w:val="219"/>
                  <w:marBottom w:val="0"/>
                  <w:divBdr>
                    <w:top w:val="none" w:sz="0" w:space="0" w:color="auto"/>
                    <w:left w:val="none" w:sz="0" w:space="0" w:color="auto"/>
                    <w:bottom w:val="none" w:sz="0" w:space="0" w:color="auto"/>
                    <w:right w:val="none" w:sz="0" w:space="0" w:color="auto"/>
                  </w:divBdr>
                </w:div>
                <w:div w:id="613749855">
                  <w:marLeft w:val="0"/>
                  <w:marRight w:val="0"/>
                  <w:marTop w:val="219"/>
                  <w:marBottom w:val="0"/>
                  <w:divBdr>
                    <w:top w:val="none" w:sz="0" w:space="0" w:color="auto"/>
                    <w:left w:val="none" w:sz="0" w:space="0" w:color="auto"/>
                    <w:bottom w:val="none" w:sz="0" w:space="0" w:color="auto"/>
                    <w:right w:val="none" w:sz="0" w:space="0" w:color="auto"/>
                  </w:divBdr>
                </w:div>
                <w:div w:id="411658732">
                  <w:marLeft w:val="0"/>
                  <w:marRight w:val="0"/>
                  <w:marTop w:val="219"/>
                  <w:marBottom w:val="0"/>
                  <w:divBdr>
                    <w:top w:val="none" w:sz="0" w:space="0" w:color="auto"/>
                    <w:left w:val="none" w:sz="0" w:space="0" w:color="auto"/>
                    <w:bottom w:val="none" w:sz="0" w:space="0" w:color="auto"/>
                    <w:right w:val="none" w:sz="0" w:space="0" w:color="auto"/>
                  </w:divBdr>
                </w:div>
                <w:div w:id="470633647">
                  <w:marLeft w:val="0"/>
                  <w:marRight w:val="0"/>
                  <w:marTop w:val="219"/>
                  <w:marBottom w:val="0"/>
                  <w:divBdr>
                    <w:top w:val="none" w:sz="0" w:space="0" w:color="auto"/>
                    <w:left w:val="none" w:sz="0" w:space="0" w:color="auto"/>
                    <w:bottom w:val="none" w:sz="0" w:space="0" w:color="auto"/>
                    <w:right w:val="none" w:sz="0" w:space="0" w:color="auto"/>
                  </w:divBdr>
                </w:div>
                <w:div w:id="2036812107">
                  <w:marLeft w:val="0"/>
                  <w:marRight w:val="0"/>
                  <w:marTop w:val="219"/>
                  <w:marBottom w:val="0"/>
                  <w:divBdr>
                    <w:top w:val="none" w:sz="0" w:space="0" w:color="auto"/>
                    <w:left w:val="none" w:sz="0" w:space="0" w:color="auto"/>
                    <w:bottom w:val="none" w:sz="0" w:space="0" w:color="auto"/>
                    <w:right w:val="none" w:sz="0" w:space="0" w:color="auto"/>
                  </w:divBdr>
                </w:div>
              </w:divsChild>
            </w:div>
            <w:div w:id="302972950">
              <w:marLeft w:val="0"/>
              <w:marRight w:val="0"/>
              <w:marTop w:val="240"/>
              <w:marBottom w:val="0"/>
              <w:divBdr>
                <w:top w:val="none" w:sz="0" w:space="0" w:color="auto"/>
                <w:left w:val="none" w:sz="0" w:space="0" w:color="auto"/>
                <w:bottom w:val="none" w:sz="0" w:space="0" w:color="auto"/>
                <w:right w:val="none" w:sz="0" w:space="0" w:color="auto"/>
              </w:divBdr>
            </w:div>
          </w:divsChild>
        </w:div>
        <w:div w:id="1487356895">
          <w:marLeft w:val="0"/>
          <w:marRight w:val="0"/>
          <w:marTop w:val="219"/>
          <w:marBottom w:val="0"/>
          <w:divBdr>
            <w:top w:val="none" w:sz="0" w:space="0" w:color="auto"/>
            <w:left w:val="none" w:sz="0" w:space="0" w:color="auto"/>
            <w:bottom w:val="none" w:sz="0" w:space="0" w:color="auto"/>
            <w:right w:val="none" w:sz="0" w:space="0" w:color="auto"/>
          </w:divBdr>
          <w:divsChild>
            <w:div w:id="1044797005">
              <w:marLeft w:val="0"/>
              <w:marRight w:val="0"/>
              <w:marTop w:val="0"/>
              <w:marBottom w:val="0"/>
              <w:divBdr>
                <w:top w:val="none" w:sz="0" w:space="0" w:color="auto"/>
                <w:left w:val="none" w:sz="0" w:space="0" w:color="auto"/>
                <w:bottom w:val="none" w:sz="0" w:space="0" w:color="auto"/>
                <w:right w:val="none" w:sz="0" w:space="0" w:color="auto"/>
              </w:divBdr>
              <w:divsChild>
                <w:div w:id="496460772">
                  <w:marLeft w:val="0"/>
                  <w:marRight w:val="0"/>
                  <w:marTop w:val="219"/>
                  <w:marBottom w:val="240"/>
                  <w:divBdr>
                    <w:top w:val="none" w:sz="0" w:space="0" w:color="auto"/>
                    <w:left w:val="none" w:sz="0" w:space="0" w:color="auto"/>
                    <w:bottom w:val="none" w:sz="0" w:space="0" w:color="auto"/>
                    <w:right w:val="none" w:sz="0" w:space="0" w:color="auto"/>
                  </w:divBdr>
                </w:div>
              </w:divsChild>
            </w:div>
            <w:div w:id="1690986162">
              <w:marLeft w:val="0"/>
              <w:marRight w:val="0"/>
              <w:marTop w:val="260"/>
              <w:marBottom w:val="24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anlii.org/fr/qc/legis/lois/rlrq-c-a-3.001/derniere/rlrq-c-a-3.001.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canlii.org/fr/qc/legis/lois/rlrq-c-s-2.1/derniere/rlrq-c-s-2.1.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06654A-1666-4082-906A-72BD255FF4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4768</Words>
  <Characters>26228</Characters>
  <Application>Microsoft Office Word</Application>
  <DocSecurity>0</DocSecurity>
  <Lines>218</Lines>
  <Paragraphs>61</Paragraphs>
  <ScaleCrop>false</ScaleCrop>
  <Company/>
  <LinksUpToDate>false</LinksUpToDate>
  <CharactersWithSpaces>30935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2025-08-07T14:56:00Z</dcterms:created>
  <dcterms:modified xsi:type="dcterms:W3CDTF">2025-08-07T14:56:00Z</dcterms:modified>
</cp:coreProperties>
</file>