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7F73C7AB" w14:textId="77777777">
        <w:trPr>
          <w:cantSplit/>
        </w:trPr>
        <w:tc>
          <w:tcPr>
            <w:tcW w:w="4795" w:type="dxa"/>
          </w:tcPr>
          <w:p w14:paraId="17836B95" w14:textId="2B5A85AB" w:rsidR="008A7FD1" w:rsidRPr="00A023EE" w:rsidRDefault="00A023EE" w:rsidP="00A023EE">
            <w:pPr>
              <w:pStyle w:val="zSoquijdatRepertorie"/>
              <w:rPr>
                <w:rFonts w:cs="Arial"/>
              </w:rPr>
            </w:pPr>
            <w:bookmarkStart w:id="0" w:name="_GoBack"/>
            <w:bookmarkEnd w:id="0"/>
            <w:r>
              <w:rPr>
                <w:rFonts w:cs="Arial"/>
              </w:rPr>
              <w:t>Bush et Resto Bar Top Shot</w:t>
            </w:r>
          </w:p>
        </w:tc>
        <w:tc>
          <w:tcPr>
            <w:tcW w:w="2477" w:type="dxa"/>
          </w:tcPr>
          <w:p w14:paraId="27C303C1" w14:textId="2123D935" w:rsidR="008A7FD1" w:rsidRPr="00FD403E" w:rsidRDefault="00FD403E" w:rsidP="00FD403E">
            <w:pPr>
              <w:pStyle w:val="zSoquijdatRefNeutre"/>
              <w:rPr>
                <w:rFonts w:cs="Arial"/>
              </w:rPr>
            </w:pPr>
            <w:r w:rsidRPr="00FD403E">
              <w:rPr>
                <w:rFonts w:cs="Arial"/>
              </w:rPr>
              <w:t>2025 QCTAT 3778</w:t>
            </w:r>
          </w:p>
        </w:tc>
      </w:tr>
    </w:tbl>
    <w:p w14:paraId="17BFF30B"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3C87F286" w14:textId="77777777" w:rsidTr="00036794">
        <w:trPr>
          <w:cantSplit/>
        </w:trPr>
        <w:tc>
          <w:tcPr>
            <w:tcW w:w="9568" w:type="dxa"/>
            <w:gridSpan w:val="4"/>
          </w:tcPr>
          <w:p w14:paraId="39DBB3A7" w14:textId="77777777" w:rsidR="00C74B6F" w:rsidRPr="00BE1981" w:rsidRDefault="00C74B6F">
            <w:pPr>
              <w:rPr>
                <w:szCs w:val="24"/>
              </w:rPr>
            </w:pPr>
          </w:p>
        </w:tc>
      </w:tr>
      <w:tr w:rsidR="00C74B6F" w14:paraId="48E119DF" w14:textId="77777777" w:rsidTr="00036794">
        <w:trPr>
          <w:cantSplit/>
        </w:trPr>
        <w:tc>
          <w:tcPr>
            <w:tcW w:w="9568" w:type="dxa"/>
            <w:gridSpan w:val="4"/>
            <w:vAlign w:val="center"/>
          </w:tcPr>
          <w:p w14:paraId="466FC4E3" w14:textId="77777777" w:rsidR="00C74B6F" w:rsidRPr="000E1320" w:rsidRDefault="000E1320">
            <w:pPr>
              <w:jc w:val="center"/>
              <w:rPr>
                <w:sz w:val="36"/>
                <w:szCs w:val="36"/>
              </w:rPr>
            </w:pPr>
            <w:r w:rsidRPr="000E1320">
              <w:rPr>
                <w:b/>
                <w:sz w:val="36"/>
                <w:szCs w:val="36"/>
              </w:rPr>
              <w:t>TRIBUNAL ADMINISTRATIF DU TRAVAIL</w:t>
            </w:r>
          </w:p>
        </w:tc>
      </w:tr>
      <w:tr w:rsidR="00C74B6F" w14:paraId="69094912" w14:textId="77777777" w:rsidTr="00036794">
        <w:trPr>
          <w:cantSplit/>
        </w:trPr>
        <w:tc>
          <w:tcPr>
            <w:tcW w:w="9568" w:type="dxa"/>
            <w:gridSpan w:val="4"/>
          </w:tcPr>
          <w:p w14:paraId="7EAA5EF1" w14:textId="6CDD89C1" w:rsidR="00C74B6F" w:rsidRPr="00BE7014" w:rsidRDefault="006F0154" w:rsidP="009A67E7">
            <w:pPr>
              <w:pStyle w:val="zSoquijdatDivision"/>
            </w:pPr>
            <w:r w:rsidRPr="00BE7014">
              <w:t>(</w:t>
            </w:r>
            <w:r w:rsidR="00F32418" w:rsidRPr="00441ADA">
              <w:t>Division de la santé et de la sécurité du travail</w:t>
            </w:r>
            <w:r w:rsidRPr="00BE7014">
              <w:t>)</w:t>
            </w:r>
          </w:p>
        </w:tc>
      </w:tr>
      <w:tr w:rsidR="00C74B6F" w14:paraId="0CAC5A64" w14:textId="77777777" w:rsidTr="00036794">
        <w:trPr>
          <w:cantSplit/>
        </w:trPr>
        <w:tc>
          <w:tcPr>
            <w:tcW w:w="9568" w:type="dxa"/>
            <w:gridSpan w:val="4"/>
          </w:tcPr>
          <w:p w14:paraId="24452BC1" w14:textId="77777777" w:rsidR="002B2FC3" w:rsidRDefault="002B2FC3" w:rsidP="002B2FC3"/>
        </w:tc>
      </w:tr>
      <w:tr w:rsidR="00A84FC6" w14:paraId="68FBA1DE" w14:textId="77777777" w:rsidTr="00036794">
        <w:trPr>
          <w:cantSplit/>
        </w:trPr>
        <w:tc>
          <w:tcPr>
            <w:tcW w:w="9568" w:type="dxa"/>
            <w:gridSpan w:val="4"/>
          </w:tcPr>
          <w:p w14:paraId="4B14688C" w14:textId="77777777" w:rsidR="00A84FC6" w:rsidRDefault="00A84FC6" w:rsidP="002B2FC3"/>
        </w:tc>
      </w:tr>
      <w:tr w:rsidR="00C74B6F" w14:paraId="649DC116" w14:textId="77777777" w:rsidTr="00036794">
        <w:tc>
          <w:tcPr>
            <w:tcW w:w="3331" w:type="dxa"/>
          </w:tcPr>
          <w:p w14:paraId="187DA7C7" w14:textId="77777777" w:rsidR="00C74B6F" w:rsidRDefault="0084255F">
            <w:bookmarkStart w:id="1" w:name="region" w:colFirst="1" w:colLast="1"/>
            <w:r>
              <w:t>Région :</w:t>
            </w:r>
          </w:p>
        </w:tc>
        <w:tc>
          <w:tcPr>
            <w:tcW w:w="6237" w:type="dxa"/>
            <w:gridSpan w:val="3"/>
          </w:tcPr>
          <w:p w14:paraId="279A46E0" w14:textId="45E84354" w:rsidR="00C74B6F" w:rsidRDefault="004B4BA9" w:rsidP="00F4095A">
            <w:pPr>
              <w:pStyle w:val="zSoquijdatGreffe"/>
            </w:pPr>
            <w:r>
              <w:t>Laurentides</w:t>
            </w:r>
          </w:p>
        </w:tc>
      </w:tr>
      <w:bookmarkEnd w:id="1"/>
      <w:tr w:rsidR="00C74B6F" w14:paraId="4D998343" w14:textId="77777777" w:rsidTr="00036794">
        <w:trPr>
          <w:cantSplit/>
        </w:trPr>
        <w:tc>
          <w:tcPr>
            <w:tcW w:w="9568" w:type="dxa"/>
            <w:gridSpan w:val="4"/>
          </w:tcPr>
          <w:p w14:paraId="13054E4C" w14:textId="77777777" w:rsidR="00C74B6F" w:rsidRDefault="00C74B6F"/>
        </w:tc>
      </w:tr>
      <w:tr w:rsidR="00C74B6F" w14:paraId="78C4490C" w14:textId="77777777" w:rsidTr="00036794">
        <w:tc>
          <w:tcPr>
            <w:tcW w:w="3331" w:type="dxa"/>
          </w:tcPr>
          <w:p w14:paraId="154D9063" w14:textId="15BD095C" w:rsidR="00C74B6F" w:rsidRDefault="0084255F">
            <w:bookmarkStart w:id="2" w:name="ref_dossier" w:colFirst="1" w:colLast="1"/>
            <w:r>
              <w:t>Dossier</w:t>
            </w:r>
            <w:bookmarkStart w:id="3" w:name="dossiers"/>
            <w:bookmarkEnd w:id="3"/>
            <w:r w:rsidR="004B4BA9">
              <w:t>s</w:t>
            </w:r>
            <w:r>
              <w:t> :</w:t>
            </w:r>
          </w:p>
        </w:tc>
        <w:tc>
          <w:tcPr>
            <w:tcW w:w="6237" w:type="dxa"/>
            <w:gridSpan w:val="3"/>
          </w:tcPr>
          <w:p w14:paraId="5BA8E0C8" w14:textId="3A52134C" w:rsidR="00C74B6F" w:rsidRDefault="004B4BA9" w:rsidP="00F4095A">
            <w:pPr>
              <w:pStyle w:val="zSoquijdatNoDossier"/>
            </w:pPr>
            <w:bookmarkStart w:id="4" w:name="_Hlk207034185"/>
            <w:r>
              <w:t>1373246-64-2406   1417247-64-2504</w:t>
            </w:r>
            <w:bookmarkEnd w:id="4"/>
          </w:p>
        </w:tc>
      </w:tr>
      <w:bookmarkEnd w:id="2"/>
      <w:tr w:rsidR="00C74B6F" w14:paraId="51B376C1" w14:textId="77777777" w:rsidTr="00036794">
        <w:trPr>
          <w:cantSplit/>
        </w:trPr>
        <w:tc>
          <w:tcPr>
            <w:tcW w:w="9568" w:type="dxa"/>
            <w:gridSpan w:val="4"/>
          </w:tcPr>
          <w:p w14:paraId="1D333CE2" w14:textId="77777777" w:rsidR="00C74B6F" w:rsidRDefault="00D44BCF">
            <w:r>
              <w:fldChar w:fldCharType="begin"/>
            </w:r>
            <w:r>
              <w:instrText xml:space="preserve"> AUTOTEXTLIST  \* Upper  \* MERGEFORMAT </w:instrText>
            </w:r>
            <w:r>
              <w:fldChar w:fldCharType="end"/>
            </w:r>
          </w:p>
        </w:tc>
      </w:tr>
      <w:tr w:rsidR="00C74B6F" w14:paraId="74EEF3B1" w14:textId="77777777" w:rsidTr="00036794">
        <w:tc>
          <w:tcPr>
            <w:tcW w:w="3331" w:type="dxa"/>
          </w:tcPr>
          <w:p w14:paraId="6CDF9CFB" w14:textId="3D9CB31E" w:rsidR="00C74B6F" w:rsidRDefault="008C79A7" w:rsidP="0045114F">
            <w:pPr>
              <w:ind w:right="46"/>
            </w:pPr>
            <w:r>
              <w:t>Dossier</w:t>
            </w:r>
            <w:r w:rsidR="004B4BA9">
              <w:t xml:space="preserve"> CNESST</w:t>
            </w:r>
            <w:r w:rsidRPr="008C79A7">
              <w:rPr>
                <w:szCs w:val="24"/>
              </w:rPr>
              <w:t xml:space="preserve"> :</w:t>
            </w:r>
          </w:p>
        </w:tc>
        <w:tc>
          <w:tcPr>
            <w:tcW w:w="6237" w:type="dxa"/>
            <w:gridSpan w:val="3"/>
          </w:tcPr>
          <w:p w14:paraId="59964557" w14:textId="5D51A5D7" w:rsidR="00C74B6F" w:rsidRDefault="004B4BA9" w:rsidP="004D6CEA">
            <w:pPr>
              <w:pStyle w:val="zSoquijdatNCSST"/>
            </w:pPr>
            <w:r>
              <w:t>128641891</w:t>
            </w:r>
          </w:p>
        </w:tc>
      </w:tr>
      <w:tr w:rsidR="00C74B6F" w14:paraId="5C388179" w14:textId="77777777" w:rsidTr="00036794">
        <w:trPr>
          <w:cantSplit/>
        </w:trPr>
        <w:tc>
          <w:tcPr>
            <w:tcW w:w="9568" w:type="dxa"/>
            <w:gridSpan w:val="4"/>
          </w:tcPr>
          <w:p w14:paraId="0E07CC62" w14:textId="77777777" w:rsidR="00C74B6F" w:rsidRDefault="00C74B6F"/>
        </w:tc>
      </w:tr>
      <w:tr w:rsidR="00C74B6F" w14:paraId="03AC8B29" w14:textId="77777777" w:rsidTr="00036794">
        <w:trPr>
          <w:cantSplit/>
        </w:trPr>
        <w:tc>
          <w:tcPr>
            <w:tcW w:w="9568" w:type="dxa"/>
            <w:gridSpan w:val="4"/>
          </w:tcPr>
          <w:p w14:paraId="5E26703C" w14:textId="77777777" w:rsidR="00C74B6F" w:rsidRDefault="00C74B6F">
            <w:bookmarkStart w:id="5" w:name="assesseur"/>
            <w:bookmarkEnd w:id="5"/>
          </w:p>
        </w:tc>
      </w:tr>
      <w:tr w:rsidR="006E3DD8" w14:paraId="3CDEF350" w14:textId="77777777" w:rsidTr="00036794">
        <w:trPr>
          <w:cantSplit/>
        </w:trPr>
        <w:tc>
          <w:tcPr>
            <w:tcW w:w="3331" w:type="dxa"/>
          </w:tcPr>
          <w:p w14:paraId="0D6363D0" w14:textId="1A78C71B" w:rsidR="006E3DD8" w:rsidRDefault="004B4BA9" w:rsidP="0076350E">
            <w:pPr>
              <w:ind w:right="-70"/>
            </w:pPr>
            <w:r>
              <w:t>Montréal</w:t>
            </w:r>
            <w:r w:rsidR="00C04E32">
              <w:t>,</w:t>
            </w:r>
          </w:p>
        </w:tc>
        <w:tc>
          <w:tcPr>
            <w:tcW w:w="6237" w:type="dxa"/>
            <w:gridSpan w:val="3"/>
          </w:tcPr>
          <w:p w14:paraId="38F8D3B7" w14:textId="0F454B36" w:rsidR="006E3DD8" w:rsidRDefault="00C04E32" w:rsidP="005B5689">
            <w:pPr>
              <w:pStyle w:val="zSoquijdatDateJugement"/>
            </w:pPr>
            <w:r>
              <w:t xml:space="preserve">le </w:t>
            </w:r>
            <w:r w:rsidR="003A7A4F">
              <w:t>1</w:t>
            </w:r>
            <w:r w:rsidR="003B349A">
              <w:t>1</w:t>
            </w:r>
            <w:r w:rsidR="003A7A4F">
              <w:t> </w:t>
            </w:r>
            <w:r w:rsidR="00296586">
              <w:t>septembre</w:t>
            </w:r>
            <w:r w:rsidR="004B4BA9">
              <w:t xml:space="preserve"> 2025</w:t>
            </w:r>
          </w:p>
        </w:tc>
      </w:tr>
      <w:tr w:rsidR="00942AB8" w14:paraId="56418382" w14:textId="77777777" w:rsidTr="00036794">
        <w:trPr>
          <w:cantSplit/>
        </w:trPr>
        <w:tc>
          <w:tcPr>
            <w:tcW w:w="9568" w:type="dxa"/>
            <w:gridSpan w:val="4"/>
          </w:tcPr>
          <w:p w14:paraId="50292A1D" w14:textId="77777777" w:rsidR="00942AB8" w:rsidRDefault="00942AB8" w:rsidP="00FA153F">
            <w:r>
              <w:t>______________________________________________________________________</w:t>
            </w:r>
          </w:p>
        </w:tc>
      </w:tr>
      <w:tr w:rsidR="00942AB8" w14:paraId="19535A2A" w14:textId="77777777" w:rsidTr="00036794">
        <w:trPr>
          <w:cantSplit/>
          <w:trHeight w:val="148"/>
        </w:trPr>
        <w:tc>
          <w:tcPr>
            <w:tcW w:w="9568" w:type="dxa"/>
            <w:gridSpan w:val="4"/>
          </w:tcPr>
          <w:p w14:paraId="2A5EFE6D" w14:textId="77777777" w:rsidR="00942AB8" w:rsidRDefault="00942AB8" w:rsidP="00FA153F"/>
        </w:tc>
      </w:tr>
      <w:tr w:rsidR="0035375B" w14:paraId="635BFCFB" w14:textId="77777777" w:rsidTr="00036794">
        <w:trPr>
          <w:cantSplit/>
          <w:trHeight w:val="148"/>
        </w:trPr>
        <w:tc>
          <w:tcPr>
            <w:tcW w:w="5883" w:type="dxa"/>
            <w:gridSpan w:val="3"/>
          </w:tcPr>
          <w:p w14:paraId="2DB6CA6F" w14:textId="521155CF" w:rsidR="0035375B" w:rsidRPr="00942AB8" w:rsidRDefault="0035375B">
            <w:pPr>
              <w:rPr>
                <w:b/>
                <w:bCs/>
              </w:rPr>
            </w:pPr>
            <w:bookmarkStart w:id="6" w:name="ref_commissaire" w:colFirst="1" w:colLast="1"/>
            <w:r w:rsidRPr="00942AB8">
              <w:rPr>
                <w:b/>
                <w:bCs/>
              </w:rPr>
              <w:t>DEVANT L</w:t>
            </w:r>
            <w:r w:rsidR="004B4BA9">
              <w:rPr>
                <w:b/>
                <w:bCs/>
              </w:rPr>
              <w:t>E</w:t>
            </w:r>
            <w:r w:rsidRPr="00942AB8">
              <w:rPr>
                <w:b/>
                <w:bCs/>
              </w:rPr>
              <w:t xml:space="preserve"> JUGE ADMINISTRATI</w:t>
            </w:r>
            <w:r w:rsidR="004B4BA9">
              <w:rPr>
                <w:b/>
                <w:bCs/>
              </w:rPr>
              <w:t>F</w:t>
            </w:r>
            <w:r w:rsidRPr="00942AB8">
              <w:rPr>
                <w:b/>
                <w:bCs/>
              </w:rPr>
              <w:t> :</w:t>
            </w:r>
          </w:p>
        </w:tc>
        <w:tc>
          <w:tcPr>
            <w:tcW w:w="3685" w:type="dxa"/>
          </w:tcPr>
          <w:p w14:paraId="5880E19C" w14:textId="2716156A" w:rsidR="0035375B" w:rsidRPr="00942AB8" w:rsidRDefault="004B4BA9" w:rsidP="005B5689">
            <w:pPr>
              <w:pStyle w:val="zSoquijdatJuge"/>
              <w:rPr>
                <w:bCs/>
              </w:rPr>
            </w:pPr>
            <w:r>
              <w:t>Michel Lalonde</w:t>
            </w:r>
          </w:p>
        </w:tc>
      </w:tr>
      <w:bookmarkEnd w:id="6"/>
      <w:tr w:rsidR="00942AB8" w14:paraId="6A96CBBF" w14:textId="77777777" w:rsidTr="00036794">
        <w:trPr>
          <w:cantSplit/>
          <w:trHeight w:val="148"/>
        </w:trPr>
        <w:tc>
          <w:tcPr>
            <w:tcW w:w="9568" w:type="dxa"/>
            <w:gridSpan w:val="4"/>
          </w:tcPr>
          <w:p w14:paraId="5B0504D2" w14:textId="77777777" w:rsidR="00942AB8" w:rsidRDefault="00942AB8" w:rsidP="00FA153F">
            <w:r>
              <w:t>______________________________________________________________________</w:t>
            </w:r>
          </w:p>
        </w:tc>
      </w:tr>
      <w:tr w:rsidR="00942AB8" w14:paraId="1CBC7F96" w14:textId="77777777" w:rsidTr="00036794">
        <w:tc>
          <w:tcPr>
            <w:tcW w:w="9568" w:type="dxa"/>
            <w:gridSpan w:val="4"/>
          </w:tcPr>
          <w:p w14:paraId="361347F6" w14:textId="77777777" w:rsidR="00942AB8" w:rsidRDefault="00942AB8"/>
        </w:tc>
      </w:tr>
      <w:tr w:rsidR="00942AB8" w14:paraId="05D5378B" w14:textId="77777777" w:rsidTr="00E21768">
        <w:tc>
          <w:tcPr>
            <w:tcW w:w="4890" w:type="dxa"/>
            <w:gridSpan w:val="2"/>
          </w:tcPr>
          <w:p w14:paraId="06776175" w14:textId="77777777" w:rsidR="00942AB8" w:rsidRDefault="00942AB8">
            <w:bookmarkStart w:id="7" w:name="bloc_parties_gauche"/>
            <w:bookmarkEnd w:id="7"/>
          </w:p>
        </w:tc>
        <w:tc>
          <w:tcPr>
            <w:tcW w:w="4678" w:type="dxa"/>
            <w:gridSpan w:val="2"/>
          </w:tcPr>
          <w:p w14:paraId="2CE26F51" w14:textId="77777777" w:rsidR="00942AB8" w:rsidRDefault="00942AB8"/>
        </w:tc>
      </w:tr>
      <w:tr w:rsidR="00942AB8" w14:paraId="31B98A04" w14:textId="77777777" w:rsidTr="00E21768">
        <w:tc>
          <w:tcPr>
            <w:tcW w:w="4890" w:type="dxa"/>
            <w:gridSpan w:val="2"/>
          </w:tcPr>
          <w:p w14:paraId="5FC07D0D" w14:textId="36B986C1" w:rsidR="00942AB8" w:rsidRDefault="004B4BA9">
            <w:pPr>
              <w:pStyle w:val="zSoquijdatNomPartieDem"/>
              <w:rPr>
                <w:b/>
              </w:rPr>
            </w:pPr>
            <w:r>
              <w:rPr>
                <w:b/>
              </w:rPr>
              <w:t>Kevin Bush</w:t>
            </w:r>
          </w:p>
        </w:tc>
        <w:tc>
          <w:tcPr>
            <w:tcW w:w="4678" w:type="dxa"/>
            <w:gridSpan w:val="2"/>
          </w:tcPr>
          <w:p w14:paraId="768A4658" w14:textId="77777777" w:rsidR="00942AB8" w:rsidRDefault="00942AB8"/>
        </w:tc>
      </w:tr>
      <w:tr w:rsidR="00942AB8" w14:paraId="26003FB3" w14:textId="77777777" w:rsidTr="00E21768">
        <w:tc>
          <w:tcPr>
            <w:tcW w:w="4890" w:type="dxa"/>
            <w:gridSpan w:val="2"/>
          </w:tcPr>
          <w:p w14:paraId="35F09298" w14:textId="17A418C3" w:rsidR="00942AB8" w:rsidRDefault="004B4BA9" w:rsidP="007B0DF2">
            <w:pPr>
              <w:pStyle w:val="zSoquijdatQtePartieDem"/>
              <w:tabs>
                <w:tab w:val="left" w:pos="3539"/>
              </w:tabs>
              <w:ind w:left="708"/>
            </w:pPr>
            <w:bookmarkStart w:id="8" w:name="partie_demanderesse"/>
            <w:bookmarkEnd w:id="8"/>
            <w:r>
              <w:t>Partie demanderesse</w:t>
            </w:r>
          </w:p>
        </w:tc>
        <w:tc>
          <w:tcPr>
            <w:tcW w:w="4678" w:type="dxa"/>
            <w:gridSpan w:val="2"/>
          </w:tcPr>
          <w:p w14:paraId="6934B492" w14:textId="77777777" w:rsidR="00942AB8" w:rsidRDefault="00942AB8"/>
        </w:tc>
      </w:tr>
      <w:tr w:rsidR="00942AB8" w14:paraId="5051D6E1" w14:textId="77777777" w:rsidTr="00E21768">
        <w:tc>
          <w:tcPr>
            <w:tcW w:w="4890" w:type="dxa"/>
            <w:gridSpan w:val="2"/>
          </w:tcPr>
          <w:p w14:paraId="729876C3" w14:textId="77777777" w:rsidR="00942AB8" w:rsidRDefault="00942AB8" w:rsidP="00E6363B"/>
        </w:tc>
        <w:tc>
          <w:tcPr>
            <w:tcW w:w="4678" w:type="dxa"/>
            <w:gridSpan w:val="2"/>
          </w:tcPr>
          <w:p w14:paraId="5E1114A5" w14:textId="77777777" w:rsidR="00942AB8" w:rsidRDefault="00942AB8"/>
        </w:tc>
      </w:tr>
      <w:tr w:rsidR="00942AB8" w14:paraId="6A9EF025" w14:textId="77777777" w:rsidTr="00E21768">
        <w:tc>
          <w:tcPr>
            <w:tcW w:w="4890" w:type="dxa"/>
            <w:gridSpan w:val="2"/>
          </w:tcPr>
          <w:p w14:paraId="6EAD66E1" w14:textId="0128D423" w:rsidR="00942AB8" w:rsidRDefault="004B4BA9" w:rsidP="00D06652">
            <w:pPr>
              <w:pStyle w:val="zSoquijlblLienParties"/>
            </w:pPr>
            <w:r>
              <w:t>et</w:t>
            </w:r>
          </w:p>
        </w:tc>
        <w:tc>
          <w:tcPr>
            <w:tcW w:w="4678" w:type="dxa"/>
            <w:gridSpan w:val="2"/>
          </w:tcPr>
          <w:p w14:paraId="0D50AA38" w14:textId="77777777" w:rsidR="00942AB8" w:rsidRDefault="00942AB8"/>
        </w:tc>
      </w:tr>
      <w:tr w:rsidR="00942AB8" w14:paraId="3C5EE934" w14:textId="77777777" w:rsidTr="00E21768">
        <w:tc>
          <w:tcPr>
            <w:tcW w:w="4890" w:type="dxa"/>
            <w:gridSpan w:val="2"/>
          </w:tcPr>
          <w:p w14:paraId="6E6FB86B" w14:textId="77777777" w:rsidR="00942AB8" w:rsidRDefault="00942AB8"/>
        </w:tc>
        <w:tc>
          <w:tcPr>
            <w:tcW w:w="4678" w:type="dxa"/>
            <w:gridSpan w:val="2"/>
          </w:tcPr>
          <w:p w14:paraId="4F02E02C" w14:textId="77777777" w:rsidR="00942AB8" w:rsidRDefault="00942AB8"/>
        </w:tc>
      </w:tr>
      <w:tr w:rsidR="00942AB8" w14:paraId="71DEEBFB" w14:textId="77777777" w:rsidTr="00E21768">
        <w:tc>
          <w:tcPr>
            <w:tcW w:w="4890" w:type="dxa"/>
            <w:gridSpan w:val="2"/>
          </w:tcPr>
          <w:p w14:paraId="202534FA" w14:textId="1DA870A8" w:rsidR="00942AB8" w:rsidRDefault="004B4BA9">
            <w:pPr>
              <w:pStyle w:val="zSoquijdatNomPartieDef"/>
              <w:rPr>
                <w:b/>
              </w:rPr>
            </w:pPr>
            <w:r>
              <w:rPr>
                <w:b/>
              </w:rPr>
              <w:t>Resto Bar Top Shot</w:t>
            </w:r>
          </w:p>
        </w:tc>
        <w:tc>
          <w:tcPr>
            <w:tcW w:w="4678" w:type="dxa"/>
            <w:gridSpan w:val="2"/>
          </w:tcPr>
          <w:p w14:paraId="4E6E206E" w14:textId="77777777" w:rsidR="00942AB8" w:rsidRDefault="00942AB8"/>
        </w:tc>
      </w:tr>
      <w:tr w:rsidR="00942AB8" w14:paraId="437D05EA" w14:textId="77777777" w:rsidTr="00E21768">
        <w:tc>
          <w:tcPr>
            <w:tcW w:w="4890" w:type="dxa"/>
            <w:gridSpan w:val="2"/>
          </w:tcPr>
          <w:p w14:paraId="100FFC17" w14:textId="4A7763E2" w:rsidR="00942AB8" w:rsidRDefault="004B4BA9">
            <w:pPr>
              <w:pStyle w:val="zSoquijdatQtePartieDef"/>
              <w:ind w:left="708"/>
            </w:pPr>
            <w:r>
              <w:t>Partie mise en cause</w:t>
            </w:r>
          </w:p>
        </w:tc>
        <w:tc>
          <w:tcPr>
            <w:tcW w:w="4678" w:type="dxa"/>
            <w:gridSpan w:val="2"/>
          </w:tcPr>
          <w:p w14:paraId="5046B43A" w14:textId="77777777" w:rsidR="00942AB8" w:rsidRDefault="00942AB8"/>
        </w:tc>
      </w:tr>
      <w:tr w:rsidR="0065093D" w14:paraId="0CD31C67" w14:textId="77777777" w:rsidTr="00E21768">
        <w:tc>
          <w:tcPr>
            <w:tcW w:w="4890" w:type="dxa"/>
            <w:gridSpan w:val="2"/>
          </w:tcPr>
          <w:p w14:paraId="2E58AA9D" w14:textId="77777777" w:rsidR="0065093D" w:rsidRDefault="0065093D"/>
        </w:tc>
        <w:tc>
          <w:tcPr>
            <w:tcW w:w="4678" w:type="dxa"/>
            <w:gridSpan w:val="2"/>
          </w:tcPr>
          <w:p w14:paraId="1A962340" w14:textId="77777777" w:rsidR="0065093D" w:rsidRDefault="0065093D"/>
        </w:tc>
      </w:tr>
    </w:tbl>
    <w:p w14:paraId="69AA544F" w14:textId="77777777" w:rsidR="00C74B6F" w:rsidRDefault="00C74B6F">
      <w:r>
        <w:t>______________________________________________________________________</w:t>
      </w:r>
    </w:p>
    <w:p w14:paraId="4671562E" w14:textId="77777777" w:rsidR="00C74B6F" w:rsidRDefault="00C74B6F"/>
    <w:p w14:paraId="050409BE" w14:textId="77777777" w:rsidR="00C74B6F" w:rsidRPr="005B0612" w:rsidRDefault="00C74B6F" w:rsidP="008B042E">
      <w:pPr>
        <w:jc w:val="center"/>
        <w:rPr>
          <w:b/>
          <w:bCs/>
        </w:rPr>
      </w:pPr>
      <w:bookmarkStart w:id="9" w:name="decision"/>
      <w:r w:rsidRPr="005B0612">
        <w:rPr>
          <w:b/>
          <w:bCs/>
        </w:rPr>
        <w:t>DÉCISION</w:t>
      </w:r>
      <w:bookmarkEnd w:id="9"/>
    </w:p>
    <w:p w14:paraId="06F66823" w14:textId="77777777" w:rsidR="008F20EA" w:rsidRDefault="008F20EA" w:rsidP="008F20EA">
      <w:bookmarkStart w:id="10" w:name="separation"/>
      <w:bookmarkStart w:id="11" w:name="parag_1"/>
      <w:r>
        <w:t>______________________________________________________________________</w:t>
      </w:r>
    </w:p>
    <w:p w14:paraId="3605BD57" w14:textId="77777777" w:rsidR="008F20EA" w:rsidRDefault="008F20EA" w:rsidP="008F20EA">
      <w:pPr>
        <w:pStyle w:val="corpsdedcision"/>
        <w:numPr>
          <w:ilvl w:val="0"/>
          <w:numId w:val="0"/>
        </w:numPr>
        <w:spacing w:before="360"/>
      </w:pPr>
      <w:bookmarkStart w:id="12" w:name="supprimer_apercu"/>
      <w:bookmarkEnd w:id="10"/>
      <w:r>
        <w:rPr>
          <w:b/>
          <w:bCs/>
          <w:u w:val="single"/>
        </w:rPr>
        <w:t>L’APERÇU</w:t>
      </w:r>
    </w:p>
    <w:bookmarkEnd w:id="11"/>
    <w:bookmarkEnd w:id="12"/>
    <w:p w14:paraId="153D760B" w14:textId="26F780B9" w:rsidR="00C74B6F" w:rsidRDefault="005E1B3E">
      <w:pPr>
        <w:pStyle w:val="corpsdedcision"/>
      </w:pPr>
      <w:r>
        <w:t>Monsieur Kevin Bush, le travailleur, est un portier qui travaille pour l’employeur, Resto Bar Top Shot.</w:t>
      </w:r>
    </w:p>
    <w:p w14:paraId="4BA61C41" w14:textId="2C6DCA36" w:rsidR="005E1B3E" w:rsidRDefault="005E1B3E">
      <w:pPr>
        <w:pStyle w:val="corpsdedcision"/>
      </w:pPr>
      <w:r>
        <w:t>Il subit une lésion professionnelle</w:t>
      </w:r>
      <w:r w:rsidR="000432F9">
        <w:t>,</w:t>
      </w:r>
      <w:r>
        <w:t xml:space="preserve"> le 3</w:t>
      </w:r>
      <w:r w:rsidR="003A7A4F">
        <w:t> </w:t>
      </w:r>
      <w:r>
        <w:t>novembre 2005</w:t>
      </w:r>
      <w:r w:rsidR="000432F9">
        <w:t>,</w:t>
      </w:r>
      <w:r w:rsidR="00CE66A3">
        <w:t xml:space="preserve"> en expulsant un client agressif. Il se blesse alors à l’épaule droite.</w:t>
      </w:r>
    </w:p>
    <w:p w14:paraId="3C619A01" w14:textId="776CCE00" w:rsidR="00CE66A3" w:rsidRDefault="00CE66A3">
      <w:pPr>
        <w:pStyle w:val="corpsdedcision"/>
      </w:pPr>
      <w:r>
        <w:t xml:space="preserve">Cette lésion professionnelle est consolidée en 2009 avec une atteinte permanente et des limitations fonctionnelles. Le travailleur </w:t>
      </w:r>
      <w:r w:rsidR="003A49E2">
        <w:t xml:space="preserve">ressent </w:t>
      </w:r>
      <w:r>
        <w:t>des douleurs chroniques et du cannabis lui est prescrit</w:t>
      </w:r>
      <w:r w:rsidR="003A49E2">
        <w:t xml:space="preserve"> en raison de cette condition.</w:t>
      </w:r>
    </w:p>
    <w:p w14:paraId="25F79184" w14:textId="10CD82C8" w:rsidR="0081736E" w:rsidRDefault="0081736E">
      <w:pPr>
        <w:pStyle w:val="corpsdedcision"/>
      </w:pPr>
      <w:r>
        <w:t>Le Tribunal</w:t>
      </w:r>
      <w:r>
        <w:rPr>
          <w:rStyle w:val="Appelnotedebasdep"/>
        </w:rPr>
        <w:footnoteReference w:id="1"/>
      </w:r>
      <w:r>
        <w:t xml:space="preserve"> a reconnu </w:t>
      </w:r>
      <w:r w:rsidR="003A7A4F">
        <w:t>que le travailleur a</w:t>
      </w:r>
      <w:r>
        <w:t xml:space="preserve"> droit au remboursement de cannabis thérapeutique afin d</w:t>
      </w:r>
      <w:r w:rsidR="008C38E0">
        <w:t>’atténuer</w:t>
      </w:r>
      <w:r>
        <w:t xml:space="preserve"> ses douleurs chroniques.</w:t>
      </w:r>
    </w:p>
    <w:p w14:paraId="1C52AC36" w14:textId="1D035E55" w:rsidR="0081736E" w:rsidRDefault="0081736E">
      <w:pPr>
        <w:pStyle w:val="corpsdedcision"/>
      </w:pPr>
      <w:r>
        <w:t xml:space="preserve">La Commission des normes, de l’équité, de la santé et de la sécurité du travail confirme à un fournisseur, Aurora, qu’elle rembourse pour le travailleur une quantité de cannabis de </w:t>
      </w:r>
      <w:r w:rsidR="003A7A4F">
        <w:t xml:space="preserve"> 5 g</w:t>
      </w:r>
      <w:r>
        <w:t xml:space="preserve"> par jour avec une concentration maximale </w:t>
      </w:r>
      <w:r w:rsidR="008A1D95">
        <w:t>en THC</w:t>
      </w:r>
      <w:r w:rsidR="0050403E">
        <w:rPr>
          <w:rStyle w:val="Appelnotedebasdep"/>
        </w:rPr>
        <w:footnoteReference w:id="2"/>
      </w:r>
      <w:r w:rsidR="008A1D95">
        <w:t xml:space="preserve"> </w:t>
      </w:r>
      <w:r>
        <w:t>de 25 %. Le 17</w:t>
      </w:r>
      <w:r w:rsidR="008C38E0">
        <w:t> </w:t>
      </w:r>
      <w:r>
        <w:t>juin</w:t>
      </w:r>
      <w:r w:rsidR="008C38E0">
        <w:t> </w:t>
      </w:r>
      <w:r>
        <w:t>2024, la Commission rend une décision à la suite d’une révision administrative et considère que le document initial ne constitue pas une décision, mais bien une lettre adressée à son fournisseur. Le travailleur conteste cette dernière décision.</w:t>
      </w:r>
    </w:p>
    <w:p w14:paraId="2BFC28F2" w14:textId="798D1A36" w:rsidR="0081736E" w:rsidRDefault="0081736E">
      <w:pPr>
        <w:pStyle w:val="corpsdedcision"/>
      </w:pPr>
      <w:r>
        <w:t>Par la suite, la Commission refuse le remboursement pour du cannabis médical acheté à la Société québécois</w:t>
      </w:r>
      <w:r w:rsidR="008C38E0">
        <w:t>e</w:t>
      </w:r>
      <w:r>
        <w:t xml:space="preserve"> du cannabis, la SQDC. Elle rend également deux décisions refusant les frais de déplacement pour aller chercher du cannabis à Alexandria, en Ontario. La Commission rend une décision le 17</w:t>
      </w:r>
      <w:r w:rsidR="003A7A4F">
        <w:t> </w:t>
      </w:r>
      <w:r>
        <w:t>avril 2025 à la suite d’une révision administrative et confirme les décisions précédentes. Le travailleur conteste cette dernière décision.</w:t>
      </w:r>
    </w:p>
    <w:p w14:paraId="4EA903FC" w14:textId="101FDBA0" w:rsidR="0081736E" w:rsidRDefault="0081736E">
      <w:pPr>
        <w:pStyle w:val="corpsdedcision"/>
      </w:pPr>
      <w:r>
        <w:t>Le travailleur allègue qu’il ne devrait pas y avoir un pourcentage maximal de THC dans le cannabis qu’il achète puisque la prescription de son professionnel de la santé qui a charge n</w:t>
      </w:r>
      <w:r w:rsidR="003A49E2">
        <w:t>e le mentionne</w:t>
      </w:r>
      <w:r>
        <w:t xml:space="preserve"> pas. </w:t>
      </w:r>
      <w:r w:rsidR="00B542A6">
        <w:t xml:space="preserve">De plus, il </w:t>
      </w:r>
      <w:r w:rsidR="008C38E0">
        <w:t>affirme</w:t>
      </w:r>
      <w:r w:rsidR="00B542A6">
        <w:t xml:space="preserve"> qu’il pouvait acheter du cannabis à la SQDC en raison de la grève chez Postes Canada et qu’il a droit de se faire rembourser ses frais de déplacement pour aller chercher du cannabis en Ontario durant la période où il ne pouvait recevoir du cannabis directement à son domicile.</w:t>
      </w:r>
    </w:p>
    <w:p w14:paraId="346ED6F1" w14:textId="3FCEF999" w:rsidR="00B542A6" w:rsidRDefault="00B542A6">
      <w:pPr>
        <w:pStyle w:val="corpsdedcision"/>
      </w:pPr>
      <w:r>
        <w:t>L’employeur est absent à l’audience et n’a pas soumis de commentaires.</w:t>
      </w:r>
    </w:p>
    <w:p w14:paraId="2F9268C0" w14:textId="1878F60F" w:rsidR="00B542A6" w:rsidRDefault="00B542A6">
      <w:pPr>
        <w:pStyle w:val="corpsdedcision"/>
      </w:pPr>
      <w:r>
        <w:t>Le Tribunal conclut que la lettre</w:t>
      </w:r>
      <w:r w:rsidR="008C38E0">
        <w:t>,</w:t>
      </w:r>
      <w:r>
        <w:t xml:space="preserve"> transmise au fournisseur Aurora, constitue une décision puisqu’elle a des impacts </w:t>
      </w:r>
      <w:r w:rsidR="003A49E2">
        <w:t>pour</w:t>
      </w:r>
      <w:r>
        <w:t xml:space="preserve"> le travailleur. Il y a lieu de conclure qu’il n’y a pas de pourcentage maximum de THC prescrit par le professionnel de la santé en charge du travailleur. De plus, le travailleur a droit au remboursement du cannabis acheté à la SQDC durant la grève chez Postes Canada. Toutefois, il n’a pas </w:t>
      </w:r>
      <w:r w:rsidR="0050403E">
        <w:t xml:space="preserve">le </w:t>
      </w:r>
      <w:r>
        <w:t xml:space="preserve">droit de se faire rembourser ses frais de déplacement. </w:t>
      </w:r>
    </w:p>
    <w:p w14:paraId="71E649C0" w14:textId="77777777" w:rsidR="00082A97" w:rsidRDefault="00082A97" w:rsidP="003B349A">
      <w:pPr>
        <w:pStyle w:val="Titre1"/>
      </w:pPr>
      <w:bookmarkStart w:id="13" w:name="supprimer_analyse"/>
      <w:r w:rsidRPr="00B51F99">
        <w:t>L</w:t>
      </w:r>
      <w:r>
        <w:t>’ANALYSE</w:t>
      </w:r>
    </w:p>
    <w:bookmarkEnd w:id="13"/>
    <w:p w14:paraId="2AA84F13" w14:textId="018426B1" w:rsidR="004C2944" w:rsidRDefault="00B542A6" w:rsidP="00B75EE8">
      <w:pPr>
        <w:pStyle w:val="Titre3"/>
      </w:pPr>
      <w:r>
        <w:t>Le pourcentage de THC</w:t>
      </w:r>
    </w:p>
    <w:p w14:paraId="6548B39F" w14:textId="5DE0AC50" w:rsidR="00B542A6" w:rsidRDefault="00B542A6" w:rsidP="00B542A6">
      <w:pPr>
        <w:pStyle w:val="corpsdedcision"/>
        <w:rPr>
          <w:lang w:eastAsia="fr-FR"/>
        </w:rPr>
      </w:pPr>
      <w:r>
        <w:rPr>
          <w:lang w:eastAsia="fr-FR"/>
        </w:rPr>
        <w:t>Le Tribunal doit d’abord analyser si la lettre du 22</w:t>
      </w:r>
      <w:r w:rsidR="003A7A4F">
        <w:rPr>
          <w:lang w:eastAsia="fr-FR"/>
        </w:rPr>
        <w:t> </w:t>
      </w:r>
      <w:r>
        <w:rPr>
          <w:lang w:eastAsia="fr-FR"/>
        </w:rPr>
        <w:t>août 2023 constitue une décision et s’il y a lieu, de déterminer si la Commission peut établir un pourcentage maximum de THC.</w:t>
      </w:r>
    </w:p>
    <w:p w14:paraId="42C37BA8" w14:textId="33A8F669" w:rsidR="00B542A6" w:rsidRDefault="006440AD" w:rsidP="00B542A6">
      <w:pPr>
        <w:pStyle w:val="corpsdedcision"/>
        <w:rPr>
          <w:lang w:eastAsia="fr-FR"/>
        </w:rPr>
      </w:pPr>
      <w:r>
        <w:rPr>
          <w:lang w:eastAsia="fr-FR"/>
        </w:rPr>
        <w:t xml:space="preserve">Le travailleur </w:t>
      </w:r>
      <w:r w:rsidR="003A49E2">
        <w:rPr>
          <w:lang w:eastAsia="fr-FR"/>
        </w:rPr>
        <w:t>soutient</w:t>
      </w:r>
      <w:r>
        <w:rPr>
          <w:lang w:eastAsia="fr-FR"/>
        </w:rPr>
        <w:t xml:space="preserve"> qu’il s’agit d’une décision puisqu’elle détermine un pourcentage maximum de THC. Il estime qu’il ne devrait pas y avoir de concentration maximale.</w:t>
      </w:r>
    </w:p>
    <w:p w14:paraId="1B0B84FA" w14:textId="1BDCD461" w:rsidR="006440AD" w:rsidRDefault="006440AD" w:rsidP="00B542A6">
      <w:pPr>
        <w:pStyle w:val="corpsdedcision"/>
        <w:rPr>
          <w:lang w:eastAsia="fr-FR"/>
        </w:rPr>
      </w:pPr>
      <w:r>
        <w:rPr>
          <w:lang w:eastAsia="fr-FR"/>
        </w:rPr>
        <w:t>Il y a lieu de conclure que la lettre de la Commission adressée à un fournisseur constitue une décision et qu’il ne doit pas y avoir de pourcentage maximum de THC.</w:t>
      </w:r>
    </w:p>
    <w:p w14:paraId="1403BC58" w14:textId="64F9E607" w:rsidR="006440AD" w:rsidRDefault="006440AD" w:rsidP="00B542A6">
      <w:pPr>
        <w:pStyle w:val="corpsdedcision"/>
        <w:rPr>
          <w:lang w:eastAsia="fr-FR"/>
        </w:rPr>
      </w:pPr>
      <w:r>
        <w:rPr>
          <w:lang w:eastAsia="fr-FR"/>
        </w:rPr>
        <w:t xml:space="preserve">Le travailleur a </w:t>
      </w:r>
      <w:r w:rsidR="003A49E2">
        <w:rPr>
          <w:lang w:eastAsia="fr-FR"/>
        </w:rPr>
        <w:t xml:space="preserve">le </w:t>
      </w:r>
      <w:r>
        <w:rPr>
          <w:lang w:eastAsia="fr-FR"/>
        </w:rPr>
        <w:t>droit d’obtenir du cannabis thérapeutique afin de soulager ses douleurs chroniques. Des décisions</w:t>
      </w:r>
      <w:r>
        <w:rPr>
          <w:rStyle w:val="Appelnotedebasdep"/>
          <w:lang w:eastAsia="fr-FR"/>
        </w:rPr>
        <w:footnoteReference w:id="3"/>
      </w:r>
      <w:r>
        <w:rPr>
          <w:lang w:eastAsia="fr-FR"/>
        </w:rPr>
        <w:t xml:space="preserve"> du Tribunal ont conclu en ce sens</w:t>
      </w:r>
      <w:r w:rsidR="003A49E2">
        <w:rPr>
          <w:lang w:eastAsia="fr-FR"/>
        </w:rPr>
        <w:t xml:space="preserve"> dans ce dossier</w:t>
      </w:r>
      <w:r>
        <w:rPr>
          <w:lang w:eastAsia="fr-FR"/>
        </w:rPr>
        <w:t>.</w:t>
      </w:r>
    </w:p>
    <w:p w14:paraId="5787D17F" w14:textId="0F3F688F" w:rsidR="006440AD" w:rsidRDefault="006440AD" w:rsidP="006440AD">
      <w:pPr>
        <w:pStyle w:val="corpsdedcision"/>
        <w:rPr>
          <w:lang w:eastAsia="fr-FR"/>
        </w:rPr>
      </w:pPr>
      <w:r>
        <w:rPr>
          <w:lang w:eastAsia="fr-FR"/>
        </w:rPr>
        <w:t>La Commission transmet une lettre à Aurora, le 22</w:t>
      </w:r>
      <w:r w:rsidR="003A7A4F">
        <w:rPr>
          <w:lang w:eastAsia="fr-FR"/>
        </w:rPr>
        <w:t> </w:t>
      </w:r>
      <w:r>
        <w:rPr>
          <w:lang w:eastAsia="fr-FR"/>
        </w:rPr>
        <w:t xml:space="preserve">août 2023, indiquant que le travailleur a droit à du cannabis médical à raison de </w:t>
      </w:r>
      <w:r w:rsidR="0050403E">
        <w:rPr>
          <w:lang w:eastAsia="fr-FR"/>
        </w:rPr>
        <w:t xml:space="preserve"> 5 g</w:t>
      </w:r>
      <w:r>
        <w:rPr>
          <w:lang w:eastAsia="fr-FR"/>
        </w:rPr>
        <w:t xml:space="preserve"> par jour, pour une concentration</w:t>
      </w:r>
      <w:r w:rsidR="003A49E2" w:rsidRPr="003A49E2">
        <w:rPr>
          <w:lang w:eastAsia="fr-FR"/>
        </w:rPr>
        <w:t xml:space="preserve"> </w:t>
      </w:r>
      <w:r w:rsidR="003A49E2">
        <w:rPr>
          <w:lang w:eastAsia="fr-FR"/>
        </w:rPr>
        <w:t>maximale</w:t>
      </w:r>
      <w:r>
        <w:rPr>
          <w:lang w:eastAsia="fr-FR"/>
        </w:rPr>
        <w:t xml:space="preserve"> en THC de 25</w:t>
      </w:r>
      <w:r w:rsidR="003A7A4F">
        <w:rPr>
          <w:lang w:eastAsia="fr-FR"/>
        </w:rPr>
        <w:t> </w:t>
      </w:r>
      <w:r>
        <w:rPr>
          <w:lang w:eastAsia="fr-FR"/>
        </w:rPr>
        <w:t xml:space="preserve">%. </w:t>
      </w:r>
    </w:p>
    <w:p w14:paraId="1BB74B2B" w14:textId="48546125" w:rsidR="003A49E2" w:rsidRDefault="003A49E2" w:rsidP="003A49E2">
      <w:pPr>
        <w:pStyle w:val="corpsdedcision"/>
        <w:rPr>
          <w:lang w:eastAsia="fr-FR"/>
        </w:rPr>
      </w:pPr>
      <w:r>
        <w:rPr>
          <w:lang w:eastAsia="fr-FR"/>
        </w:rPr>
        <w:t xml:space="preserve">Les articles 354 et 355 de la </w:t>
      </w:r>
      <w:r w:rsidRPr="003A49E2">
        <w:rPr>
          <w:i/>
          <w:iCs/>
          <w:lang w:eastAsia="fr-FR"/>
        </w:rPr>
        <w:t>Loi sur les accidents du travail et les maladies professionnelles</w:t>
      </w:r>
      <w:r>
        <w:rPr>
          <w:rStyle w:val="Appelnotedebasdep"/>
          <w:lang w:eastAsia="fr-FR"/>
        </w:rPr>
        <w:footnoteReference w:id="4"/>
      </w:r>
      <w:r>
        <w:rPr>
          <w:i/>
          <w:iCs/>
          <w:lang w:eastAsia="fr-FR"/>
        </w:rPr>
        <w:t xml:space="preserve">, </w:t>
      </w:r>
      <w:r>
        <w:rPr>
          <w:lang w:eastAsia="fr-FR"/>
        </w:rPr>
        <w:t xml:space="preserve">la Loi, prévoient qu’une décision doit être écrite, motivée et notifiée aux parties tandis que la signature de la personne qui la rend n’est pas essentielle </w:t>
      </w:r>
      <w:r w:rsidR="008C38E0">
        <w:rPr>
          <w:lang w:eastAsia="fr-FR"/>
        </w:rPr>
        <w:t>pourvu</w:t>
      </w:r>
      <w:r>
        <w:rPr>
          <w:lang w:eastAsia="fr-FR"/>
        </w:rPr>
        <w:t xml:space="preserve"> que son nom y figure. </w:t>
      </w:r>
    </w:p>
    <w:p w14:paraId="0426F8B5" w14:textId="3C3DCCE8" w:rsidR="00C819CB" w:rsidRDefault="00C819CB" w:rsidP="00C819CB">
      <w:pPr>
        <w:pStyle w:val="corpsdedcision"/>
      </w:pPr>
      <w:r>
        <w:t xml:space="preserve">Dans l’affaire </w:t>
      </w:r>
      <w:r w:rsidRPr="00C819CB">
        <w:rPr>
          <w:i/>
          <w:iCs/>
        </w:rPr>
        <w:t>Syndicat des agents de la paix des services correctionnels du Québec</w:t>
      </w:r>
      <w:r w:rsidRPr="00C819CB">
        <w:t xml:space="preserve"> </w:t>
      </w:r>
      <w:r>
        <w:t xml:space="preserve">et </w:t>
      </w:r>
      <w:r w:rsidR="00C86BE5" w:rsidRPr="00C86BE5">
        <w:rPr>
          <w:i/>
          <w:iCs/>
        </w:rPr>
        <w:t>Québec</w:t>
      </w:r>
      <w:r w:rsidR="00C86BE5">
        <w:t xml:space="preserve"> (</w:t>
      </w:r>
      <w:r w:rsidRPr="00C819CB">
        <w:rPr>
          <w:i/>
          <w:iCs/>
        </w:rPr>
        <w:t xml:space="preserve">Ministère de </w:t>
      </w:r>
      <w:smartTag w:uri="urn:schemas-microsoft-com:office:smarttags" w:element="PersonName">
        <w:smartTagPr>
          <w:attr w:name="ProductID" w:val="la S￩curit￩"/>
        </w:smartTagPr>
        <w:r w:rsidRPr="00C819CB">
          <w:rPr>
            <w:i/>
            <w:iCs/>
          </w:rPr>
          <w:t>la Sécurité</w:t>
        </w:r>
      </w:smartTag>
      <w:r w:rsidRPr="00C819CB">
        <w:rPr>
          <w:i/>
          <w:iCs/>
        </w:rPr>
        <w:t xml:space="preserve"> publiqu</w:t>
      </w:r>
      <w:r w:rsidR="00C86BE5">
        <w:rPr>
          <w:i/>
          <w:iCs/>
        </w:rPr>
        <w:t>e)</w:t>
      </w:r>
      <w:r w:rsidRPr="00C819CB">
        <w:rPr>
          <w:rStyle w:val="Appelnotedebasdep"/>
        </w:rPr>
        <w:footnoteReference w:id="5"/>
      </w:r>
      <w:r>
        <w:t>, le Tribunal résume les principales caractéristiques d’une décision.</w:t>
      </w:r>
    </w:p>
    <w:p w14:paraId="661FED07" w14:textId="77777777" w:rsidR="00C819CB" w:rsidRDefault="00C819CB" w:rsidP="00C819CB">
      <w:pPr>
        <w:pStyle w:val="citation"/>
      </w:pPr>
      <w:r>
        <w:rPr>
          <w:szCs w:val="24"/>
        </w:rPr>
        <w:t>[44]</w:t>
      </w:r>
      <w:r>
        <w:rPr>
          <w:szCs w:val="24"/>
        </w:rPr>
        <w:tab/>
        <w:t xml:space="preserve">À la lumière de ces définitions, le soussigné retient qu’une décision consiste en </w:t>
      </w:r>
      <w:r w:rsidRPr="003B349A">
        <w:rPr>
          <w:i/>
          <w:iCs/>
          <w:szCs w:val="24"/>
        </w:rPr>
        <w:t>l’</w:t>
      </w:r>
      <w:r w:rsidRPr="003B349A">
        <w:rPr>
          <w:i/>
          <w:iCs/>
        </w:rPr>
        <w:t>action de décider après délibération; l’acte par lequel une autorité décide de quelque chose après examen</w:t>
      </w:r>
      <w:r>
        <w:rPr>
          <w:vertAlign w:val="superscript"/>
        </w:rPr>
        <w:t>7</w:t>
      </w:r>
      <w:r>
        <w:t xml:space="preserve">. </w:t>
      </w:r>
      <w:r>
        <w:rPr>
          <w:szCs w:val="24"/>
        </w:rPr>
        <w:t xml:space="preserve">Il s’agit de </w:t>
      </w:r>
      <w:r w:rsidRPr="003B349A">
        <w:rPr>
          <w:i/>
          <w:iCs/>
          <w:szCs w:val="24"/>
        </w:rPr>
        <w:t>l’</w:t>
      </w:r>
      <w:r w:rsidRPr="003B349A">
        <w:rPr>
          <w:i/>
          <w:iCs/>
        </w:rPr>
        <w:t>action de décider, de juger un point litigieux; [d’un] jugement qui apporte une solution</w:t>
      </w:r>
      <w:r>
        <w:rPr>
          <w:vertAlign w:val="superscript"/>
        </w:rPr>
        <w:t>8</w:t>
      </w:r>
      <w:r>
        <w:t>.</w:t>
      </w:r>
    </w:p>
    <w:p w14:paraId="71D50500" w14:textId="77777777" w:rsidR="00C819CB" w:rsidRPr="00FB1283" w:rsidRDefault="00C819CB" w:rsidP="00C819CB">
      <w:pPr>
        <w:pStyle w:val="citation"/>
        <w:rPr>
          <w:szCs w:val="24"/>
        </w:rPr>
      </w:pPr>
    </w:p>
    <w:p w14:paraId="142DBA94" w14:textId="77777777" w:rsidR="00C819CB" w:rsidRDefault="00C819CB" w:rsidP="00C819CB">
      <w:pPr>
        <w:pStyle w:val="citation"/>
      </w:pPr>
      <w:r>
        <w:t>[45]</w:t>
      </w:r>
      <w:r>
        <w:tab/>
        <w:t xml:space="preserve">Dans la décision </w:t>
      </w:r>
      <w:r w:rsidRPr="006E2A22">
        <w:rPr>
          <w:i/>
        </w:rPr>
        <w:t>Entreprises Lagacé (1982) inc</w:t>
      </w:r>
      <w:r>
        <w:t>.</w:t>
      </w:r>
      <w:r>
        <w:rPr>
          <w:vertAlign w:val="superscript"/>
        </w:rPr>
        <w:t>9</w:t>
      </w:r>
      <w:r>
        <w:t xml:space="preserve">, </w:t>
      </w:r>
      <w:smartTag w:uri="urn:schemas-microsoft-com:office:smarttags" w:element="PersonName">
        <w:smartTagPr>
          <w:attr w:name="ProductID" w:val="la Commission"/>
        </w:smartTagPr>
        <w:r>
          <w:t>la Commission</w:t>
        </w:r>
      </w:smartTag>
      <w:r>
        <w:t xml:space="preserve"> d’appel en matière de lésions professionnelles a considéré que : </w:t>
      </w:r>
    </w:p>
    <w:p w14:paraId="2E5A58C5" w14:textId="77777777" w:rsidR="00C86BE5" w:rsidRDefault="00C86BE5" w:rsidP="00C819CB">
      <w:pPr>
        <w:pStyle w:val="citation"/>
      </w:pPr>
    </w:p>
    <w:p w14:paraId="395B70B2" w14:textId="77777777" w:rsidR="00C819CB" w:rsidRPr="00C86BE5" w:rsidRDefault="00C819CB" w:rsidP="00C86BE5">
      <w:pPr>
        <w:pStyle w:val="citation"/>
        <w:ind w:left="1418"/>
        <w:rPr>
          <w:sz w:val="18"/>
          <w:szCs w:val="18"/>
        </w:rPr>
      </w:pPr>
      <w:r w:rsidRPr="00C86BE5">
        <w:rPr>
          <w:sz w:val="18"/>
          <w:szCs w:val="18"/>
        </w:rPr>
        <w:t>[...] la décision se caractérise en ce qu’elle tranche une question litigieuse, y apporte une solution et commande, en fait, de poser des actes visant à solutionner un litige ou, dans le cas qui nous concerne, à apporter une solution à un problème mis en lumière par un examen préalable ou une enquête.</w:t>
      </w:r>
    </w:p>
    <w:p w14:paraId="03FF2799" w14:textId="77777777" w:rsidR="00C819CB" w:rsidRDefault="00C819CB" w:rsidP="00C819CB">
      <w:pPr>
        <w:pStyle w:val="citation"/>
      </w:pPr>
    </w:p>
    <w:p w14:paraId="6E9EBE45" w14:textId="77777777" w:rsidR="00C819CB" w:rsidRDefault="00C819CB" w:rsidP="00C819CB">
      <w:pPr>
        <w:pStyle w:val="citation"/>
      </w:pPr>
      <w:r>
        <w:t>[46]</w:t>
      </w:r>
      <w:r>
        <w:tab/>
        <w:t xml:space="preserve">Dans </w:t>
      </w:r>
      <w:r w:rsidRPr="00212AB2">
        <w:rPr>
          <w:i/>
        </w:rPr>
        <w:t>Hydro-Québec et Construction Arno inc</w:t>
      </w:r>
      <w:r>
        <w:t>.</w:t>
      </w:r>
      <w:r>
        <w:rPr>
          <w:vertAlign w:val="superscript"/>
        </w:rPr>
        <w:t>10</w:t>
      </w:r>
      <w:r>
        <w:t xml:space="preserve">, le tribunal a fait valoir qu’une </w:t>
      </w:r>
      <w:r w:rsidRPr="00212AB2">
        <w:t xml:space="preserve">décision tranche un litige, y apporte une solution et commande de poser des actes visant à </w:t>
      </w:r>
      <w:r>
        <w:t>résoudre</w:t>
      </w:r>
      <w:r w:rsidRPr="00212AB2">
        <w:t xml:space="preserve"> un litige ou à apporter une solution à un problème mis en lumière par une enquête</w:t>
      </w:r>
      <w:r>
        <w:t xml:space="preserve">. </w:t>
      </w:r>
    </w:p>
    <w:p w14:paraId="5AF644EA" w14:textId="3E14BA04" w:rsidR="00C819CB" w:rsidRDefault="00C819CB" w:rsidP="00C819CB">
      <w:pPr>
        <w:pStyle w:val="citation"/>
      </w:pPr>
    </w:p>
    <w:p w14:paraId="3C26E824" w14:textId="79C814FC" w:rsidR="00C819CB" w:rsidRPr="00C819CB" w:rsidRDefault="00C819CB" w:rsidP="003B349A">
      <w:pPr>
        <w:pStyle w:val="citation"/>
        <w:spacing w:after="360"/>
        <w:rPr>
          <w:sz w:val="24"/>
          <w:szCs w:val="24"/>
        </w:rPr>
      </w:pPr>
      <w:r w:rsidRPr="00C819CB">
        <w:rPr>
          <w:sz w:val="24"/>
          <w:szCs w:val="24"/>
        </w:rPr>
        <w:t>[Notes omises]</w:t>
      </w:r>
    </w:p>
    <w:p w14:paraId="7B6678D4" w14:textId="59006B90" w:rsidR="00C819CB" w:rsidRPr="00C819CB" w:rsidRDefault="00C86BE5" w:rsidP="00C819CB">
      <w:pPr>
        <w:pStyle w:val="corpsdedcision"/>
        <w:rPr>
          <w:lang w:eastAsia="fr-FR"/>
        </w:rPr>
      </w:pPr>
      <w:r>
        <w:rPr>
          <w:lang w:eastAsia="fr-FR"/>
        </w:rPr>
        <w:t xml:space="preserve">Il y a lieu de </w:t>
      </w:r>
      <w:r w:rsidR="00C819CB" w:rsidRPr="00C819CB">
        <w:rPr>
          <w:lang w:eastAsia="fr-FR"/>
        </w:rPr>
        <w:t>considérer le contenu de la lettre</w:t>
      </w:r>
      <w:r>
        <w:rPr>
          <w:lang w:eastAsia="fr-FR"/>
        </w:rPr>
        <w:t xml:space="preserve"> de la Commission ainsi que ses effets. Il est manifeste que cette lettre a une portée sur les droits du travailleur puisqu’elle détermine un taux maximum de THC.</w:t>
      </w:r>
      <w:r w:rsidR="00C819CB" w:rsidRPr="00C819CB">
        <w:rPr>
          <w:lang w:eastAsia="fr-FR"/>
        </w:rPr>
        <w:t xml:space="preserve"> </w:t>
      </w:r>
    </w:p>
    <w:p w14:paraId="7E6DC2E4" w14:textId="38F828D1" w:rsidR="006440AD" w:rsidRDefault="006440AD" w:rsidP="006440AD">
      <w:pPr>
        <w:pStyle w:val="corpsdedcision"/>
        <w:rPr>
          <w:lang w:eastAsia="fr-FR"/>
        </w:rPr>
      </w:pPr>
      <w:r>
        <w:rPr>
          <w:lang w:eastAsia="fr-FR"/>
        </w:rPr>
        <w:t xml:space="preserve">Le Tribunal considère </w:t>
      </w:r>
      <w:r w:rsidR="00C86BE5">
        <w:rPr>
          <w:lang w:eastAsia="fr-FR"/>
        </w:rPr>
        <w:t xml:space="preserve">que la lettre de la Commission a tous les attributs d’une décision </w:t>
      </w:r>
      <w:r>
        <w:rPr>
          <w:lang w:eastAsia="fr-FR"/>
        </w:rPr>
        <w:t xml:space="preserve">puisqu’elle a des effets pour le travailleur. En effet, </w:t>
      </w:r>
      <w:r w:rsidR="00C86BE5">
        <w:rPr>
          <w:lang w:eastAsia="fr-FR"/>
        </w:rPr>
        <w:t xml:space="preserve">le travailleur considère qu’il ne devrait pas </w:t>
      </w:r>
      <w:r w:rsidR="0050403E">
        <w:rPr>
          <w:lang w:eastAsia="fr-FR"/>
        </w:rPr>
        <w:t xml:space="preserve">y </w:t>
      </w:r>
      <w:r w:rsidR="00C86BE5">
        <w:rPr>
          <w:lang w:eastAsia="fr-FR"/>
        </w:rPr>
        <w:t xml:space="preserve">avoir de </w:t>
      </w:r>
      <w:r>
        <w:rPr>
          <w:lang w:eastAsia="fr-FR"/>
        </w:rPr>
        <w:t xml:space="preserve">taux </w:t>
      </w:r>
      <w:r w:rsidR="00C86BE5">
        <w:rPr>
          <w:lang w:eastAsia="fr-FR"/>
        </w:rPr>
        <w:t>maximum e</w:t>
      </w:r>
      <w:r>
        <w:rPr>
          <w:lang w:eastAsia="fr-FR"/>
        </w:rPr>
        <w:t>n THC</w:t>
      </w:r>
      <w:r w:rsidR="00C86BE5">
        <w:rPr>
          <w:lang w:eastAsia="fr-FR"/>
        </w:rPr>
        <w:t xml:space="preserve">. S’il ne s’agit pas d’une décision, comment peut-il faire valoir ses droits? </w:t>
      </w:r>
    </w:p>
    <w:p w14:paraId="1FFF24C4" w14:textId="36D862AD" w:rsidR="006D6B75" w:rsidRDefault="006D6B75" w:rsidP="006440AD">
      <w:pPr>
        <w:pStyle w:val="corpsdedcision"/>
        <w:rPr>
          <w:lang w:eastAsia="fr-FR"/>
        </w:rPr>
      </w:pPr>
      <w:r>
        <w:rPr>
          <w:lang w:eastAsia="fr-FR"/>
        </w:rPr>
        <w:t xml:space="preserve">Il s’agit donc d’une décision qui peut être contestée par les parties. Il y a lieu d’analyser si la Commission peut déterminer un pourcentage maximum en THC ou non. </w:t>
      </w:r>
    </w:p>
    <w:p w14:paraId="26B4AC09" w14:textId="6997B9A5" w:rsidR="006D6B75" w:rsidRDefault="006D6B75" w:rsidP="006440AD">
      <w:pPr>
        <w:pStyle w:val="corpsdedcision"/>
        <w:rPr>
          <w:lang w:eastAsia="fr-FR"/>
        </w:rPr>
      </w:pPr>
      <w:r>
        <w:rPr>
          <w:lang w:eastAsia="fr-FR"/>
        </w:rPr>
        <w:t>Le docteur Michael Dworkind prescrit, le 11</w:t>
      </w:r>
      <w:r w:rsidR="003A7A4F">
        <w:rPr>
          <w:lang w:eastAsia="fr-FR"/>
        </w:rPr>
        <w:t> </w:t>
      </w:r>
      <w:r>
        <w:rPr>
          <w:lang w:eastAsia="fr-FR"/>
        </w:rPr>
        <w:t>juin 2024, au travailleur du cannabis pour une période de douze mois. Il indique que la quantité quotidienne est de 5</w:t>
      </w:r>
      <w:r w:rsidR="003A7A4F">
        <w:rPr>
          <w:lang w:eastAsia="fr-FR"/>
        </w:rPr>
        <w:t> </w:t>
      </w:r>
      <w:r>
        <w:rPr>
          <w:lang w:eastAsia="fr-FR"/>
        </w:rPr>
        <w:t xml:space="preserve">g par jour. Aucune concentration en THC n’est mentionnée sur cette prescription. </w:t>
      </w:r>
    </w:p>
    <w:p w14:paraId="2D4FB1B7" w14:textId="54FA1D8A" w:rsidR="006D6B75" w:rsidRDefault="006D6B75" w:rsidP="006440AD">
      <w:pPr>
        <w:pStyle w:val="corpsdedcision"/>
        <w:rPr>
          <w:lang w:eastAsia="fr-FR"/>
        </w:rPr>
      </w:pPr>
      <w:r>
        <w:rPr>
          <w:lang w:eastAsia="fr-FR"/>
        </w:rPr>
        <w:t xml:space="preserve">L’article 272 (1) du </w:t>
      </w:r>
      <w:r w:rsidRPr="008C4207">
        <w:rPr>
          <w:i/>
          <w:iCs/>
          <w:lang w:eastAsia="fr-FR"/>
        </w:rPr>
        <w:t>Règlement sur le cannabis</w:t>
      </w:r>
      <w:r w:rsidR="008C4207">
        <w:rPr>
          <w:rStyle w:val="Appelnotedebasdep"/>
          <w:lang w:eastAsia="fr-FR"/>
        </w:rPr>
        <w:footnoteReference w:id="6"/>
      </w:r>
      <w:r>
        <w:rPr>
          <w:lang w:eastAsia="fr-FR"/>
        </w:rPr>
        <w:t xml:space="preserve"> prévoit </w:t>
      </w:r>
      <w:r w:rsidR="008C4207">
        <w:rPr>
          <w:lang w:eastAsia="fr-FR"/>
        </w:rPr>
        <w:t>que si l’état de santé d’un individu nécessite du cannabis, un praticien de la santé peut lui fournir un document médical. Par ailleurs, l’article 273 (1) d</w:t>
      </w:r>
      <w:r w:rsidR="00C81E0E">
        <w:rPr>
          <w:lang w:eastAsia="fr-FR"/>
        </w:rPr>
        <w:t>e ce règ</w:t>
      </w:r>
      <w:r w:rsidR="008C4207">
        <w:rPr>
          <w:lang w:eastAsia="fr-FR"/>
        </w:rPr>
        <w:t>lement prévoit que le document doit contenir certains renseignements.</w:t>
      </w:r>
    </w:p>
    <w:p w14:paraId="34FB5B85" w14:textId="77777777" w:rsidR="008C4207" w:rsidRDefault="008C4207" w:rsidP="008C4207">
      <w:pPr>
        <w:pStyle w:val="citation"/>
        <w:rPr>
          <w:lang w:eastAsia="fr-FR"/>
        </w:rPr>
      </w:pPr>
      <w:r>
        <w:rPr>
          <w:lang w:eastAsia="fr-FR"/>
        </w:rPr>
        <w:t>273 (1) Le document médical visé à l’alinéa 272(1)a) contient les renseignements suivants :</w:t>
      </w:r>
    </w:p>
    <w:p w14:paraId="33B06AE4" w14:textId="01550FEE" w:rsidR="008C4207" w:rsidRDefault="008C4207" w:rsidP="008C4207">
      <w:pPr>
        <w:pStyle w:val="citation"/>
        <w:rPr>
          <w:lang w:eastAsia="fr-FR"/>
        </w:rPr>
      </w:pPr>
      <w:r>
        <w:rPr>
          <w:lang w:eastAsia="fr-FR"/>
        </w:rPr>
        <w:t>a) les nom et prénom du praticien de la santé, sa profession, les adresse et numéro de téléphone de son lieu de travail et, le cas échéant, son numéro de télécopieur et son adresse électronique;</w:t>
      </w:r>
    </w:p>
    <w:p w14:paraId="5C8A42F8" w14:textId="77777777" w:rsidR="008C4207" w:rsidRDefault="008C4207" w:rsidP="008C4207">
      <w:pPr>
        <w:pStyle w:val="citation"/>
        <w:rPr>
          <w:lang w:eastAsia="fr-FR"/>
        </w:rPr>
      </w:pPr>
    </w:p>
    <w:p w14:paraId="1484EB9A" w14:textId="3750E0D3" w:rsidR="008C4207" w:rsidRDefault="008C4207" w:rsidP="008C4207">
      <w:pPr>
        <w:pStyle w:val="citation"/>
        <w:rPr>
          <w:lang w:eastAsia="fr-FR"/>
        </w:rPr>
      </w:pPr>
      <w:r>
        <w:rPr>
          <w:lang w:eastAsia="fr-FR"/>
        </w:rPr>
        <w:t>b) la province dans laquelle il est autorisé à exercer sa profession et le numéro d’autorisation attribué par la province;</w:t>
      </w:r>
    </w:p>
    <w:p w14:paraId="17AF7258" w14:textId="77777777" w:rsidR="008C4207" w:rsidRDefault="008C4207" w:rsidP="008C4207">
      <w:pPr>
        <w:pStyle w:val="citation"/>
        <w:rPr>
          <w:lang w:eastAsia="fr-FR"/>
        </w:rPr>
      </w:pPr>
    </w:p>
    <w:p w14:paraId="4A4F3A94" w14:textId="77777777" w:rsidR="008C4207" w:rsidRDefault="008C4207" w:rsidP="008C4207">
      <w:pPr>
        <w:pStyle w:val="citation"/>
        <w:rPr>
          <w:lang w:eastAsia="fr-FR"/>
        </w:rPr>
      </w:pPr>
      <w:r>
        <w:rPr>
          <w:lang w:eastAsia="fr-FR"/>
        </w:rPr>
        <w:t xml:space="preserve">c) les nom, prénom et date de naissance de l’individu soumis à ses soins professionnels; </w:t>
      </w:r>
    </w:p>
    <w:p w14:paraId="7B6685F5" w14:textId="77777777" w:rsidR="008C4207" w:rsidRDefault="008C4207" w:rsidP="008C4207">
      <w:pPr>
        <w:pStyle w:val="citation"/>
        <w:rPr>
          <w:lang w:eastAsia="fr-FR"/>
        </w:rPr>
      </w:pPr>
    </w:p>
    <w:p w14:paraId="5C870C1E" w14:textId="77777777" w:rsidR="008C4207" w:rsidRDefault="008C4207" w:rsidP="008C4207">
      <w:pPr>
        <w:pStyle w:val="citation"/>
        <w:rPr>
          <w:lang w:eastAsia="fr-FR"/>
        </w:rPr>
      </w:pPr>
      <w:r>
        <w:rPr>
          <w:lang w:eastAsia="fr-FR"/>
        </w:rPr>
        <w:t>d) l’adresse du lieu où l’individu a consulté le praticien de la santé;</w:t>
      </w:r>
    </w:p>
    <w:p w14:paraId="2DA717DD" w14:textId="77777777" w:rsidR="008C4207" w:rsidRDefault="008C4207" w:rsidP="008C4207">
      <w:pPr>
        <w:pStyle w:val="citation"/>
        <w:rPr>
          <w:lang w:eastAsia="fr-FR"/>
        </w:rPr>
      </w:pPr>
    </w:p>
    <w:p w14:paraId="51F1A241" w14:textId="34CDBD72" w:rsidR="008C4207" w:rsidRDefault="008C4207" w:rsidP="008C4207">
      <w:pPr>
        <w:pStyle w:val="citation"/>
        <w:rPr>
          <w:lang w:eastAsia="fr-FR"/>
        </w:rPr>
      </w:pPr>
      <w:r>
        <w:rPr>
          <w:lang w:eastAsia="fr-FR"/>
        </w:rPr>
        <w:t>e) la quantité quotidienne de cannabis séché, exprimée en grammes, qui est autorisée par le praticien de la santé pour cet individu;</w:t>
      </w:r>
    </w:p>
    <w:p w14:paraId="2690948A" w14:textId="77777777" w:rsidR="008C4207" w:rsidRDefault="008C4207" w:rsidP="008C4207">
      <w:pPr>
        <w:pStyle w:val="citation"/>
        <w:rPr>
          <w:lang w:eastAsia="fr-FR"/>
        </w:rPr>
      </w:pPr>
    </w:p>
    <w:p w14:paraId="327FBBDC" w14:textId="3DEA6F21" w:rsidR="008C4207" w:rsidRDefault="008C4207" w:rsidP="003B349A">
      <w:pPr>
        <w:pStyle w:val="citation"/>
        <w:spacing w:after="360"/>
        <w:rPr>
          <w:lang w:eastAsia="fr-FR"/>
        </w:rPr>
      </w:pPr>
      <w:r>
        <w:rPr>
          <w:lang w:eastAsia="fr-FR"/>
        </w:rPr>
        <w:t>f) la période d’usage, exprimée en jours, semaines ou mois.</w:t>
      </w:r>
    </w:p>
    <w:p w14:paraId="5BC8DF76" w14:textId="75597382" w:rsidR="008C4207" w:rsidRDefault="00C81E0E" w:rsidP="008C4207">
      <w:pPr>
        <w:pStyle w:val="corpsdedcision"/>
        <w:rPr>
          <w:lang w:eastAsia="fr-FR"/>
        </w:rPr>
      </w:pPr>
      <w:r>
        <w:rPr>
          <w:lang w:eastAsia="fr-FR"/>
        </w:rPr>
        <w:t xml:space="preserve">Le </w:t>
      </w:r>
      <w:r w:rsidRPr="00C81E0E">
        <w:rPr>
          <w:i/>
          <w:iCs/>
          <w:lang w:eastAsia="fr-FR"/>
        </w:rPr>
        <w:t>Règlement sur le cannabis</w:t>
      </w:r>
      <w:r w:rsidRPr="004C0504">
        <w:rPr>
          <w:rStyle w:val="Appelnotedebasdep"/>
          <w:lang w:eastAsia="fr-FR"/>
        </w:rPr>
        <w:footnoteReference w:id="7"/>
      </w:r>
      <w:r w:rsidR="008C4207" w:rsidRPr="004C0504">
        <w:rPr>
          <w:lang w:eastAsia="fr-FR"/>
        </w:rPr>
        <w:t xml:space="preserve"> </w:t>
      </w:r>
      <w:r w:rsidR="008C4207">
        <w:rPr>
          <w:lang w:eastAsia="fr-FR"/>
        </w:rPr>
        <w:t>ne prévoit</w:t>
      </w:r>
      <w:r w:rsidR="004C0504">
        <w:rPr>
          <w:lang w:eastAsia="fr-FR"/>
        </w:rPr>
        <w:t xml:space="preserve"> pas de</w:t>
      </w:r>
      <w:r w:rsidR="008C4207">
        <w:rPr>
          <w:lang w:eastAsia="fr-FR"/>
        </w:rPr>
        <w:t xml:space="preserve"> concentration</w:t>
      </w:r>
      <w:r w:rsidR="008A1D95">
        <w:rPr>
          <w:lang w:eastAsia="fr-FR"/>
        </w:rPr>
        <w:t xml:space="preserve"> en THC</w:t>
      </w:r>
      <w:r w:rsidR="008C4207">
        <w:rPr>
          <w:lang w:eastAsia="fr-FR"/>
        </w:rPr>
        <w:t xml:space="preserve"> que doit indiquer un professionnel de la santé ou tout autre praticien </w:t>
      </w:r>
      <w:r w:rsidR="008C38E0">
        <w:rPr>
          <w:lang w:eastAsia="fr-FR"/>
        </w:rPr>
        <w:t>pouvant</w:t>
      </w:r>
      <w:r w:rsidR="008C4207">
        <w:rPr>
          <w:lang w:eastAsia="fr-FR"/>
        </w:rPr>
        <w:t xml:space="preserve"> prescrire du </w:t>
      </w:r>
      <w:r w:rsidR="008A1D95">
        <w:rPr>
          <w:lang w:eastAsia="fr-FR"/>
        </w:rPr>
        <w:t>cannabis</w:t>
      </w:r>
      <w:r w:rsidR="008C4207">
        <w:rPr>
          <w:lang w:eastAsia="fr-FR"/>
        </w:rPr>
        <w:t xml:space="preserve"> thérapeutique.</w:t>
      </w:r>
    </w:p>
    <w:p w14:paraId="466DE590" w14:textId="360868E9" w:rsidR="004C0504" w:rsidRDefault="004C0504" w:rsidP="008C4207">
      <w:pPr>
        <w:pStyle w:val="corpsdedcision"/>
        <w:rPr>
          <w:lang w:eastAsia="fr-FR"/>
        </w:rPr>
      </w:pPr>
      <w:r>
        <w:rPr>
          <w:lang w:eastAsia="fr-FR"/>
        </w:rPr>
        <w:t>Certaines décisions</w:t>
      </w:r>
      <w:r>
        <w:rPr>
          <w:rStyle w:val="Appelnotedebasdep"/>
          <w:lang w:eastAsia="fr-FR"/>
        </w:rPr>
        <w:footnoteReference w:id="8"/>
      </w:r>
      <w:r>
        <w:rPr>
          <w:lang w:eastAsia="fr-FR"/>
        </w:rPr>
        <w:t xml:space="preserve"> du Tribunal vont aussi dans le sens qu’il n’est pas possible d’établir une concentration maximale en THC lorsqu’un travailleur a droit à du cannabis médical.</w:t>
      </w:r>
    </w:p>
    <w:p w14:paraId="17AB799D" w14:textId="6644A6F1" w:rsidR="008C4207" w:rsidRDefault="008C4207" w:rsidP="008C4207">
      <w:pPr>
        <w:pStyle w:val="corpsdedcision"/>
        <w:rPr>
          <w:lang w:eastAsia="fr-FR"/>
        </w:rPr>
      </w:pPr>
      <w:r>
        <w:rPr>
          <w:lang w:eastAsia="fr-FR"/>
        </w:rPr>
        <w:t xml:space="preserve">Lors de l’audience, le travailleur mentionne qu’il n’est </w:t>
      </w:r>
      <w:r w:rsidR="008C38E0">
        <w:rPr>
          <w:lang w:eastAsia="fr-FR"/>
        </w:rPr>
        <w:t xml:space="preserve">pas </w:t>
      </w:r>
      <w:r>
        <w:rPr>
          <w:lang w:eastAsia="fr-FR"/>
        </w:rPr>
        <w:t xml:space="preserve">possible d’établir un pourcentage maximum pour la concentration en THC, car cela varie </w:t>
      </w:r>
      <w:r w:rsidR="002554F1">
        <w:rPr>
          <w:lang w:eastAsia="fr-FR"/>
        </w:rPr>
        <w:t>d’une plante à l’autre.</w:t>
      </w:r>
    </w:p>
    <w:p w14:paraId="6281680A" w14:textId="49813398" w:rsidR="003A49E2" w:rsidRDefault="003A49E2" w:rsidP="008C4207">
      <w:pPr>
        <w:pStyle w:val="corpsdedcision"/>
        <w:rPr>
          <w:lang w:eastAsia="fr-FR"/>
        </w:rPr>
      </w:pPr>
      <w:r>
        <w:rPr>
          <w:lang w:eastAsia="fr-FR"/>
        </w:rPr>
        <w:t xml:space="preserve">Il s’agit donc d’une décision de la Commission qui ne repose pas sur la preuve. Il n’y a pas d’obligation à établir une concentration maximale en THC. </w:t>
      </w:r>
    </w:p>
    <w:p w14:paraId="6880DE3C" w14:textId="33FDD4AB" w:rsidR="002554F1" w:rsidRDefault="002554F1" w:rsidP="008C4207">
      <w:pPr>
        <w:pStyle w:val="corpsdedcision"/>
        <w:rPr>
          <w:lang w:eastAsia="fr-FR"/>
        </w:rPr>
      </w:pPr>
      <w:r>
        <w:rPr>
          <w:lang w:eastAsia="fr-FR"/>
        </w:rPr>
        <w:t>En conséquence, le Tribunal conclut qu’il n’y a pas lieu d’établir une concentration maximale en THC.</w:t>
      </w:r>
    </w:p>
    <w:p w14:paraId="132A69F2" w14:textId="044FE700" w:rsidR="002554F1" w:rsidRDefault="003A49E2" w:rsidP="00B75EE8">
      <w:pPr>
        <w:pStyle w:val="Titre3"/>
      </w:pPr>
      <w:r>
        <w:t>Le r</w:t>
      </w:r>
      <w:r w:rsidR="002554F1">
        <w:t xml:space="preserve">emboursement du cannabis et </w:t>
      </w:r>
      <w:r>
        <w:t xml:space="preserve">les </w:t>
      </w:r>
      <w:r w:rsidR="002554F1">
        <w:t>frais de déplacement</w:t>
      </w:r>
    </w:p>
    <w:p w14:paraId="152063D3" w14:textId="5B09B3A2" w:rsidR="002554F1" w:rsidRDefault="002554F1" w:rsidP="002554F1">
      <w:pPr>
        <w:pStyle w:val="corpsdedcision"/>
        <w:rPr>
          <w:lang w:eastAsia="fr-FR"/>
        </w:rPr>
      </w:pPr>
      <w:r>
        <w:rPr>
          <w:lang w:eastAsia="fr-FR"/>
        </w:rPr>
        <w:t xml:space="preserve">Le Tribunal doit maintenant analyser si le travailleur a droit au remboursement du cannabis acheté à la SQDC et s’il a droit au remboursement de ses frais de déplacement </w:t>
      </w:r>
      <w:r w:rsidR="003A49E2">
        <w:rPr>
          <w:lang w:eastAsia="fr-FR"/>
        </w:rPr>
        <w:t xml:space="preserve">lorsqu’il s’est déplacé </w:t>
      </w:r>
      <w:r>
        <w:rPr>
          <w:lang w:eastAsia="fr-FR"/>
        </w:rPr>
        <w:t>en Ontario</w:t>
      </w:r>
      <w:r w:rsidR="003A49E2">
        <w:rPr>
          <w:lang w:eastAsia="fr-FR"/>
        </w:rPr>
        <w:t>,</w:t>
      </w:r>
      <w:r>
        <w:rPr>
          <w:lang w:eastAsia="fr-FR"/>
        </w:rPr>
        <w:t xml:space="preserve"> lors de la grève chez Postes Canada</w:t>
      </w:r>
      <w:r w:rsidR="003A49E2">
        <w:rPr>
          <w:lang w:eastAsia="fr-FR"/>
        </w:rPr>
        <w:t>, afin d’obtenir le cannabis qui est livré dans une pharmacie à cet endroit.</w:t>
      </w:r>
      <w:r>
        <w:rPr>
          <w:lang w:eastAsia="fr-FR"/>
        </w:rPr>
        <w:t xml:space="preserve"> </w:t>
      </w:r>
    </w:p>
    <w:p w14:paraId="42466A49" w14:textId="40B7077D" w:rsidR="002554F1" w:rsidRDefault="00131A23" w:rsidP="002554F1">
      <w:pPr>
        <w:pStyle w:val="corpsdedcision"/>
        <w:rPr>
          <w:lang w:eastAsia="fr-FR"/>
        </w:rPr>
      </w:pPr>
      <w:r>
        <w:rPr>
          <w:lang w:eastAsia="fr-FR"/>
        </w:rPr>
        <w:t>Le travailleur estime qu’il a droit au remboursement du cannabis et de ses frais de déplacement, car il agissait par nécessité, ne pouvant recevoir le cannabis à son domicile.</w:t>
      </w:r>
    </w:p>
    <w:p w14:paraId="09D2D622" w14:textId="1C6DE8D8" w:rsidR="00131A23" w:rsidRDefault="00131A23" w:rsidP="002554F1">
      <w:pPr>
        <w:pStyle w:val="corpsdedcision"/>
        <w:rPr>
          <w:lang w:eastAsia="fr-FR"/>
        </w:rPr>
      </w:pPr>
      <w:r>
        <w:rPr>
          <w:lang w:eastAsia="fr-FR"/>
        </w:rPr>
        <w:t xml:space="preserve">Le Tribunal conclut que le travailleur a droit au remboursement du cannabis acheté à la SQDC durant la grève chez Postes Canada. Toutefois, il n’a pas droit au remboursement de ses frais de déplacement. </w:t>
      </w:r>
    </w:p>
    <w:p w14:paraId="3CEDE4F4" w14:textId="7C3AF928" w:rsidR="00131A23" w:rsidRDefault="00BA4FDC" w:rsidP="002554F1">
      <w:pPr>
        <w:pStyle w:val="corpsdedcision"/>
        <w:rPr>
          <w:lang w:eastAsia="fr-FR"/>
        </w:rPr>
      </w:pPr>
      <w:r>
        <w:rPr>
          <w:lang w:eastAsia="fr-FR"/>
        </w:rPr>
        <w:t>Le travailleur explique qu’en raison de la grève chez Postes Canada en novembre 2024, Aurora ne pouvait livrer du cannabis qui est livré par Postes Canada ou par Purolator.</w:t>
      </w:r>
    </w:p>
    <w:p w14:paraId="4E9581E0" w14:textId="65D965D8" w:rsidR="00BA4FDC" w:rsidRDefault="00BA4FDC" w:rsidP="002554F1">
      <w:pPr>
        <w:pStyle w:val="corpsdedcision"/>
        <w:rPr>
          <w:lang w:eastAsia="fr-FR"/>
        </w:rPr>
      </w:pPr>
      <w:r>
        <w:rPr>
          <w:lang w:eastAsia="fr-FR"/>
        </w:rPr>
        <w:t>Afin de ne pas ressentir de symptômes de sevrage, il se rend à deux occasions à la SQDC de Lachute</w:t>
      </w:r>
      <w:r w:rsidR="005C1565">
        <w:rPr>
          <w:lang w:eastAsia="fr-FR"/>
        </w:rPr>
        <w:t>. Il explique la problématique à son agent de la Commission le 21</w:t>
      </w:r>
      <w:r w:rsidR="000B7229">
        <w:rPr>
          <w:lang w:eastAsia="fr-FR"/>
        </w:rPr>
        <w:t> </w:t>
      </w:r>
      <w:r w:rsidR="005C1565">
        <w:rPr>
          <w:lang w:eastAsia="fr-FR"/>
        </w:rPr>
        <w:t>novembre 2024.</w:t>
      </w:r>
    </w:p>
    <w:p w14:paraId="2F941978" w14:textId="48A71622" w:rsidR="00AB18AC" w:rsidRDefault="00AB18AC" w:rsidP="00AB18AC">
      <w:pPr>
        <w:pStyle w:val="citation"/>
        <w:rPr>
          <w:lang w:eastAsia="fr-FR"/>
        </w:rPr>
      </w:pPr>
      <w:r>
        <w:rPr>
          <w:lang w:eastAsia="fr-FR"/>
        </w:rPr>
        <w:t>Retour d'appel fait à T. T me confirme que son cannabis commandé le 12</w:t>
      </w:r>
      <w:r w:rsidR="003A7A4F">
        <w:rPr>
          <w:lang w:eastAsia="fr-FR"/>
        </w:rPr>
        <w:t> </w:t>
      </w:r>
      <w:r>
        <w:rPr>
          <w:lang w:eastAsia="fr-FR"/>
        </w:rPr>
        <w:t xml:space="preserve">novembre a été acheminé par Purolator, mais ceux-ci ont donné le tout a Poste Canada et il ne trouve pas le colis. T dit qu'il n'a pas eu encore son colis. </w:t>
      </w:r>
    </w:p>
    <w:p w14:paraId="6BF561D9" w14:textId="77777777" w:rsidR="00AB18AC" w:rsidRDefault="00AB18AC" w:rsidP="00AB18AC">
      <w:pPr>
        <w:pStyle w:val="citation"/>
        <w:rPr>
          <w:lang w:eastAsia="fr-FR"/>
        </w:rPr>
      </w:pPr>
    </w:p>
    <w:p w14:paraId="5F292BDF" w14:textId="6E4B982C" w:rsidR="00AB18AC" w:rsidRDefault="00AB18AC" w:rsidP="00AB18AC">
      <w:pPr>
        <w:pStyle w:val="citation"/>
        <w:rPr>
          <w:lang w:eastAsia="fr-FR"/>
        </w:rPr>
      </w:pPr>
      <w:r>
        <w:rPr>
          <w:lang w:eastAsia="fr-FR"/>
        </w:rPr>
        <w:t>T dit qu'il a acheté du cannabis chez un autre fournisseur. Il est rendue à 200</w:t>
      </w:r>
      <w:r w:rsidR="003A7A4F">
        <w:rPr>
          <w:lang w:eastAsia="fr-FR"/>
        </w:rPr>
        <w:t> </w:t>
      </w:r>
      <w:r>
        <w:rPr>
          <w:lang w:eastAsia="fr-FR"/>
        </w:rPr>
        <w:t xml:space="preserve">$ environ. J'indique à T que nous n'avons pas reçu de suivi à l'effet que nous pouvions autorisé chez d'autre fournisseur. T dit que sa commande a été faite de nouveau et qu'il devra aller la chercher en Ontario. </w:t>
      </w:r>
    </w:p>
    <w:p w14:paraId="3D02533C" w14:textId="77777777" w:rsidR="00DE4A90" w:rsidRDefault="00DE4A90" w:rsidP="00AB18AC">
      <w:pPr>
        <w:pStyle w:val="citation"/>
        <w:rPr>
          <w:lang w:eastAsia="fr-FR"/>
        </w:rPr>
      </w:pPr>
    </w:p>
    <w:p w14:paraId="0A7EC2D6" w14:textId="1D3FEA1C" w:rsidR="005C1565" w:rsidRDefault="00AB18AC" w:rsidP="00AB18AC">
      <w:pPr>
        <w:pStyle w:val="citation"/>
        <w:rPr>
          <w:lang w:eastAsia="fr-FR"/>
        </w:rPr>
      </w:pPr>
      <w:r>
        <w:rPr>
          <w:lang w:eastAsia="fr-FR"/>
        </w:rPr>
        <w:t>Je suggère à T de nous faire parvenir ses factures et si ce n'est pas remboursable, je lui rendrai une décision de refus.</w:t>
      </w:r>
    </w:p>
    <w:p w14:paraId="3283075B" w14:textId="77777777" w:rsidR="00AB18AC" w:rsidRDefault="00AB18AC" w:rsidP="00AB18AC">
      <w:pPr>
        <w:pStyle w:val="citation"/>
        <w:rPr>
          <w:lang w:eastAsia="fr-FR"/>
        </w:rPr>
      </w:pPr>
    </w:p>
    <w:p w14:paraId="7870ABD7" w14:textId="77777777" w:rsidR="00DE4A90" w:rsidRPr="000C3E35" w:rsidRDefault="00DE4A90" w:rsidP="003B349A">
      <w:pPr>
        <w:pStyle w:val="citation"/>
        <w:spacing w:after="360"/>
        <w:rPr>
          <w:sz w:val="24"/>
          <w:szCs w:val="24"/>
        </w:rPr>
      </w:pPr>
      <w:r w:rsidRPr="000C3E35">
        <w:rPr>
          <w:sz w:val="24"/>
          <w:szCs w:val="24"/>
        </w:rPr>
        <w:t>[Transcription textuelle]</w:t>
      </w:r>
    </w:p>
    <w:p w14:paraId="7FC1DB5E" w14:textId="0742529E" w:rsidR="005C1565" w:rsidRDefault="005C1565" w:rsidP="002554F1">
      <w:pPr>
        <w:pStyle w:val="corpsdedcision"/>
        <w:rPr>
          <w:lang w:eastAsia="fr-FR"/>
        </w:rPr>
      </w:pPr>
      <w:r>
        <w:rPr>
          <w:lang w:eastAsia="fr-FR"/>
        </w:rPr>
        <w:t xml:space="preserve">La Commission refuse toutefois de lui rembourser le cannabis acheté à la SQDC </w:t>
      </w:r>
      <w:r w:rsidR="00DE4A90">
        <w:rPr>
          <w:lang w:eastAsia="fr-FR"/>
        </w:rPr>
        <w:t xml:space="preserve">notamment </w:t>
      </w:r>
      <w:r>
        <w:rPr>
          <w:lang w:eastAsia="fr-FR"/>
        </w:rPr>
        <w:t xml:space="preserve">puisqu’il ne s’agit pas d’un fournisseur autorisé. </w:t>
      </w:r>
    </w:p>
    <w:p w14:paraId="7C05BE96" w14:textId="2A24917A" w:rsidR="00DE4A90" w:rsidRDefault="00DE4A90" w:rsidP="003B349A">
      <w:pPr>
        <w:pStyle w:val="citation"/>
        <w:numPr>
          <w:ilvl w:val="0"/>
          <w:numId w:val="13"/>
        </w:numPr>
        <w:rPr>
          <w:lang w:eastAsia="fr-FR"/>
        </w:rPr>
      </w:pPr>
      <w:r>
        <w:rPr>
          <w:lang w:eastAsia="fr-FR"/>
        </w:rPr>
        <w:t>Considérant la réception d'une demande de remboursement de produits de cannabis du 19</w:t>
      </w:r>
      <w:r w:rsidR="003A7A4F">
        <w:rPr>
          <w:lang w:eastAsia="fr-FR"/>
        </w:rPr>
        <w:t> </w:t>
      </w:r>
      <w:r>
        <w:rPr>
          <w:lang w:eastAsia="fr-FR"/>
        </w:rPr>
        <w:t>novembre et du 21</w:t>
      </w:r>
      <w:r w:rsidR="003A7A4F">
        <w:rPr>
          <w:lang w:eastAsia="fr-FR"/>
        </w:rPr>
        <w:t> </w:t>
      </w:r>
      <w:r>
        <w:rPr>
          <w:lang w:eastAsia="fr-FR"/>
        </w:rPr>
        <w:t>novembre 2024;</w:t>
      </w:r>
    </w:p>
    <w:p w14:paraId="036D729D" w14:textId="57EDD035" w:rsidR="00DE4A90" w:rsidRDefault="00DE4A90" w:rsidP="003B349A">
      <w:pPr>
        <w:pStyle w:val="citation"/>
        <w:numPr>
          <w:ilvl w:val="0"/>
          <w:numId w:val="13"/>
        </w:numPr>
        <w:rPr>
          <w:lang w:eastAsia="fr-FR"/>
        </w:rPr>
      </w:pPr>
      <w:r>
        <w:rPr>
          <w:lang w:eastAsia="fr-FR"/>
        </w:rPr>
        <w:t>Considérant que les produits ont été achetés à la SQDC, fournisseur non autorisé par la CNESST;</w:t>
      </w:r>
    </w:p>
    <w:p w14:paraId="18D296BA" w14:textId="595967C1" w:rsidR="00DE4A90" w:rsidRDefault="00DE4A90" w:rsidP="003B349A">
      <w:pPr>
        <w:pStyle w:val="citation"/>
        <w:numPr>
          <w:ilvl w:val="0"/>
          <w:numId w:val="13"/>
        </w:numPr>
        <w:rPr>
          <w:lang w:eastAsia="fr-FR"/>
        </w:rPr>
      </w:pPr>
      <w:r>
        <w:rPr>
          <w:lang w:eastAsia="fr-FR"/>
        </w:rPr>
        <w:t>Considérant que T motive ses achats à la SQDC en raison de la grève des postes à cette période;</w:t>
      </w:r>
    </w:p>
    <w:p w14:paraId="60CD52D8" w14:textId="55EE4389" w:rsidR="00DE4A90" w:rsidRDefault="00DE4A90" w:rsidP="003B349A">
      <w:pPr>
        <w:pStyle w:val="citation"/>
        <w:numPr>
          <w:ilvl w:val="0"/>
          <w:numId w:val="13"/>
        </w:numPr>
        <w:rPr>
          <w:lang w:eastAsia="fr-FR"/>
        </w:rPr>
      </w:pPr>
      <w:r>
        <w:rPr>
          <w:lang w:eastAsia="fr-FR"/>
        </w:rPr>
        <w:t>Considérant que T n'a pas demandé l'autorisation à la CNESST avant de procéder à l'achat de son cannabis;</w:t>
      </w:r>
    </w:p>
    <w:p w14:paraId="2DA56BCB" w14:textId="77777777" w:rsidR="00DE4A90" w:rsidRDefault="00DE4A90" w:rsidP="00DE4A90">
      <w:pPr>
        <w:pStyle w:val="citation"/>
        <w:rPr>
          <w:lang w:eastAsia="fr-FR"/>
        </w:rPr>
      </w:pPr>
    </w:p>
    <w:p w14:paraId="7C81FAA6" w14:textId="463FB556" w:rsidR="005C1565" w:rsidRDefault="00DE4A90" w:rsidP="003B349A">
      <w:pPr>
        <w:pStyle w:val="citation"/>
        <w:numPr>
          <w:ilvl w:val="0"/>
          <w:numId w:val="13"/>
        </w:numPr>
        <w:rPr>
          <w:lang w:eastAsia="fr-FR"/>
        </w:rPr>
      </w:pPr>
      <w:r>
        <w:rPr>
          <w:lang w:eastAsia="fr-FR"/>
        </w:rPr>
        <w:t>Compte tenu de ce qui précède et des éléments contenus au dossier, refus de rembourser les factures du 19</w:t>
      </w:r>
      <w:r w:rsidR="003A7A4F">
        <w:rPr>
          <w:lang w:eastAsia="fr-FR"/>
        </w:rPr>
        <w:t> </w:t>
      </w:r>
      <w:r>
        <w:rPr>
          <w:lang w:eastAsia="fr-FR"/>
        </w:rPr>
        <w:t>novembre 2024 et du 21</w:t>
      </w:r>
      <w:r w:rsidR="003A7A4F">
        <w:rPr>
          <w:lang w:eastAsia="fr-FR"/>
        </w:rPr>
        <w:t> </w:t>
      </w:r>
      <w:r>
        <w:rPr>
          <w:lang w:eastAsia="fr-FR"/>
        </w:rPr>
        <w:t>novembre 2024 au montant de 130.30</w:t>
      </w:r>
      <w:r w:rsidR="003A7A4F">
        <w:rPr>
          <w:lang w:eastAsia="fr-FR"/>
        </w:rPr>
        <w:t> </w:t>
      </w:r>
      <w:r>
        <w:rPr>
          <w:lang w:eastAsia="fr-FR"/>
        </w:rPr>
        <w:t>$ chacune.</w:t>
      </w:r>
    </w:p>
    <w:p w14:paraId="1415C7A3" w14:textId="77777777" w:rsidR="00DE4A90" w:rsidRDefault="00DE4A90" w:rsidP="00DE4A90">
      <w:pPr>
        <w:pStyle w:val="citation"/>
        <w:rPr>
          <w:lang w:eastAsia="fr-FR"/>
        </w:rPr>
      </w:pPr>
    </w:p>
    <w:p w14:paraId="174D4413" w14:textId="77777777" w:rsidR="005F7A5E" w:rsidRPr="000C3E35" w:rsidRDefault="005F7A5E" w:rsidP="003B349A">
      <w:pPr>
        <w:pStyle w:val="citation"/>
        <w:spacing w:after="360"/>
        <w:rPr>
          <w:sz w:val="24"/>
          <w:szCs w:val="24"/>
        </w:rPr>
      </w:pPr>
      <w:r w:rsidRPr="000C3E35">
        <w:rPr>
          <w:sz w:val="24"/>
          <w:szCs w:val="24"/>
        </w:rPr>
        <w:t>[Transcription textuelle]</w:t>
      </w:r>
    </w:p>
    <w:p w14:paraId="308C4BE5" w14:textId="5D17E7AF" w:rsidR="005C1565" w:rsidRDefault="005C1565" w:rsidP="002554F1">
      <w:pPr>
        <w:pStyle w:val="corpsdedcision"/>
        <w:rPr>
          <w:lang w:eastAsia="fr-FR"/>
        </w:rPr>
      </w:pPr>
      <w:r>
        <w:rPr>
          <w:lang w:eastAsia="fr-FR"/>
        </w:rPr>
        <w:t xml:space="preserve">Le Tribunal considère qu’il s’agit d’une situation </w:t>
      </w:r>
      <w:r w:rsidR="008A1D95">
        <w:rPr>
          <w:lang w:eastAsia="fr-FR"/>
        </w:rPr>
        <w:t>particulière</w:t>
      </w:r>
      <w:r w:rsidR="005F7A5E">
        <w:rPr>
          <w:lang w:eastAsia="fr-FR"/>
        </w:rPr>
        <w:t>. Le</w:t>
      </w:r>
      <w:r>
        <w:rPr>
          <w:lang w:eastAsia="fr-FR"/>
        </w:rPr>
        <w:t xml:space="preserve"> travailleur fait le nécessaire pour </w:t>
      </w:r>
      <w:r w:rsidR="005F7A5E">
        <w:rPr>
          <w:lang w:eastAsia="fr-FR"/>
        </w:rPr>
        <w:t xml:space="preserve">obtenir du cannabis thérapeutique </w:t>
      </w:r>
      <w:r>
        <w:rPr>
          <w:lang w:eastAsia="fr-FR"/>
        </w:rPr>
        <w:t xml:space="preserve">de façon légale afin de ne pas avoir de bris de continuité. </w:t>
      </w:r>
      <w:r w:rsidR="00DE4A90">
        <w:rPr>
          <w:lang w:eastAsia="fr-FR"/>
        </w:rPr>
        <w:t>Certes, il aurait pu demander l’autorisation de la Commission avant de s’en procurer, mais il agi</w:t>
      </w:r>
      <w:r w:rsidR="000B7229">
        <w:rPr>
          <w:lang w:eastAsia="fr-FR"/>
        </w:rPr>
        <w:t>t alors</w:t>
      </w:r>
      <w:r w:rsidR="00DE4A90">
        <w:rPr>
          <w:lang w:eastAsia="fr-FR"/>
        </w:rPr>
        <w:t xml:space="preserve"> dans une situation où il crai</w:t>
      </w:r>
      <w:r w:rsidR="000B7229">
        <w:rPr>
          <w:lang w:eastAsia="fr-FR"/>
        </w:rPr>
        <w:t>nt</w:t>
      </w:r>
      <w:r w:rsidR="00DE4A90">
        <w:rPr>
          <w:lang w:eastAsia="fr-FR"/>
        </w:rPr>
        <w:t xml:space="preserve"> </w:t>
      </w:r>
      <w:r w:rsidR="007D7EE7">
        <w:rPr>
          <w:lang w:eastAsia="fr-FR"/>
        </w:rPr>
        <w:t>d’</w:t>
      </w:r>
      <w:r w:rsidR="00DE4A90">
        <w:rPr>
          <w:lang w:eastAsia="fr-FR"/>
        </w:rPr>
        <w:t>avoir un bris de service dans l’acheminement du cannabis médical.</w:t>
      </w:r>
    </w:p>
    <w:p w14:paraId="3E19D0F7" w14:textId="77B091A8" w:rsidR="005C1565" w:rsidRDefault="00DE4A90" w:rsidP="002554F1">
      <w:pPr>
        <w:pStyle w:val="corpsdedcision"/>
        <w:rPr>
          <w:lang w:eastAsia="fr-FR"/>
        </w:rPr>
      </w:pPr>
      <w:r>
        <w:rPr>
          <w:lang w:eastAsia="fr-FR"/>
        </w:rPr>
        <w:t>Par ailleurs, b</w:t>
      </w:r>
      <w:r w:rsidR="005C1565">
        <w:rPr>
          <w:lang w:eastAsia="fr-FR"/>
        </w:rPr>
        <w:t>ien que la SQDC ne soit pas un</w:t>
      </w:r>
      <w:r w:rsidR="00462F66">
        <w:rPr>
          <w:lang w:eastAsia="fr-FR"/>
        </w:rPr>
        <w:t>e</w:t>
      </w:r>
      <w:r w:rsidR="005C1565">
        <w:rPr>
          <w:lang w:eastAsia="fr-FR"/>
        </w:rPr>
        <w:t xml:space="preserve"> fournisseu</w:t>
      </w:r>
      <w:r w:rsidR="00462F66">
        <w:rPr>
          <w:lang w:eastAsia="fr-FR"/>
        </w:rPr>
        <w:t>se</w:t>
      </w:r>
      <w:r w:rsidR="005C1565">
        <w:rPr>
          <w:lang w:eastAsia="fr-FR"/>
        </w:rPr>
        <w:t xml:space="preserve"> autorisé</w:t>
      </w:r>
      <w:r w:rsidR="00462F66">
        <w:rPr>
          <w:lang w:eastAsia="fr-FR"/>
        </w:rPr>
        <w:t>e</w:t>
      </w:r>
      <w:r w:rsidR="005C1565">
        <w:rPr>
          <w:lang w:eastAsia="fr-FR"/>
        </w:rPr>
        <w:t xml:space="preserve"> auprès de la Commission, il s’agit ici d’une situation exceptionnelle </w:t>
      </w:r>
      <w:r w:rsidR="00CB08A6">
        <w:rPr>
          <w:lang w:eastAsia="fr-FR"/>
        </w:rPr>
        <w:t xml:space="preserve">puisque le travailleur ne pouvait recevoir du cannabis auprès de son fournisseur habituel. </w:t>
      </w:r>
    </w:p>
    <w:p w14:paraId="1472B32B" w14:textId="365A34B7" w:rsidR="008A1D95" w:rsidRDefault="008A1D95" w:rsidP="002554F1">
      <w:pPr>
        <w:pStyle w:val="corpsdedcision"/>
        <w:rPr>
          <w:lang w:eastAsia="fr-FR"/>
        </w:rPr>
      </w:pPr>
      <w:r>
        <w:rPr>
          <w:lang w:eastAsia="fr-FR"/>
        </w:rPr>
        <w:t xml:space="preserve">Dans l’affaire </w:t>
      </w:r>
      <w:r w:rsidRPr="007D7EE7">
        <w:rPr>
          <w:i/>
          <w:iCs/>
          <w:lang w:eastAsia="fr-FR"/>
        </w:rPr>
        <w:t>K.</w:t>
      </w:r>
      <w:r w:rsidR="003A7A4F">
        <w:rPr>
          <w:i/>
          <w:iCs/>
          <w:lang w:eastAsia="fr-FR"/>
        </w:rPr>
        <w:t> </w:t>
      </w:r>
      <w:r w:rsidRPr="007D7EE7">
        <w:rPr>
          <w:i/>
          <w:iCs/>
          <w:lang w:eastAsia="fr-FR"/>
        </w:rPr>
        <w:t>B</w:t>
      </w:r>
      <w:r>
        <w:rPr>
          <w:lang w:eastAsia="fr-FR"/>
        </w:rPr>
        <w:t xml:space="preserve">. et </w:t>
      </w:r>
      <w:r w:rsidRPr="007D7EE7">
        <w:rPr>
          <w:i/>
          <w:iCs/>
          <w:lang w:eastAsia="fr-FR"/>
        </w:rPr>
        <w:t>Compagnie A</w:t>
      </w:r>
      <w:r w:rsidR="005E0600">
        <w:rPr>
          <w:rStyle w:val="Appelnotedebasdep"/>
          <w:lang w:eastAsia="fr-FR"/>
        </w:rPr>
        <w:footnoteReference w:id="9"/>
      </w:r>
      <w:r>
        <w:rPr>
          <w:lang w:eastAsia="fr-FR"/>
        </w:rPr>
        <w:t xml:space="preserve">, concernant le même travailleur, le Tribunal devait analyser si le travailleur pouvait se faire rembourser du cannabis médical dans le contexte </w:t>
      </w:r>
      <w:r w:rsidR="003F5616">
        <w:rPr>
          <w:lang w:eastAsia="fr-FR"/>
        </w:rPr>
        <w:t xml:space="preserve">où il </w:t>
      </w:r>
      <w:r>
        <w:rPr>
          <w:lang w:eastAsia="fr-FR"/>
        </w:rPr>
        <w:t>dépasse la quantité maximale par mois</w:t>
      </w:r>
      <w:r w:rsidR="00462F66">
        <w:rPr>
          <w:lang w:eastAsia="fr-FR"/>
        </w:rPr>
        <w:t>,</w:t>
      </w:r>
      <w:r>
        <w:rPr>
          <w:lang w:eastAsia="fr-FR"/>
        </w:rPr>
        <w:t xml:space="preserve"> étant donné les délais de livraison durant la période des fêtes. Le Tribunal détermine alors qu’il y a lieu d’apprécier globalement si le travailleur y a droit alors que des délais inhabituels pourraient survenir.</w:t>
      </w:r>
    </w:p>
    <w:p w14:paraId="7D7D0CC7" w14:textId="77777777" w:rsidR="007D7EE7" w:rsidRDefault="007D7EE7" w:rsidP="007D7EE7">
      <w:pPr>
        <w:pStyle w:val="citation"/>
        <w:rPr>
          <w:lang w:eastAsia="fr-FR"/>
        </w:rPr>
      </w:pPr>
      <w:r>
        <w:rPr>
          <w:lang w:eastAsia="fr-FR"/>
        </w:rPr>
        <w:t>[30]</w:t>
      </w:r>
      <w:r>
        <w:rPr>
          <w:lang w:eastAsia="fr-FR"/>
        </w:rPr>
        <w:tab/>
        <w:t xml:space="preserve">Sur la base de ce qui précède, le Tribunal considère que l’analyse du présent litige doit nécessairement tenir compte des particularités propres à l’approvisionnement du cannabis thérapeutique, lesquelles impliquent parfois la nécessité de passer plus d’une commande par mois et parfois un chevauchement de commandes afin de couvrir le mois en cours et le mois suivant. </w:t>
      </w:r>
    </w:p>
    <w:p w14:paraId="1DAE600D" w14:textId="77777777" w:rsidR="007D7EE7" w:rsidRDefault="007D7EE7" w:rsidP="007D7EE7">
      <w:pPr>
        <w:pStyle w:val="citation"/>
        <w:rPr>
          <w:lang w:eastAsia="fr-FR"/>
        </w:rPr>
      </w:pPr>
    </w:p>
    <w:p w14:paraId="793CD18C" w14:textId="151C82A8" w:rsidR="008A1D95" w:rsidRDefault="007D7EE7" w:rsidP="003B349A">
      <w:pPr>
        <w:pStyle w:val="citation"/>
        <w:spacing w:after="360"/>
        <w:rPr>
          <w:lang w:eastAsia="fr-FR"/>
        </w:rPr>
      </w:pPr>
      <w:r>
        <w:rPr>
          <w:lang w:eastAsia="fr-FR"/>
        </w:rPr>
        <w:t>[31]</w:t>
      </w:r>
      <w:r>
        <w:rPr>
          <w:lang w:eastAsia="fr-FR"/>
        </w:rPr>
        <w:tab/>
        <w:t>Dans ce contexte, le Tribunal estime également que son analyse ne doit pas se limiter au seul facteur temporel des commandes de cannabis thérapeutique. Il doit plutôt apprécier la preuve de façon globale afin de déterminer si, dans les faits, les commandes placées les 8 et 27</w:t>
      </w:r>
      <w:r w:rsidR="003A7A4F">
        <w:rPr>
          <w:lang w:eastAsia="fr-FR"/>
        </w:rPr>
        <w:t> </w:t>
      </w:r>
      <w:r>
        <w:rPr>
          <w:lang w:eastAsia="fr-FR"/>
        </w:rPr>
        <w:t>novembre 2021 ont permis au travailleur de maintenir son accès à la quantité de cannabis prescrite, ou si elles lui ont réellement donné accès à une quantité supérieure à celle autorisée. En d’autres mots, le Tribunal doit s’assurer que le travailleur bénéficie de l’assistance médicale à laquelle il a droit ni plus, ni moins.</w:t>
      </w:r>
    </w:p>
    <w:p w14:paraId="553BE4A8" w14:textId="01916DE9" w:rsidR="005E0600" w:rsidRDefault="005E0600" w:rsidP="002554F1">
      <w:pPr>
        <w:pStyle w:val="corpsdedcision"/>
        <w:rPr>
          <w:lang w:eastAsia="fr-FR"/>
        </w:rPr>
      </w:pPr>
      <w:r>
        <w:rPr>
          <w:lang w:eastAsia="fr-FR"/>
        </w:rPr>
        <w:t>Le cannabis thérapeutique constitue une substance que le travailleur ne peut acheter dans une pharmacie comme il serait possible de le faire pour la plupart des autres médicaments. Dans le contexte d’une grève chez Postes Canada, le travailleur n’avait pas d’autres alternatives pour se le procurer légalement que d’aller à la SQDC.</w:t>
      </w:r>
    </w:p>
    <w:p w14:paraId="50CDC3CD" w14:textId="01CD156A" w:rsidR="000A3B70" w:rsidRDefault="000A3B70" w:rsidP="002554F1">
      <w:pPr>
        <w:pStyle w:val="corpsdedcision"/>
        <w:rPr>
          <w:lang w:eastAsia="fr-FR"/>
        </w:rPr>
      </w:pPr>
      <w:r>
        <w:rPr>
          <w:lang w:eastAsia="fr-FR"/>
        </w:rPr>
        <w:t>Par ailleurs, l</w:t>
      </w:r>
      <w:r w:rsidR="009D61CE">
        <w:rPr>
          <w:lang w:eastAsia="fr-FR"/>
        </w:rPr>
        <w:t xml:space="preserve">es articles 280.1 </w:t>
      </w:r>
      <w:r w:rsidR="003F5616">
        <w:rPr>
          <w:lang w:eastAsia="fr-FR"/>
        </w:rPr>
        <w:t xml:space="preserve">et suivants </w:t>
      </w:r>
      <w:r w:rsidR="009D61CE">
        <w:rPr>
          <w:lang w:eastAsia="fr-FR"/>
        </w:rPr>
        <w:t>de la</w:t>
      </w:r>
      <w:r>
        <w:rPr>
          <w:lang w:eastAsia="fr-FR"/>
        </w:rPr>
        <w:t xml:space="preserve"> Loi prévoi</w:t>
      </w:r>
      <w:r w:rsidR="009D61CE">
        <w:rPr>
          <w:lang w:eastAsia="fr-FR"/>
        </w:rPr>
        <w:t>en</w:t>
      </w:r>
      <w:r>
        <w:rPr>
          <w:lang w:eastAsia="fr-FR"/>
        </w:rPr>
        <w:t>t qu’un fournisseur doit obtenir l’autorisation de la Commission</w:t>
      </w:r>
      <w:r w:rsidR="003F5616">
        <w:rPr>
          <w:lang w:eastAsia="fr-FR"/>
        </w:rPr>
        <w:t> :</w:t>
      </w:r>
    </w:p>
    <w:p w14:paraId="4E921B28" w14:textId="3432C0C2" w:rsidR="000A3B70" w:rsidRDefault="007D7EE7" w:rsidP="007D7EE7">
      <w:pPr>
        <w:pStyle w:val="citation"/>
        <w:rPr>
          <w:lang w:eastAsia="fr-FR"/>
        </w:rPr>
      </w:pPr>
      <w:r w:rsidRPr="003B349A">
        <w:rPr>
          <w:b/>
          <w:bCs/>
          <w:lang w:eastAsia="fr-FR"/>
        </w:rPr>
        <w:t>280.1</w:t>
      </w:r>
      <w:r>
        <w:rPr>
          <w:lang w:eastAsia="fr-FR"/>
        </w:rPr>
        <w:tab/>
        <w:t>A</w:t>
      </w:r>
      <w:r w:rsidRPr="007D7EE7">
        <w:rPr>
          <w:lang w:eastAsia="fr-FR"/>
        </w:rPr>
        <w:t>ux fins de la présente section, on entend par «fournisseur» toute personne ou toute entreprise qui fournit à un bénéficiaire directement ou indirectement des biens ou services visés à la présente loi, qui n’est pas payée par la Régie de l’assurance maladie du Québec en vertu de l’article 196 et qui doit, lorsque la présente loi le prévoit, être payée par la Commission.</w:t>
      </w:r>
    </w:p>
    <w:p w14:paraId="2BBC7787" w14:textId="77777777" w:rsidR="007D7EE7" w:rsidRDefault="007D7EE7" w:rsidP="007D7EE7">
      <w:pPr>
        <w:pStyle w:val="citation"/>
        <w:rPr>
          <w:lang w:eastAsia="fr-FR"/>
        </w:rPr>
      </w:pPr>
    </w:p>
    <w:p w14:paraId="18DF2666" w14:textId="28AA7857" w:rsidR="007D7EE7" w:rsidRDefault="007D7EE7" w:rsidP="007D7EE7">
      <w:pPr>
        <w:pStyle w:val="citation"/>
        <w:rPr>
          <w:lang w:eastAsia="fr-FR"/>
        </w:rPr>
      </w:pPr>
      <w:r w:rsidRPr="003B349A">
        <w:rPr>
          <w:b/>
          <w:bCs/>
          <w:lang w:eastAsia="fr-FR"/>
        </w:rPr>
        <w:t>280.2</w:t>
      </w:r>
      <w:r>
        <w:rPr>
          <w:lang w:eastAsia="fr-FR"/>
        </w:rPr>
        <w:t xml:space="preserve"> </w:t>
      </w:r>
      <w:r>
        <w:rPr>
          <w:lang w:eastAsia="fr-FR"/>
        </w:rPr>
        <w:tab/>
        <w:t>La personne ou l’entreprise qui souhaite être un fournisseur doit obtenir l’autorisation de la Commission.</w:t>
      </w:r>
    </w:p>
    <w:p w14:paraId="66700B89" w14:textId="77777777" w:rsidR="007D7EE7" w:rsidRDefault="007D7EE7" w:rsidP="007D7EE7">
      <w:pPr>
        <w:pStyle w:val="citation"/>
        <w:rPr>
          <w:lang w:eastAsia="fr-FR"/>
        </w:rPr>
      </w:pPr>
    </w:p>
    <w:p w14:paraId="0FD95679" w14:textId="43D0C3DD" w:rsidR="007D7EE7" w:rsidRDefault="007D7EE7" w:rsidP="003B349A">
      <w:pPr>
        <w:pStyle w:val="citation"/>
        <w:spacing w:after="360"/>
        <w:rPr>
          <w:lang w:eastAsia="fr-FR"/>
        </w:rPr>
      </w:pPr>
      <w:r>
        <w:rPr>
          <w:lang w:eastAsia="fr-FR"/>
        </w:rPr>
        <w:t>La demande d’autorisation doit être présentée à la Commission selon la forme prescrite et être accompagnée des renseignements et des documents prévus par règlement.</w:t>
      </w:r>
    </w:p>
    <w:p w14:paraId="1DC5B357" w14:textId="33BB47B2" w:rsidR="007D7EE7" w:rsidRPr="00727416" w:rsidRDefault="003B349A" w:rsidP="00727416">
      <w:pPr>
        <w:pStyle w:val="corpsdedcision"/>
        <w:rPr>
          <w:lang w:eastAsia="fr-FR"/>
        </w:rPr>
      </w:pPr>
      <w:r>
        <w:rPr>
          <w:lang w:eastAsia="fr-FR"/>
        </w:rPr>
        <w:t>Aussi</w:t>
      </w:r>
      <w:r w:rsidR="00727416">
        <w:rPr>
          <w:lang w:eastAsia="fr-FR"/>
        </w:rPr>
        <w:t xml:space="preserve">, selon le </w:t>
      </w:r>
      <w:r w:rsidR="00727416" w:rsidRPr="00727416">
        <w:rPr>
          <w:i/>
          <w:iCs/>
          <w:lang w:eastAsia="fr-FR"/>
        </w:rPr>
        <w:t>Règlement sur les fournisseurs</w:t>
      </w:r>
      <w:r w:rsidR="00727416" w:rsidRPr="00727416">
        <w:rPr>
          <w:rStyle w:val="Appelnotedebasdep"/>
          <w:lang w:eastAsia="fr-FR"/>
        </w:rPr>
        <w:footnoteReference w:id="10"/>
      </w:r>
      <w:r w:rsidR="00727416">
        <w:rPr>
          <w:lang w:eastAsia="fr-FR"/>
        </w:rPr>
        <w:t>, un fournisseur doit transmettre une demande à la Commission et satisfaire aux conditions prévues par ce règlement, notamment celles de l’annexe 1, soit de détenir un permis de Santé Canada pour vendre du cannabis médical avec ou sans possession.</w:t>
      </w:r>
    </w:p>
    <w:p w14:paraId="1BD59D2A" w14:textId="46F43E3E" w:rsidR="0025790C" w:rsidRDefault="000A3B70" w:rsidP="000A3B70">
      <w:pPr>
        <w:pStyle w:val="corpsdedcision"/>
        <w:rPr>
          <w:lang w:eastAsia="fr-FR"/>
        </w:rPr>
      </w:pPr>
      <w:r>
        <w:rPr>
          <w:lang w:eastAsia="fr-FR"/>
        </w:rPr>
        <w:t>Bien que la SQDC ne soit pas un</w:t>
      </w:r>
      <w:r w:rsidR="00462F66">
        <w:rPr>
          <w:lang w:eastAsia="fr-FR"/>
        </w:rPr>
        <w:t>e</w:t>
      </w:r>
      <w:r>
        <w:rPr>
          <w:lang w:eastAsia="fr-FR"/>
        </w:rPr>
        <w:t xml:space="preserve"> fournisseu</w:t>
      </w:r>
      <w:r w:rsidR="00462F66">
        <w:rPr>
          <w:lang w:eastAsia="fr-FR"/>
        </w:rPr>
        <w:t>se</w:t>
      </w:r>
      <w:r>
        <w:rPr>
          <w:lang w:eastAsia="fr-FR"/>
        </w:rPr>
        <w:t xml:space="preserve"> autorisé</w:t>
      </w:r>
      <w:r w:rsidR="00462F66">
        <w:rPr>
          <w:lang w:eastAsia="fr-FR"/>
        </w:rPr>
        <w:t>e</w:t>
      </w:r>
      <w:r w:rsidR="0025790C">
        <w:rPr>
          <w:lang w:eastAsia="fr-FR"/>
        </w:rPr>
        <w:t xml:space="preserve"> selon la preuve au dossier, il n’en demeure pas moins que le travailleur n’avait pas d’autres alternatives afin de se procurer l’assistance médicale à laquelle il a droit. </w:t>
      </w:r>
    </w:p>
    <w:p w14:paraId="28C1CE93" w14:textId="09C8DDDE" w:rsidR="000A3B70" w:rsidRDefault="0025790C" w:rsidP="000A3B70">
      <w:pPr>
        <w:pStyle w:val="corpsdedcision"/>
        <w:rPr>
          <w:lang w:eastAsia="fr-FR"/>
        </w:rPr>
      </w:pPr>
      <w:r>
        <w:rPr>
          <w:lang w:eastAsia="fr-FR"/>
        </w:rPr>
        <w:t xml:space="preserve">Dans l’affaire </w:t>
      </w:r>
      <w:r w:rsidRPr="00BF5560">
        <w:rPr>
          <w:i/>
          <w:iCs/>
          <w:lang w:eastAsia="fr-FR"/>
        </w:rPr>
        <w:t>Blondin</w:t>
      </w:r>
      <w:r>
        <w:rPr>
          <w:lang w:eastAsia="fr-FR"/>
        </w:rPr>
        <w:t xml:space="preserve"> et </w:t>
      </w:r>
      <w:r w:rsidRPr="00BF5560">
        <w:rPr>
          <w:i/>
          <w:iCs/>
          <w:lang w:eastAsia="fr-FR"/>
        </w:rPr>
        <w:t>Foyer du Parc – Centre intégré universitaire de santé et de services sociaux</w:t>
      </w:r>
      <w:r w:rsidR="00BF5560">
        <w:rPr>
          <w:rStyle w:val="Appelnotedebasdep"/>
          <w:lang w:eastAsia="fr-FR"/>
        </w:rPr>
        <w:footnoteReference w:id="11"/>
      </w:r>
      <w:r>
        <w:rPr>
          <w:lang w:eastAsia="fr-FR"/>
        </w:rPr>
        <w:t>, le Tribunal devait déterminer si le travailleur peut se faire rembourser des soins psychologiques alors que la psychologue n’est pas un</w:t>
      </w:r>
      <w:r w:rsidR="00462F66">
        <w:rPr>
          <w:lang w:eastAsia="fr-FR"/>
        </w:rPr>
        <w:t>e</w:t>
      </w:r>
      <w:r>
        <w:rPr>
          <w:lang w:eastAsia="fr-FR"/>
        </w:rPr>
        <w:t xml:space="preserve"> fournisseu</w:t>
      </w:r>
      <w:r w:rsidR="00462F66">
        <w:rPr>
          <w:lang w:eastAsia="fr-FR"/>
        </w:rPr>
        <w:t>se</w:t>
      </w:r>
      <w:r>
        <w:rPr>
          <w:lang w:eastAsia="fr-FR"/>
        </w:rPr>
        <w:t xml:space="preserve"> autorisé</w:t>
      </w:r>
      <w:r w:rsidR="00462F66">
        <w:rPr>
          <w:lang w:eastAsia="fr-FR"/>
        </w:rPr>
        <w:t>e</w:t>
      </w:r>
      <w:r w:rsidR="00F73D1A">
        <w:rPr>
          <w:lang w:eastAsia="fr-FR"/>
        </w:rPr>
        <w:t>, le</w:t>
      </w:r>
      <w:r>
        <w:rPr>
          <w:lang w:eastAsia="fr-FR"/>
        </w:rPr>
        <w:t xml:space="preserve"> travailleur n’ayant pu retenir les services d’un psychologue figurant sur la liste des fournisseurs autorisés. Le Tribunal a alors déterminé qu’il faut examiner le but de la Loi et s’assurer qu’un travailleur </w:t>
      </w:r>
      <w:r w:rsidR="00462F66">
        <w:rPr>
          <w:lang w:eastAsia="fr-FR"/>
        </w:rPr>
        <w:t>a</w:t>
      </w:r>
      <w:r>
        <w:rPr>
          <w:lang w:eastAsia="fr-FR"/>
        </w:rPr>
        <w:t xml:space="preserve"> droit aux soins </w:t>
      </w:r>
      <w:r w:rsidR="00BF5560">
        <w:rPr>
          <w:lang w:eastAsia="fr-FR"/>
        </w:rPr>
        <w:t>prescrits par son professionnel de la santé qui a charge,</w:t>
      </w:r>
      <w:r>
        <w:rPr>
          <w:lang w:eastAsia="fr-FR"/>
        </w:rPr>
        <w:t xml:space="preserve"> </w:t>
      </w:r>
      <w:r w:rsidR="00BF5560">
        <w:rPr>
          <w:lang w:eastAsia="fr-FR"/>
        </w:rPr>
        <w:t xml:space="preserve">même </w:t>
      </w:r>
      <w:r>
        <w:rPr>
          <w:lang w:eastAsia="fr-FR"/>
        </w:rPr>
        <w:t>s</w:t>
      </w:r>
      <w:r w:rsidR="00BF5560">
        <w:rPr>
          <w:lang w:eastAsia="fr-FR"/>
        </w:rPr>
        <w:t xml:space="preserve">’il </w:t>
      </w:r>
      <w:r>
        <w:rPr>
          <w:lang w:eastAsia="fr-FR"/>
        </w:rPr>
        <w:t xml:space="preserve">s’avère impossible </w:t>
      </w:r>
      <w:r w:rsidR="00BF5560">
        <w:rPr>
          <w:lang w:eastAsia="fr-FR"/>
        </w:rPr>
        <w:t>de les</w:t>
      </w:r>
      <w:r>
        <w:rPr>
          <w:lang w:eastAsia="fr-FR"/>
        </w:rPr>
        <w:t xml:space="preserve"> recevoir par un fournisseur autorisé</w:t>
      </w:r>
      <w:r w:rsidR="00F73D1A">
        <w:rPr>
          <w:lang w:eastAsia="fr-FR"/>
        </w:rPr>
        <w:t> :</w:t>
      </w:r>
    </w:p>
    <w:p w14:paraId="27A35A13" w14:textId="77777777" w:rsidR="00BF5560" w:rsidRDefault="00BF5560" w:rsidP="00BF5560">
      <w:pPr>
        <w:pStyle w:val="citation"/>
        <w:rPr>
          <w:lang w:eastAsia="fr-FR"/>
        </w:rPr>
      </w:pPr>
      <w:r>
        <w:rPr>
          <w:lang w:eastAsia="fr-FR"/>
        </w:rPr>
        <w:t>[49]</w:t>
      </w:r>
      <w:r>
        <w:rPr>
          <w:lang w:eastAsia="fr-FR"/>
        </w:rPr>
        <w:tab/>
        <w:t>Que les psychologues puissent être reconnus fournisseurs par la Commission afin de faciliter le remboursement des sommes qui leur sont dues, lors de services rendus aux travailleurs victimes de lésions professionnelles, est une avenue prévue par le législateur qui est intéressante, puisque facilitante, mais elle perd tout intérêt si elle s’avère inapplicable et qu’elle prive les travailleurs du droit de bénéficier des soins qui leur sont prescrits.</w:t>
      </w:r>
    </w:p>
    <w:p w14:paraId="7A2455FF" w14:textId="77777777" w:rsidR="00BF5560" w:rsidRDefault="00BF5560" w:rsidP="00BF5560">
      <w:pPr>
        <w:pStyle w:val="citation"/>
        <w:rPr>
          <w:lang w:eastAsia="fr-FR"/>
        </w:rPr>
      </w:pPr>
    </w:p>
    <w:p w14:paraId="596D3225" w14:textId="40C35455" w:rsidR="00BF5560" w:rsidRDefault="00BF5560" w:rsidP="003B349A">
      <w:pPr>
        <w:pStyle w:val="citation"/>
        <w:spacing w:after="360"/>
        <w:rPr>
          <w:lang w:eastAsia="fr-FR"/>
        </w:rPr>
      </w:pPr>
      <w:r>
        <w:rPr>
          <w:lang w:eastAsia="fr-FR"/>
        </w:rPr>
        <w:t>[50]</w:t>
      </w:r>
      <w:r>
        <w:rPr>
          <w:lang w:eastAsia="fr-FR"/>
        </w:rPr>
        <w:tab/>
        <w:t>C’est dans le même ordre d’idée que le Tribunal conclut que lorsque les soins psychologiques sont prescrits par le professionnel de la santé qui a charge sont impossibles à obtenir, de l’un ou de l’une des psychologues apparaissant sur la liste des fournisseurs autorisés par la Commission, alors qu’ils ont pu être fournis par un psychologue membre de l’ordre professionnel qui le régit, même s’il n’a pas été reconnu fournisseur, le droit à l’assistance médicale permet que le travailleur puisse demander le remboursement des sommes requises pour obtenir des soins psychologiques. Le Tribunal est convaincu que seule cette conclusion est en accord avec le but premier de la Loi, assurer la réparation des conséquences de la lésion professionnelle.</w:t>
      </w:r>
    </w:p>
    <w:p w14:paraId="76565946" w14:textId="61A87329" w:rsidR="00CB08A6" w:rsidRDefault="00CB08A6" w:rsidP="002554F1">
      <w:pPr>
        <w:pStyle w:val="corpsdedcision"/>
        <w:rPr>
          <w:lang w:eastAsia="fr-FR"/>
        </w:rPr>
      </w:pPr>
      <w:r>
        <w:rPr>
          <w:lang w:eastAsia="fr-FR"/>
        </w:rPr>
        <w:t>Le travailleur a donc droit au remboursement demandé pour l’achat de cannabis à deux reprises auprès de la SQDC en novembre 2024, selon les preuves d’achat produit</w:t>
      </w:r>
      <w:r w:rsidR="00F73D1A">
        <w:rPr>
          <w:lang w:eastAsia="fr-FR"/>
        </w:rPr>
        <w:t>es</w:t>
      </w:r>
      <w:r>
        <w:rPr>
          <w:lang w:eastAsia="fr-FR"/>
        </w:rPr>
        <w:t xml:space="preserve"> </w:t>
      </w:r>
      <w:r w:rsidR="00F73D1A">
        <w:rPr>
          <w:lang w:eastAsia="fr-FR"/>
        </w:rPr>
        <w:t xml:space="preserve">auprès de </w:t>
      </w:r>
      <w:r>
        <w:rPr>
          <w:lang w:eastAsia="fr-FR"/>
        </w:rPr>
        <w:t>la Commission.</w:t>
      </w:r>
    </w:p>
    <w:p w14:paraId="2B1BF646" w14:textId="16816AC0" w:rsidR="00CB08A6" w:rsidRDefault="00CB08A6" w:rsidP="002554F1">
      <w:pPr>
        <w:pStyle w:val="corpsdedcision"/>
        <w:rPr>
          <w:lang w:eastAsia="fr-FR"/>
        </w:rPr>
      </w:pPr>
      <w:r>
        <w:rPr>
          <w:lang w:eastAsia="fr-FR"/>
        </w:rPr>
        <w:t xml:space="preserve">Quant aux frais de déplacement afin d’aller chercher du cannabis à une pharmacie à Alexandria, en Ontario, le travailleur mentionne </w:t>
      </w:r>
      <w:r w:rsidR="00F73D1A">
        <w:rPr>
          <w:lang w:eastAsia="fr-FR"/>
        </w:rPr>
        <w:t>qu’</w:t>
      </w:r>
      <w:r>
        <w:rPr>
          <w:lang w:eastAsia="fr-FR"/>
        </w:rPr>
        <w:t>Aurora a pu, par la suite, livrer du cannabis à cet endroit, malgré la grève chez Postes Canada. Il réclame donc des frais de</w:t>
      </w:r>
      <w:r w:rsidR="00C81E0E">
        <w:rPr>
          <w:lang w:eastAsia="fr-FR"/>
        </w:rPr>
        <w:t xml:space="preserve"> déplacement puisque cette municipalité se trouve à une quarantaine de kilomètres de son domicile. </w:t>
      </w:r>
    </w:p>
    <w:p w14:paraId="7787D3CF" w14:textId="32BA3662" w:rsidR="00C81E0E" w:rsidRDefault="00C81E0E" w:rsidP="002554F1">
      <w:pPr>
        <w:pStyle w:val="corpsdedcision"/>
        <w:rPr>
          <w:lang w:eastAsia="fr-FR"/>
        </w:rPr>
      </w:pPr>
      <w:r>
        <w:rPr>
          <w:lang w:eastAsia="fr-FR"/>
        </w:rPr>
        <w:t xml:space="preserve">L’article 8 du </w:t>
      </w:r>
      <w:r w:rsidRPr="00C81E0E">
        <w:rPr>
          <w:i/>
          <w:iCs/>
          <w:lang w:eastAsia="fr-FR"/>
        </w:rPr>
        <w:t>Règlement sur les frais de déplacements et de séjour</w:t>
      </w:r>
      <w:r>
        <w:rPr>
          <w:rStyle w:val="Appelnotedebasdep"/>
          <w:lang w:eastAsia="fr-FR"/>
        </w:rPr>
        <w:footnoteReference w:id="12"/>
      </w:r>
      <w:r>
        <w:rPr>
          <w:lang w:eastAsia="fr-FR"/>
        </w:rPr>
        <w:t>, le Règlement, prévoit les situations où un travailleur peut se faire rembourser des frais de déplacement</w:t>
      </w:r>
      <w:r w:rsidR="00F73D1A">
        <w:rPr>
          <w:lang w:eastAsia="fr-FR"/>
        </w:rPr>
        <w:t xml:space="preserve"> : </w:t>
      </w:r>
    </w:p>
    <w:p w14:paraId="1F68005C" w14:textId="77777777" w:rsidR="00C81E0E" w:rsidRDefault="00C81E0E" w:rsidP="00C81E0E">
      <w:pPr>
        <w:pStyle w:val="citation"/>
        <w:rPr>
          <w:lang w:eastAsia="fr-FR"/>
        </w:rPr>
      </w:pPr>
      <w:r w:rsidRPr="003B349A">
        <w:rPr>
          <w:b/>
          <w:bCs/>
          <w:lang w:eastAsia="fr-FR"/>
        </w:rPr>
        <w:t>8.</w:t>
      </w:r>
      <w:r>
        <w:rPr>
          <w:lang w:eastAsia="fr-FR"/>
        </w:rPr>
        <w:t xml:space="preserve"> Seuls sont remboursables, selon le tarif applicable prévu à l’annexe 1, les frais de transport engagés pour se déplacer entre la résidence et le lieu où les soins doivent être reçus, les examens médicaux doivent être subis ou les activités dans le cadre du plan individualisé de réadaptation doivent être accomplies, en choisissant l’itinéraire le plus court.</w:t>
      </w:r>
    </w:p>
    <w:p w14:paraId="37E2DB3F" w14:textId="77777777" w:rsidR="00C81E0E" w:rsidRDefault="00C81E0E" w:rsidP="00C81E0E">
      <w:pPr>
        <w:pStyle w:val="citation"/>
        <w:rPr>
          <w:lang w:eastAsia="fr-FR"/>
        </w:rPr>
      </w:pPr>
    </w:p>
    <w:p w14:paraId="178C5217" w14:textId="73E29313" w:rsidR="00C81E0E" w:rsidRDefault="00C81E0E" w:rsidP="003B349A">
      <w:pPr>
        <w:pStyle w:val="citation"/>
        <w:spacing w:after="360"/>
        <w:rPr>
          <w:lang w:eastAsia="fr-FR"/>
        </w:rPr>
      </w:pPr>
      <w:r>
        <w:rPr>
          <w:lang w:eastAsia="fr-FR"/>
        </w:rPr>
        <w:t>La personne qui utilise un véhicule personnel, avec ou sans l’autorisation de la Commission, a droit en outre au remboursement des frais de stationnement et de péage.</w:t>
      </w:r>
    </w:p>
    <w:p w14:paraId="02C64E17" w14:textId="637105CE" w:rsidR="00C81E0E" w:rsidRDefault="00C81E0E" w:rsidP="00C81E0E">
      <w:pPr>
        <w:pStyle w:val="corpsdedcision"/>
        <w:rPr>
          <w:lang w:eastAsia="fr-FR"/>
        </w:rPr>
      </w:pPr>
      <w:r>
        <w:rPr>
          <w:lang w:eastAsia="fr-FR"/>
        </w:rPr>
        <w:t xml:space="preserve">Or, le Règlement ne prévoit pas qu’un travailleur </w:t>
      </w:r>
      <w:r w:rsidR="00E35DCA">
        <w:rPr>
          <w:lang w:eastAsia="fr-FR"/>
        </w:rPr>
        <w:t>puisse</w:t>
      </w:r>
      <w:r>
        <w:rPr>
          <w:lang w:eastAsia="fr-FR"/>
        </w:rPr>
        <w:t xml:space="preserve"> se faire rembourser ses frais de déplacement afin d’aller chercher un médicament. </w:t>
      </w:r>
    </w:p>
    <w:p w14:paraId="473D177E" w14:textId="34606754" w:rsidR="00C81E0E" w:rsidRDefault="00C81E0E" w:rsidP="00C81E0E">
      <w:pPr>
        <w:pStyle w:val="corpsdedcision"/>
        <w:rPr>
          <w:lang w:eastAsia="fr-FR"/>
        </w:rPr>
      </w:pPr>
      <w:r>
        <w:rPr>
          <w:lang w:eastAsia="fr-FR"/>
        </w:rPr>
        <w:t>En conséquence, il n’est pas possible d’autoriser le remboursement de frais de déplacement demandés par le travailleur</w:t>
      </w:r>
      <w:r w:rsidR="00462F66">
        <w:rPr>
          <w:lang w:eastAsia="fr-FR"/>
        </w:rPr>
        <w:t>,</w:t>
      </w:r>
      <w:r>
        <w:rPr>
          <w:lang w:eastAsia="fr-FR"/>
        </w:rPr>
        <w:t xml:space="preserve"> puisque cette situation n’est pas prévue au Règlement. </w:t>
      </w:r>
    </w:p>
    <w:p w14:paraId="15EE5D5A" w14:textId="5B2D5FE7" w:rsidR="00C74B6F" w:rsidRDefault="00C74B6F">
      <w:pPr>
        <w:pStyle w:val="Dispositif"/>
      </w:pPr>
      <w:r>
        <w:rPr>
          <w:b/>
        </w:rPr>
        <w:t>P</w:t>
      </w:r>
      <w:r w:rsidR="00001604">
        <w:rPr>
          <w:b/>
        </w:rPr>
        <w:t>OU</w:t>
      </w:r>
      <w:r w:rsidR="00401325">
        <w:rPr>
          <w:b/>
        </w:rPr>
        <w:t>R</w:t>
      </w:r>
      <w:r w:rsidR="00D07FA6">
        <w:rPr>
          <w:b/>
        </w:rPr>
        <w:t xml:space="preserve"> CES MOTIFS, LE TRIBUNAL ADMINISTRATIF DU TRAVAIL</w:t>
      </w:r>
      <w:r>
        <w:rPr>
          <w:b/>
        </w:rPr>
        <w:t> :</w:t>
      </w:r>
    </w:p>
    <w:p w14:paraId="74800A2D" w14:textId="2B13DECF" w:rsidR="00C74B6F" w:rsidRDefault="00B602B2">
      <w:pPr>
        <w:pStyle w:val="Dispositif"/>
      </w:pPr>
      <w:r>
        <w:t>Dossier 1373246-64-2406</w:t>
      </w:r>
    </w:p>
    <w:p w14:paraId="6F13614C" w14:textId="490A204F" w:rsidR="00C74B6F" w:rsidRDefault="00B602B2">
      <w:pPr>
        <w:pStyle w:val="Dispositif"/>
      </w:pPr>
      <w:r>
        <w:rPr>
          <w:b/>
        </w:rPr>
        <w:t>ACCUEILLE</w:t>
      </w:r>
      <w:r>
        <w:t xml:space="preserve"> la contestation du travailleur, monsieur Kevin Bush;</w:t>
      </w:r>
    </w:p>
    <w:p w14:paraId="3E587F2A" w14:textId="2CC5195B" w:rsidR="00B602B2" w:rsidRDefault="00B602B2">
      <w:pPr>
        <w:pStyle w:val="Dispositif"/>
      </w:pPr>
      <w:r w:rsidRPr="00B602B2">
        <w:rPr>
          <w:b/>
        </w:rPr>
        <w:t>INFIRME</w:t>
      </w:r>
      <w:r>
        <w:t xml:space="preserve"> la décision rendue par la Commission des normes, de l’équité, de la santé et de la sécurité du travail le 17</w:t>
      </w:r>
      <w:r w:rsidR="003A7A4F">
        <w:t> </w:t>
      </w:r>
      <w:r>
        <w:t>juin 2024 à la suite d’une révision administrative;</w:t>
      </w:r>
    </w:p>
    <w:p w14:paraId="4ED28842" w14:textId="53C75199" w:rsidR="00B602B2" w:rsidRDefault="00B602B2">
      <w:pPr>
        <w:pStyle w:val="Dispositif"/>
      </w:pPr>
      <w:r>
        <w:rPr>
          <w:b/>
        </w:rPr>
        <w:t>DÉCLARE</w:t>
      </w:r>
      <w:r>
        <w:t xml:space="preserve"> qu’il n’y a pas de concentration maximale de THC dans le cannabis qui doit être fourni par le fournisseur autorisé.</w:t>
      </w:r>
    </w:p>
    <w:p w14:paraId="374F699C" w14:textId="62E4D948" w:rsidR="00B602B2" w:rsidRDefault="00B602B2">
      <w:pPr>
        <w:pStyle w:val="Dispositif"/>
      </w:pPr>
      <w:r>
        <w:t>Dossier 1417247-64-2504</w:t>
      </w:r>
    </w:p>
    <w:p w14:paraId="4A84A4CE" w14:textId="0BEA495F" w:rsidR="00B602B2" w:rsidRDefault="00B602B2" w:rsidP="00B602B2">
      <w:pPr>
        <w:pStyle w:val="Dispositif"/>
      </w:pPr>
      <w:r>
        <w:rPr>
          <w:b/>
        </w:rPr>
        <w:t>ACCUEILLE</w:t>
      </w:r>
      <w:r>
        <w:t xml:space="preserve"> en partie la contestation du travailleur, monsieur Kevin Bush;</w:t>
      </w:r>
    </w:p>
    <w:p w14:paraId="1B9AADB0" w14:textId="206A840A" w:rsidR="00B602B2" w:rsidRDefault="00B602B2">
      <w:pPr>
        <w:pStyle w:val="Dispositif"/>
      </w:pPr>
      <w:r>
        <w:rPr>
          <w:b/>
        </w:rPr>
        <w:t>MODIFIE</w:t>
      </w:r>
      <w:r>
        <w:t xml:space="preserve"> la décision rendue par la Commission des normes, de l’équité, de la santé et de la sécurité du travail le 17</w:t>
      </w:r>
      <w:r w:rsidR="003A7A4F">
        <w:t> </w:t>
      </w:r>
      <w:r>
        <w:t>avril 2025 à la suite d’une révision administrative;</w:t>
      </w:r>
    </w:p>
    <w:p w14:paraId="0A6E507A" w14:textId="2D8D0284" w:rsidR="00B602B2" w:rsidRDefault="00B602B2">
      <w:pPr>
        <w:pStyle w:val="Dispositif"/>
      </w:pPr>
      <w:r>
        <w:rPr>
          <w:b/>
        </w:rPr>
        <w:t>DÉCLARE</w:t>
      </w:r>
      <w:r>
        <w:t xml:space="preserve"> que le travailleur a droit au remboursement des frais pour l’achat de cannabis, en novembre 2024, auprès de la SQDC;</w:t>
      </w:r>
    </w:p>
    <w:p w14:paraId="5F7F9327" w14:textId="1B80BA9B" w:rsidR="00B602B2" w:rsidRDefault="00B602B2">
      <w:pPr>
        <w:pStyle w:val="Dispositif"/>
      </w:pPr>
      <w:r>
        <w:rPr>
          <w:b/>
        </w:rPr>
        <w:t>DÉCLARE</w:t>
      </w:r>
      <w:r>
        <w:t xml:space="preserve"> que le travailleur n’a pas droit au remboursement de ses frais de déplacement pour l’achat de cannabis thérapeutique. </w:t>
      </w:r>
    </w:p>
    <w:p w14:paraId="38D512F4" w14:textId="77777777" w:rsidR="00B602B2" w:rsidRDefault="00B602B2">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6477B224" w14:textId="77777777">
        <w:tc>
          <w:tcPr>
            <w:tcW w:w="4795" w:type="dxa"/>
          </w:tcPr>
          <w:p w14:paraId="558891AD" w14:textId="77777777" w:rsidR="00C74B6F" w:rsidRDefault="00C74B6F"/>
        </w:tc>
        <w:tc>
          <w:tcPr>
            <w:tcW w:w="4795" w:type="dxa"/>
          </w:tcPr>
          <w:p w14:paraId="7349776E" w14:textId="77777777" w:rsidR="00C74B6F" w:rsidRDefault="00C74B6F">
            <w:bookmarkStart w:id="15" w:name="signature"/>
            <w:bookmarkEnd w:id="15"/>
            <w:r>
              <w:t>__________________________________</w:t>
            </w:r>
          </w:p>
        </w:tc>
      </w:tr>
      <w:tr w:rsidR="00C74B6F" w14:paraId="6641A1D5" w14:textId="77777777">
        <w:tc>
          <w:tcPr>
            <w:tcW w:w="4795" w:type="dxa"/>
          </w:tcPr>
          <w:p w14:paraId="5EFA0098" w14:textId="77777777" w:rsidR="00C74B6F" w:rsidRDefault="00C74B6F"/>
        </w:tc>
        <w:tc>
          <w:tcPr>
            <w:tcW w:w="4795" w:type="dxa"/>
          </w:tcPr>
          <w:p w14:paraId="37F5A82D" w14:textId="14AB0A43" w:rsidR="00C74B6F" w:rsidRDefault="00001604">
            <w:r>
              <w:t>Michel Lalonde</w:t>
            </w:r>
          </w:p>
        </w:tc>
      </w:tr>
      <w:tr w:rsidR="00C74B6F" w14:paraId="007BDC29" w14:textId="77777777">
        <w:trPr>
          <w:cantSplit/>
        </w:trPr>
        <w:tc>
          <w:tcPr>
            <w:tcW w:w="9590" w:type="dxa"/>
            <w:gridSpan w:val="2"/>
          </w:tcPr>
          <w:p w14:paraId="7EEA6043" w14:textId="77777777" w:rsidR="00C74B6F" w:rsidRDefault="00C74B6F"/>
        </w:tc>
      </w:tr>
      <w:tr w:rsidR="00C74B6F" w14:paraId="3330C7E0" w14:textId="77777777">
        <w:trPr>
          <w:cantSplit/>
        </w:trPr>
        <w:tc>
          <w:tcPr>
            <w:tcW w:w="9590" w:type="dxa"/>
            <w:gridSpan w:val="2"/>
          </w:tcPr>
          <w:p w14:paraId="2AB9C113" w14:textId="77777777" w:rsidR="00C74B6F" w:rsidRPr="00C912F9" w:rsidRDefault="00C74B6F" w:rsidP="00EC5C8D">
            <w:pPr>
              <w:tabs>
                <w:tab w:val="left" w:pos="1592"/>
              </w:tabs>
            </w:pPr>
          </w:p>
        </w:tc>
      </w:tr>
      <w:tr w:rsidR="00C74B6F" w14:paraId="0C20BCB0" w14:textId="77777777">
        <w:trPr>
          <w:cantSplit/>
        </w:trPr>
        <w:tc>
          <w:tcPr>
            <w:tcW w:w="9590" w:type="dxa"/>
            <w:gridSpan w:val="2"/>
          </w:tcPr>
          <w:p w14:paraId="7170B6C6" w14:textId="77777777" w:rsidR="00C74B6F" w:rsidRDefault="00C74B6F"/>
        </w:tc>
      </w:tr>
      <w:tr w:rsidR="00861F8B" w14:paraId="37CE8C22" w14:textId="77777777">
        <w:trPr>
          <w:cantSplit/>
        </w:trPr>
        <w:tc>
          <w:tcPr>
            <w:tcW w:w="9590" w:type="dxa"/>
            <w:gridSpan w:val="2"/>
          </w:tcPr>
          <w:p w14:paraId="5EF35346" w14:textId="31D78FAE" w:rsidR="00596AB2" w:rsidRPr="00596AB2" w:rsidRDefault="00001604" w:rsidP="00596AB2">
            <w:r>
              <w:t>M. Kevin Bush</w:t>
            </w:r>
          </w:p>
        </w:tc>
      </w:tr>
      <w:tr w:rsidR="00861F8B" w14:paraId="598C27D2" w14:textId="77777777">
        <w:trPr>
          <w:cantSplit/>
        </w:trPr>
        <w:tc>
          <w:tcPr>
            <w:tcW w:w="9590" w:type="dxa"/>
            <w:gridSpan w:val="2"/>
          </w:tcPr>
          <w:p w14:paraId="09E2B6D1" w14:textId="55CB299D" w:rsidR="00861F8B" w:rsidRDefault="00E25DCB">
            <w:r>
              <w:fldChar w:fldCharType="begin"/>
            </w:r>
            <w:r>
              <w:instrText xml:space="preserve"> MACROBUTTON  AbaisserNiveauListe </w:instrText>
            </w:r>
            <w:r>
              <w:fldChar w:fldCharType="end"/>
            </w:r>
            <w:r w:rsidR="00001604">
              <w:t>Pour lui-même</w:t>
            </w:r>
          </w:p>
        </w:tc>
      </w:tr>
      <w:tr w:rsidR="00C74B6F" w14:paraId="7212CB4B" w14:textId="77777777">
        <w:trPr>
          <w:cantSplit/>
        </w:trPr>
        <w:tc>
          <w:tcPr>
            <w:tcW w:w="9590" w:type="dxa"/>
            <w:gridSpan w:val="2"/>
          </w:tcPr>
          <w:p w14:paraId="70E09075" w14:textId="77777777" w:rsidR="00C74B6F" w:rsidRDefault="00C74B6F"/>
        </w:tc>
      </w:tr>
      <w:tr w:rsidR="00C74B6F" w14:paraId="6D6D49A2" w14:textId="77777777">
        <w:trPr>
          <w:cantSplit/>
        </w:trPr>
        <w:tc>
          <w:tcPr>
            <w:tcW w:w="9590" w:type="dxa"/>
            <w:gridSpan w:val="2"/>
          </w:tcPr>
          <w:p w14:paraId="560DE093" w14:textId="78AA9967" w:rsidR="00C74B6F" w:rsidRDefault="00001604">
            <w:pPr>
              <w:pStyle w:val="zSoquijdatNomProcureurDem"/>
            </w:pPr>
            <w:r>
              <w:t>M. George Aranitis</w:t>
            </w:r>
          </w:p>
        </w:tc>
      </w:tr>
      <w:tr w:rsidR="00C74B6F" w14:paraId="4571916D" w14:textId="77777777">
        <w:trPr>
          <w:cantSplit/>
        </w:trPr>
        <w:tc>
          <w:tcPr>
            <w:tcW w:w="9590" w:type="dxa"/>
            <w:gridSpan w:val="2"/>
          </w:tcPr>
          <w:p w14:paraId="73CAC842" w14:textId="4E5EDFA1" w:rsidR="00C74B6F" w:rsidRDefault="00CB05A7">
            <w:pPr>
              <w:pStyle w:val="zSoquijlblProcureurDem"/>
            </w:pPr>
            <w:r>
              <w:t xml:space="preserve">Pour la partie </w:t>
            </w:r>
            <w:r w:rsidR="00001604">
              <w:t>mise en cause</w:t>
            </w:r>
          </w:p>
        </w:tc>
      </w:tr>
      <w:tr w:rsidR="00C74B6F" w14:paraId="540F6735" w14:textId="77777777">
        <w:trPr>
          <w:cantSplit/>
        </w:trPr>
        <w:tc>
          <w:tcPr>
            <w:tcW w:w="9590" w:type="dxa"/>
            <w:gridSpan w:val="2"/>
          </w:tcPr>
          <w:p w14:paraId="30E4C968" w14:textId="77777777" w:rsidR="00C74B6F" w:rsidRDefault="00C74B6F"/>
        </w:tc>
      </w:tr>
      <w:tr w:rsidR="00C15A3F" w14:paraId="570E51CE" w14:textId="77777777">
        <w:trPr>
          <w:cantSplit/>
        </w:trPr>
        <w:tc>
          <w:tcPr>
            <w:tcW w:w="9590" w:type="dxa"/>
            <w:gridSpan w:val="2"/>
          </w:tcPr>
          <w:p w14:paraId="2B939029" w14:textId="31582E27" w:rsidR="00C15A3F" w:rsidRDefault="00C15A3F" w:rsidP="000E56A6">
            <w:pPr>
              <w:pStyle w:val="zSoquijdatDateAudience"/>
            </w:pPr>
            <w:bookmarkStart w:id="16" w:name="Date_derniere_audience"/>
            <w:bookmarkEnd w:id="16"/>
            <w:r>
              <w:t xml:space="preserve">Date de la </w:t>
            </w:r>
            <w:r w:rsidR="00CC6338">
              <w:t>mise en délibéré</w:t>
            </w:r>
            <w:r>
              <w:t> :</w:t>
            </w:r>
            <w:r w:rsidR="00597016">
              <w:tab/>
            </w:r>
            <w:r w:rsidR="00001604">
              <w:t>19</w:t>
            </w:r>
            <w:r w:rsidR="003A7A4F">
              <w:t> </w:t>
            </w:r>
            <w:r w:rsidR="00001604">
              <w:t>juin 2025</w:t>
            </w:r>
          </w:p>
        </w:tc>
      </w:tr>
    </w:tbl>
    <w:p w14:paraId="5B652EAA" w14:textId="77777777" w:rsidR="00F76B4A" w:rsidRDefault="00F76B4A" w:rsidP="00F73D1C"/>
    <w:p w14:paraId="53BC2000"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09F5E5" w14:textId="77777777" w:rsidR="00137E6D" w:rsidRDefault="00137E6D">
      <w:r>
        <w:separator/>
      </w:r>
    </w:p>
  </w:endnote>
  <w:endnote w:type="continuationSeparator" w:id="0">
    <w:p w14:paraId="1E2C5250" w14:textId="77777777" w:rsidR="00137E6D" w:rsidRDefault="00137E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34FA97" w14:textId="77777777" w:rsidR="00137E6D" w:rsidRDefault="00137E6D">
      <w:r>
        <w:separator/>
      </w:r>
    </w:p>
  </w:footnote>
  <w:footnote w:type="continuationSeparator" w:id="0">
    <w:p w14:paraId="20AF1C98" w14:textId="77777777" w:rsidR="00137E6D" w:rsidRDefault="00137E6D">
      <w:r>
        <w:continuationSeparator/>
      </w:r>
    </w:p>
  </w:footnote>
  <w:footnote w:id="1">
    <w:p w14:paraId="3BE3F989" w14:textId="1EEF62B0" w:rsidR="0081736E" w:rsidRPr="0081736E" w:rsidRDefault="0081736E" w:rsidP="0081736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K.B. et Compagnie A, 2018 QCTAT 4975.</w:t>
      </w:r>
    </w:p>
  </w:footnote>
  <w:footnote w:id="2">
    <w:p w14:paraId="08F248EE" w14:textId="111E506C" w:rsidR="0050403E" w:rsidRPr="003B349A" w:rsidRDefault="0050403E">
      <w:pPr>
        <w:pStyle w:val="Notedebasdepage"/>
        <w:rPr>
          <w:rFonts w:cs="Arial"/>
          <w:sz w:val="20"/>
        </w:rPr>
      </w:pPr>
      <w:r>
        <w:rPr>
          <w:rStyle w:val="Appelnotedebasdep"/>
        </w:rPr>
        <w:footnoteRef/>
      </w:r>
      <w:r>
        <w:t xml:space="preserve"> </w:t>
      </w:r>
      <w:r>
        <w:tab/>
      </w:r>
      <w:r w:rsidRPr="003B349A">
        <w:rPr>
          <w:rFonts w:cs="Arial"/>
          <w:sz w:val="20"/>
        </w:rPr>
        <w:t>Delta-9-tétrahydrocannabinol (THC).</w:t>
      </w:r>
    </w:p>
  </w:footnote>
  <w:footnote w:id="3">
    <w:p w14:paraId="343502F3" w14:textId="60A9CF94" w:rsidR="006440AD" w:rsidRPr="006440AD" w:rsidRDefault="006440AD" w:rsidP="006440A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2C7BB5">
        <w:rPr>
          <w:rFonts w:cs="Arial"/>
          <w:sz w:val="20"/>
        </w:rPr>
        <w:t>P</w:t>
      </w:r>
      <w:r>
        <w:rPr>
          <w:rFonts w:cs="Arial"/>
          <w:sz w:val="20"/>
        </w:rPr>
        <w:t>récitée note 1 et K.B. et Compagnie A, 2022 QCTAT 4575.</w:t>
      </w:r>
    </w:p>
  </w:footnote>
  <w:footnote w:id="4">
    <w:p w14:paraId="134B9724" w14:textId="77777777" w:rsidR="003A49E2" w:rsidRDefault="003A49E2"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5">
    <w:p w14:paraId="34BEBBEC" w14:textId="62F84717" w:rsidR="00C819CB" w:rsidRPr="005C12F9" w:rsidRDefault="00C819CB" w:rsidP="00C819C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2011 QCCLP 4960</w:t>
      </w:r>
      <w:r w:rsidR="00C86BE5">
        <w:rPr>
          <w:rFonts w:cs="Arial"/>
          <w:sz w:val="20"/>
        </w:rPr>
        <w:t>.</w:t>
      </w:r>
    </w:p>
  </w:footnote>
  <w:footnote w:id="6">
    <w:p w14:paraId="40303DBB" w14:textId="5AB65A13" w:rsidR="008C4207" w:rsidRPr="008C4207" w:rsidRDefault="008C4207" w:rsidP="008C420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C4207">
        <w:rPr>
          <w:rFonts w:cs="Arial"/>
          <w:sz w:val="20"/>
        </w:rPr>
        <w:t>DORS/2018-144</w:t>
      </w:r>
      <w:r>
        <w:rPr>
          <w:rFonts w:cs="Arial"/>
          <w:sz w:val="20"/>
        </w:rPr>
        <w:t>.</w:t>
      </w:r>
    </w:p>
  </w:footnote>
  <w:footnote w:id="7">
    <w:p w14:paraId="5A14AE58" w14:textId="08B514F9" w:rsidR="00C81E0E" w:rsidRPr="00C81E0E" w:rsidRDefault="00C81E0E" w:rsidP="00C81E0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B349A">
        <w:rPr>
          <w:rFonts w:cs="Arial"/>
          <w:i/>
          <w:iCs/>
          <w:sz w:val="20"/>
        </w:rPr>
        <w:t>Id</w:t>
      </w:r>
      <w:r>
        <w:rPr>
          <w:rFonts w:cs="Arial"/>
          <w:sz w:val="20"/>
        </w:rPr>
        <w:t>.</w:t>
      </w:r>
    </w:p>
  </w:footnote>
  <w:footnote w:id="8">
    <w:p w14:paraId="7BAD854A" w14:textId="2A5A3943" w:rsidR="004C0504" w:rsidRPr="004C0504" w:rsidRDefault="004C0504" w:rsidP="004C050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B18AC">
        <w:rPr>
          <w:rFonts w:cs="Arial"/>
          <w:i/>
          <w:iCs/>
          <w:sz w:val="20"/>
        </w:rPr>
        <w:t>Maltais-Lévesque</w:t>
      </w:r>
      <w:r>
        <w:rPr>
          <w:rFonts w:cs="Arial"/>
          <w:sz w:val="20"/>
        </w:rPr>
        <w:t xml:space="preserve"> et </w:t>
      </w:r>
      <w:r w:rsidRPr="00AB18AC">
        <w:rPr>
          <w:rFonts w:cs="Arial"/>
          <w:i/>
          <w:iCs/>
          <w:sz w:val="20"/>
        </w:rPr>
        <w:t>Défense nationale/CSRHC (Est)</w:t>
      </w:r>
      <w:r>
        <w:rPr>
          <w:rFonts w:cs="Arial"/>
          <w:sz w:val="20"/>
        </w:rPr>
        <w:t xml:space="preserve">, 2018 QCTAT 4773; </w:t>
      </w:r>
      <w:r w:rsidRPr="00AB18AC">
        <w:rPr>
          <w:rFonts w:cs="Arial"/>
          <w:i/>
          <w:iCs/>
          <w:sz w:val="20"/>
        </w:rPr>
        <w:t>Amzallag</w:t>
      </w:r>
      <w:r>
        <w:rPr>
          <w:rFonts w:cs="Arial"/>
          <w:sz w:val="20"/>
        </w:rPr>
        <w:t xml:space="preserve"> et </w:t>
      </w:r>
      <w:r w:rsidRPr="00AB18AC">
        <w:rPr>
          <w:rFonts w:cs="Arial"/>
          <w:i/>
          <w:iCs/>
          <w:sz w:val="20"/>
        </w:rPr>
        <w:t>Spécialités</w:t>
      </w:r>
      <w:r>
        <w:rPr>
          <w:rFonts w:cs="Arial"/>
          <w:sz w:val="20"/>
        </w:rPr>
        <w:t xml:space="preserve"> </w:t>
      </w:r>
      <w:r w:rsidRPr="00AB18AC">
        <w:rPr>
          <w:rFonts w:cs="Arial"/>
          <w:i/>
          <w:iCs/>
          <w:sz w:val="20"/>
        </w:rPr>
        <w:t>Monarch inc</w:t>
      </w:r>
      <w:r>
        <w:rPr>
          <w:rFonts w:cs="Arial"/>
          <w:sz w:val="20"/>
        </w:rPr>
        <w:t>., 2024 QCTAT 3805.</w:t>
      </w:r>
    </w:p>
  </w:footnote>
  <w:footnote w:id="9">
    <w:p w14:paraId="708F943F" w14:textId="6D8D5234" w:rsidR="005E0600" w:rsidRPr="005E0600" w:rsidRDefault="005E0600" w:rsidP="005E060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w:t>
      </w:r>
      <w:r w:rsidR="00435021">
        <w:rPr>
          <w:rFonts w:cs="Arial"/>
          <w:sz w:val="20"/>
        </w:rPr>
        <w:t>,</w:t>
      </w:r>
      <w:r>
        <w:rPr>
          <w:rFonts w:cs="Arial"/>
          <w:sz w:val="20"/>
        </w:rPr>
        <w:t xml:space="preserve"> note </w:t>
      </w:r>
      <w:r w:rsidR="00435021">
        <w:rPr>
          <w:rFonts w:cs="Arial"/>
          <w:sz w:val="20"/>
        </w:rPr>
        <w:t>3</w:t>
      </w:r>
      <w:r>
        <w:rPr>
          <w:rFonts w:cs="Arial"/>
          <w:sz w:val="20"/>
        </w:rPr>
        <w:t>.</w:t>
      </w:r>
    </w:p>
  </w:footnote>
  <w:footnote w:id="10">
    <w:p w14:paraId="45DB41BD" w14:textId="24D92AC2" w:rsidR="00727416" w:rsidRPr="00727416" w:rsidRDefault="00727416" w:rsidP="0072741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81E0E">
        <w:rPr>
          <w:rFonts w:cs="Arial"/>
          <w:sz w:val="20"/>
        </w:rPr>
        <w:t>RLRQ, c. A-3.001, r.</w:t>
      </w:r>
      <w:r>
        <w:rPr>
          <w:rFonts w:cs="Arial"/>
          <w:sz w:val="20"/>
        </w:rPr>
        <w:t>7.1.</w:t>
      </w:r>
    </w:p>
  </w:footnote>
  <w:footnote w:id="11">
    <w:p w14:paraId="7D6D4D28" w14:textId="2E76D894" w:rsidR="00BF5560" w:rsidRPr="00BF5560" w:rsidRDefault="00BF5560" w:rsidP="00BF556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2025 QCTAT 3405.</w:t>
      </w:r>
    </w:p>
  </w:footnote>
  <w:footnote w:id="12">
    <w:p w14:paraId="7648BE8D" w14:textId="0EDC7420" w:rsidR="00C81E0E" w:rsidRPr="00C81E0E" w:rsidRDefault="00C81E0E" w:rsidP="00C81E0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14" w:name="_Hlk208224331"/>
      <w:r w:rsidRPr="00C81E0E">
        <w:rPr>
          <w:rFonts w:cs="Arial"/>
          <w:sz w:val="20"/>
        </w:rPr>
        <w:t>RLRQ, c. A-3.001, r.</w:t>
      </w:r>
      <w:r>
        <w:rPr>
          <w:rFonts w:cs="Arial"/>
          <w:sz w:val="20"/>
        </w:rPr>
        <w:t>8.</w:t>
      </w:r>
      <w:bookmarkEnd w:id="14"/>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5F2564B" w14:textId="77777777" w:rsidTr="004B4BA9">
      <w:tc>
        <w:tcPr>
          <w:tcW w:w="8730" w:type="dxa"/>
        </w:tcPr>
        <w:p w14:paraId="0CB06A6E" w14:textId="77777777" w:rsidR="00D330B6" w:rsidRDefault="00D330B6">
          <w:pPr>
            <w:pStyle w:val="En-tte"/>
            <w:ind w:left="-90"/>
          </w:pPr>
        </w:p>
      </w:tc>
      <w:tc>
        <w:tcPr>
          <w:tcW w:w="860" w:type="dxa"/>
        </w:tcPr>
        <w:p w14:paraId="66EFBB53" w14:textId="77777777" w:rsidR="00D330B6" w:rsidRDefault="00D330B6">
          <w:pPr>
            <w:pStyle w:val="En-tte"/>
            <w:ind w:left="-90"/>
          </w:pPr>
        </w:p>
      </w:tc>
    </w:tr>
    <w:tr w:rsidR="003A7A4F" w14:paraId="6B5747D7" w14:textId="77777777" w:rsidTr="004B4BA9">
      <w:tc>
        <w:tcPr>
          <w:tcW w:w="8730" w:type="dxa"/>
        </w:tcPr>
        <w:p w14:paraId="0CE52762" w14:textId="5EA1B131" w:rsidR="003A7A4F" w:rsidRDefault="003A7A4F" w:rsidP="003A7A4F">
          <w:r>
            <w:t>1373246-64-2406   1417247-64-2504</w:t>
          </w:r>
        </w:p>
      </w:tc>
      <w:tc>
        <w:tcPr>
          <w:tcW w:w="860" w:type="dxa"/>
        </w:tcPr>
        <w:p w14:paraId="4E248D8D" w14:textId="77777777" w:rsidR="003A7A4F" w:rsidRDefault="003A7A4F" w:rsidP="003A7A4F">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B741C7">
            <w:rPr>
              <w:rStyle w:val="Numrodepage"/>
              <w:noProof/>
            </w:rPr>
            <w:t>4</w:t>
          </w:r>
          <w:r>
            <w:rPr>
              <w:rStyle w:val="Numrodepage"/>
            </w:rPr>
            <w:fldChar w:fldCharType="end"/>
          </w:r>
        </w:p>
      </w:tc>
    </w:tr>
    <w:tr w:rsidR="003A7A4F" w14:paraId="1F763530" w14:textId="77777777" w:rsidTr="004B4BA9">
      <w:tc>
        <w:tcPr>
          <w:tcW w:w="8730" w:type="dxa"/>
        </w:tcPr>
        <w:p w14:paraId="0E6BF958" w14:textId="77777777" w:rsidR="003A7A4F" w:rsidRDefault="003A7A4F" w:rsidP="003A7A4F"/>
      </w:tc>
      <w:tc>
        <w:tcPr>
          <w:tcW w:w="860" w:type="dxa"/>
        </w:tcPr>
        <w:p w14:paraId="5F4970B8" w14:textId="77777777" w:rsidR="003A7A4F" w:rsidRDefault="003A7A4F" w:rsidP="003A7A4F">
          <w:pPr>
            <w:pStyle w:val="En-tte"/>
            <w:ind w:left="-90"/>
            <w:jc w:val="right"/>
          </w:pPr>
        </w:p>
      </w:tc>
    </w:tr>
  </w:tbl>
  <w:p w14:paraId="14E32CF6"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426ED7"/>
    <w:multiLevelType w:val="hybridMultilevel"/>
    <w:tmpl w:val="DCE6E0D4"/>
    <w:lvl w:ilvl="0" w:tplc="D6F63DC4">
      <w:numFmt w:val="bullet"/>
      <w:lvlText w:val="-"/>
      <w:lvlJc w:val="left"/>
      <w:pPr>
        <w:ind w:left="1080" w:hanging="360"/>
      </w:pPr>
      <w:rPr>
        <w:rFonts w:ascii="Arial" w:eastAsia="Times New Roman" w:hAnsi="Arial" w:cs="Aria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0F401D0"/>
    <w:multiLevelType w:val="hybridMultilevel"/>
    <w:tmpl w:val="70282442"/>
    <w:lvl w:ilvl="0" w:tplc="27124F0E">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84620C56"/>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4"/>
  </w:num>
  <w:num w:numId="5">
    <w:abstractNumId w:val="11"/>
  </w:num>
  <w:num w:numId="6">
    <w:abstractNumId w:val="11"/>
  </w:num>
  <w:num w:numId="7">
    <w:abstractNumId w:val="1"/>
  </w:num>
  <w:num w:numId="8">
    <w:abstractNumId w:val="3"/>
  </w:num>
  <w:num w:numId="9">
    <w:abstractNumId w:val="2"/>
  </w:num>
  <w:num w:numId="10">
    <w:abstractNumId w:val="10"/>
  </w:num>
  <w:num w:numId="11">
    <w:abstractNumId w:val="6"/>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418"/>
    <w:rsid w:val="000012ED"/>
    <w:rsid w:val="00001604"/>
    <w:rsid w:val="000034B0"/>
    <w:rsid w:val="000041A1"/>
    <w:rsid w:val="00006DD2"/>
    <w:rsid w:val="0001305E"/>
    <w:rsid w:val="00016D99"/>
    <w:rsid w:val="00021B30"/>
    <w:rsid w:val="00021E4C"/>
    <w:rsid w:val="00022556"/>
    <w:rsid w:val="00023858"/>
    <w:rsid w:val="000352CA"/>
    <w:rsid w:val="000366EC"/>
    <w:rsid w:val="00036794"/>
    <w:rsid w:val="000432F9"/>
    <w:rsid w:val="00043E4D"/>
    <w:rsid w:val="000536CC"/>
    <w:rsid w:val="000559A8"/>
    <w:rsid w:val="00055A3E"/>
    <w:rsid w:val="00056393"/>
    <w:rsid w:val="00057739"/>
    <w:rsid w:val="0007225E"/>
    <w:rsid w:val="00074ABE"/>
    <w:rsid w:val="00074EAE"/>
    <w:rsid w:val="000756D0"/>
    <w:rsid w:val="00076D81"/>
    <w:rsid w:val="00080885"/>
    <w:rsid w:val="00082A97"/>
    <w:rsid w:val="0008378A"/>
    <w:rsid w:val="0008784D"/>
    <w:rsid w:val="00090018"/>
    <w:rsid w:val="00090306"/>
    <w:rsid w:val="00090F69"/>
    <w:rsid w:val="00093ACD"/>
    <w:rsid w:val="00095814"/>
    <w:rsid w:val="00097D81"/>
    <w:rsid w:val="00097FCE"/>
    <w:rsid w:val="000A1DAC"/>
    <w:rsid w:val="000A3B70"/>
    <w:rsid w:val="000A4AD0"/>
    <w:rsid w:val="000A5AD1"/>
    <w:rsid w:val="000A63DF"/>
    <w:rsid w:val="000A77C5"/>
    <w:rsid w:val="000B6275"/>
    <w:rsid w:val="000B7229"/>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05E2C"/>
    <w:rsid w:val="001144AB"/>
    <w:rsid w:val="0012224D"/>
    <w:rsid w:val="001225BC"/>
    <w:rsid w:val="00122A9E"/>
    <w:rsid w:val="00122F94"/>
    <w:rsid w:val="0012326A"/>
    <w:rsid w:val="00131A23"/>
    <w:rsid w:val="00132622"/>
    <w:rsid w:val="00137E6D"/>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3515"/>
    <w:rsid w:val="001846FC"/>
    <w:rsid w:val="001924FE"/>
    <w:rsid w:val="001965E1"/>
    <w:rsid w:val="001A03BE"/>
    <w:rsid w:val="001A067E"/>
    <w:rsid w:val="001A2900"/>
    <w:rsid w:val="001A4081"/>
    <w:rsid w:val="001A4E45"/>
    <w:rsid w:val="001A65F1"/>
    <w:rsid w:val="001B2B40"/>
    <w:rsid w:val="001B3E9D"/>
    <w:rsid w:val="001B4A40"/>
    <w:rsid w:val="001B5524"/>
    <w:rsid w:val="001B6D8A"/>
    <w:rsid w:val="001C19D4"/>
    <w:rsid w:val="001C2B0B"/>
    <w:rsid w:val="001C436D"/>
    <w:rsid w:val="001D63C8"/>
    <w:rsid w:val="001D65D8"/>
    <w:rsid w:val="001E3DFD"/>
    <w:rsid w:val="001E42F0"/>
    <w:rsid w:val="001E497A"/>
    <w:rsid w:val="001E5E3B"/>
    <w:rsid w:val="00205BAD"/>
    <w:rsid w:val="00211A1F"/>
    <w:rsid w:val="00225C46"/>
    <w:rsid w:val="00226493"/>
    <w:rsid w:val="00227040"/>
    <w:rsid w:val="00230CFC"/>
    <w:rsid w:val="0023162A"/>
    <w:rsid w:val="00231C1D"/>
    <w:rsid w:val="00233532"/>
    <w:rsid w:val="00234BC8"/>
    <w:rsid w:val="00241CED"/>
    <w:rsid w:val="00242FB4"/>
    <w:rsid w:val="002442DF"/>
    <w:rsid w:val="00245605"/>
    <w:rsid w:val="002542E0"/>
    <w:rsid w:val="002554F1"/>
    <w:rsid w:val="002563F0"/>
    <w:rsid w:val="00256DBB"/>
    <w:rsid w:val="0025790C"/>
    <w:rsid w:val="00260119"/>
    <w:rsid w:val="00266064"/>
    <w:rsid w:val="00267C8D"/>
    <w:rsid w:val="002701DD"/>
    <w:rsid w:val="002710FD"/>
    <w:rsid w:val="00273F49"/>
    <w:rsid w:val="002769B5"/>
    <w:rsid w:val="00276B25"/>
    <w:rsid w:val="00276B59"/>
    <w:rsid w:val="00281319"/>
    <w:rsid w:val="00286149"/>
    <w:rsid w:val="0028668D"/>
    <w:rsid w:val="00290289"/>
    <w:rsid w:val="00292188"/>
    <w:rsid w:val="002923D9"/>
    <w:rsid w:val="00296586"/>
    <w:rsid w:val="00296645"/>
    <w:rsid w:val="00296A4B"/>
    <w:rsid w:val="00297284"/>
    <w:rsid w:val="002A0077"/>
    <w:rsid w:val="002A07DC"/>
    <w:rsid w:val="002A3573"/>
    <w:rsid w:val="002A374B"/>
    <w:rsid w:val="002A73E9"/>
    <w:rsid w:val="002B132B"/>
    <w:rsid w:val="002B2FC3"/>
    <w:rsid w:val="002B35F0"/>
    <w:rsid w:val="002B58AF"/>
    <w:rsid w:val="002C3748"/>
    <w:rsid w:val="002C5E89"/>
    <w:rsid w:val="002C7BB5"/>
    <w:rsid w:val="002D42BC"/>
    <w:rsid w:val="002D71A9"/>
    <w:rsid w:val="002D7846"/>
    <w:rsid w:val="002D7FCB"/>
    <w:rsid w:val="002E05AE"/>
    <w:rsid w:val="002F7507"/>
    <w:rsid w:val="0030059B"/>
    <w:rsid w:val="00302FB4"/>
    <w:rsid w:val="00305273"/>
    <w:rsid w:val="003057FC"/>
    <w:rsid w:val="00305AFB"/>
    <w:rsid w:val="00306730"/>
    <w:rsid w:val="00307C85"/>
    <w:rsid w:val="00312983"/>
    <w:rsid w:val="00323DC5"/>
    <w:rsid w:val="003248CB"/>
    <w:rsid w:val="00331EA7"/>
    <w:rsid w:val="003332B8"/>
    <w:rsid w:val="00337555"/>
    <w:rsid w:val="00343B46"/>
    <w:rsid w:val="00344465"/>
    <w:rsid w:val="0034740A"/>
    <w:rsid w:val="0035375B"/>
    <w:rsid w:val="003558CB"/>
    <w:rsid w:val="00362D74"/>
    <w:rsid w:val="003664E9"/>
    <w:rsid w:val="00366D1E"/>
    <w:rsid w:val="003703A5"/>
    <w:rsid w:val="0037112C"/>
    <w:rsid w:val="00373EE5"/>
    <w:rsid w:val="003817E7"/>
    <w:rsid w:val="00382E55"/>
    <w:rsid w:val="00390B55"/>
    <w:rsid w:val="003961B2"/>
    <w:rsid w:val="003A41AD"/>
    <w:rsid w:val="003A49E2"/>
    <w:rsid w:val="003A788A"/>
    <w:rsid w:val="003A7A4F"/>
    <w:rsid w:val="003B0C41"/>
    <w:rsid w:val="003B152B"/>
    <w:rsid w:val="003B1734"/>
    <w:rsid w:val="003B1735"/>
    <w:rsid w:val="003B2D2E"/>
    <w:rsid w:val="003B349A"/>
    <w:rsid w:val="003B6CBF"/>
    <w:rsid w:val="003C47A7"/>
    <w:rsid w:val="003D0826"/>
    <w:rsid w:val="003D18FC"/>
    <w:rsid w:val="003D3C93"/>
    <w:rsid w:val="003D71BB"/>
    <w:rsid w:val="003E00D5"/>
    <w:rsid w:val="003E02BA"/>
    <w:rsid w:val="003F0578"/>
    <w:rsid w:val="003F5616"/>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021"/>
    <w:rsid w:val="00435738"/>
    <w:rsid w:val="00437137"/>
    <w:rsid w:val="004403B8"/>
    <w:rsid w:val="00441ADA"/>
    <w:rsid w:val="004422CA"/>
    <w:rsid w:val="0044274C"/>
    <w:rsid w:val="0044371C"/>
    <w:rsid w:val="0044627E"/>
    <w:rsid w:val="0045114F"/>
    <w:rsid w:val="004529D3"/>
    <w:rsid w:val="00453F31"/>
    <w:rsid w:val="00456B0C"/>
    <w:rsid w:val="00460101"/>
    <w:rsid w:val="00462F66"/>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B4BA9"/>
    <w:rsid w:val="004C0504"/>
    <w:rsid w:val="004C0FB4"/>
    <w:rsid w:val="004C1811"/>
    <w:rsid w:val="004C2944"/>
    <w:rsid w:val="004C4555"/>
    <w:rsid w:val="004D16D6"/>
    <w:rsid w:val="004D6CEA"/>
    <w:rsid w:val="004E0E02"/>
    <w:rsid w:val="004E3564"/>
    <w:rsid w:val="004E3D9F"/>
    <w:rsid w:val="004E51C0"/>
    <w:rsid w:val="004E64BE"/>
    <w:rsid w:val="004F6293"/>
    <w:rsid w:val="00503B8D"/>
    <w:rsid w:val="00503EE3"/>
    <w:rsid w:val="0050403E"/>
    <w:rsid w:val="00505811"/>
    <w:rsid w:val="0051261C"/>
    <w:rsid w:val="00515DE7"/>
    <w:rsid w:val="00517EB0"/>
    <w:rsid w:val="005205CB"/>
    <w:rsid w:val="0052430C"/>
    <w:rsid w:val="005348E4"/>
    <w:rsid w:val="00534D8F"/>
    <w:rsid w:val="005352F1"/>
    <w:rsid w:val="00540094"/>
    <w:rsid w:val="00545CFF"/>
    <w:rsid w:val="00547A9C"/>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1565"/>
    <w:rsid w:val="005C3BC4"/>
    <w:rsid w:val="005D26CC"/>
    <w:rsid w:val="005D4711"/>
    <w:rsid w:val="005D59B1"/>
    <w:rsid w:val="005D764B"/>
    <w:rsid w:val="005E0600"/>
    <w:rsid w:val="005E1B3E"/>
    <w:rsid w:val="005E2367"/>
    <w:rsid w:val="005E34D2"/>
    <w:rsid w:val="005E5E90"/>
    <w:rsid w:val="005E62C7"/>
    <w:rsid w:val="005E654C"/>
    <w:rsid w:val="005F05F6"/>
    <w:rsid w:val="005F0D07"/>
    <w:rsid w:val="005F7A5E"/>
    <w:rsid w:val="00600D45"/>
    <w:rsid w:val="00605734"/>
    <w:rsid w:val="006106A2"/>
    <w:rsid w:val="0061488E"/>
    <w:rsid w:val="0061574B"/>
    <w:rsid w:val="00616406"/>
    <w:rsid w:val="00622670"/>
    <w:rsid w:val="00623328"/>
    <w:rsid w:val="00623A1A"/>
    <w:rsid w:val="00626E8D"/>
    <w:rsid w:val="0063156B"/>
    <w:rsid w:val="006326A9"/>
    <w:rsid w:val="00632DA8"/>
    <w:rsid w:val="00634C4B"/>
    <w:rsid w:val="00634E6E"/>
    <w:rsid w:val="0063651F"/>
    <w:rsid w:val="0064342A"/>
    <w:rsid w:val="00643A28"/>
    <w:rsid w:val="006440AD"/>
    <w:rsid w:val="006452FA"/>
    <w:rsid w:val="0065093D"/>
    <w:rsid w:val="00652A16"/>
    <w:rsid w:val="00655193"/>
    <w:rsid w:val="00655459"/>
    <w:rsid w:val="00656FB2"/>
    <w:rsid w:val="00657A70"/>
    <w:rsid w:val="00661454"/>
    <w:rsid w:val="006620AA"/>
    <w:rsid w:val="006626AF"/>
    <w:rsid w:val="0066642D"/>
    <w:rsid w:val="006722E2"/>
    <w:rsid w:val="00675E85"/>
    <w:rsid w:val="0067750F"/>
    <w:rsid w:val="0068094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140A"/>
    <w:rsid w:val="006B309C"/>
    <w:rsid w:val="006B4316"/>
    <w:rsid w:val="006B727F"/>
    <w:rsid w:val="006C1B57"/>
    <w:rsid w:val="006C6D3A"/>
    <w:rsid w:val="006C7B36"/>
    <w:rsid w:val="006C7B7F"/>
    <w:rsid w:val="006D19E8"/>
    <w:rsid w:val="006D6B75"/>
    <w:rsid w:val="006D7768"/>
    <w:rsid w:val="006E04B5"/>
    <w:rsid w:val="006E330C"/>
    <w:rsid w:val="006E3DD8"/>
    <w:rsid w:val="006E793F"/>
    <w:rsid w:val="006F0154"/>
    <w:rsid w:val="006F608D"/>
    <w:rsid w:val="006F7944"/>
    <w:rsid w:val="00704121"/>
    <w:rsid w:val="00705BB5"/>
    <w:rsid w:val="0071326F"/>
    <w:rsid w:val="007153D7"/>
    <w:rsid w:val="00720ED4"/>
    <w:rsid w:val="00722736"/>
    <w:rsid w:val="00727416"/>
    <w:rsid w:val="0074488F"/>
    <w:rsid w:val="00745AA8"/>
    <w:rsid w:val="007503E0"/>
    <w:rsid w:val="007510EC"/>
    <w:rsid w:val="0075233C"/>
    <w:rsid w:val="0075256A"/>
    <w:rsid w:val="00752DCD"/>
    <w:rsid w:val="007569DE"/>
    <w:rsid w:val="0075723C"/>
    <w:rsid w:val="0076146A"/>
    <w:rsid w:val="0076350E"/>
    <w:rsid w:val="00763F36"/>
    <w:rsid w:val="00775BDF"/>
    <w:rsid w:val="0077614D"/>
    <w:rsid w:val="00782C8F"/>
    <w:rsid w:val="00785F78"/>
    <w:rsid w:val="0078659D"/>
    <w:rsid w:val="007869EC"/>
    <w:rsid w:val="00791ED8"/>
    <w:rsid w:val="007A1E58"/>
    <w:rsid w:val="007A5C7E"/>
    <w:rsid w:val="007A63F9"/>
    <w:rsid w:val="007A69A9"/>
    <w:rsid w:val="007A6E2F"/>
    <w:rsid w:val="007B0DF2"/>
    <w:rsid w:val="007B3BC5"/>
    <w:rsid w:val="007B6F8D"/>
    <w:rsid w:val="007C1832"/>
    <w:rsid w:val="007D03DF"/>
    <w:rsid w:val="007D4953"/>
    <w:rsid w:val="007D50F4"/>
    <w:rsid w:val="007D7173"/>
    <w:rsid w:val="007D7EE7"/>
    <w:rsid w:val="007E1216"/>
    <w:rsid w:val="007E4CD4"/>
    <w:rsid w:val="007E530C"/>
    <w:rsid w:val="007F0E8E"/>
    <w:rsid w:val="007F2149"/>
    <w:rsid w:val="007F4E00"/>
    <w:rsid w:val="008048CF"/>
    <w:rsid w:val="008079DD"/>
    <w:rsid w:val="0081130F"/>
    <w:rsid w:val="00813095"/>
    <w:rsid w:val="008145AD"/>
    <w:rsid w:val="008146B2"/>
    <w:rsid w:val="0081736E"/>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1D95"/>
    <w:rsid w:val="008A281F"/>
    <w:rsid w:val="008A48D2"/>
    <w:rsid w:val="008A4AF6"/>
    <w:rsid w:val="008A4FF8"/>
    <w:rsid w:val="008A5ED1"/>
    <w:rsid w:val="008A73CE"/>
    <w:rsid w:val="008A7FD1"/>
    <w:rsid w:val="008B042E"/>
    <w:rsid w:val="008B211E"/>
    <w:rsid w:val="008B6D48"/>
    <w:rsid w:val="008C38E0"/>
    <w:rsid w:val="008C4207"/>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FAB"/>
    <w:rsid w:val="0094094D"/>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C603A"/>
    <w:rsid w:val="009C74CD"/>
    <w:rsid w:val="009D048F"/>
    <w:rsid w:val="009D162F"/>
    <w:rsid w:val="009D23FF"/>
    <w:rsid w:val="009D401F"/>
    <w:rsid w:val="009D5B42"/>
    <w:rsid w:val="009D61CE"/>
    <w:rsid w:val="009D68FA"/>
    <w:rsid w:val="009E1E4F"/>
    <w:rsid w:val="009E32CF"/>
    <w:rsid w:val="009E4261"/>
    <w:rsid w:val="009E4FC2"/>
    <w:rsid w:val="009F44AE"/>
    <w:rsid w:val="009F59B9"/>
    <w:rsid w:val="00A023EE"/>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046"/>
    <w:rsid w:val="00A40AC7"/>
    <w:rsid w:val="00A435C7"/>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79D3"/>
    <w:rsid w:val="00AB0931"/>
    <w:rsid w:val="00AB18AC"/>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45BD"/>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42A6"/>
    <w:rsid w:val="00B57032"/>
    <w:rsid w:val="00B6001F"/>
    <w:rsid w:val="00B60222"/>
    <w:rsid w:val="00B602B2"/>
    <w:rsid w:val="00B62CFB"/>
    <w:rsid w:val="00B662F5"/>
    <w:rsid w:val="00B7000C"/>
    <w:rsid w:val="00B741C7"/>
    <w:rsid w:val="00B75EE8"/>
    <w:rsid w:val="00B760D5"/>
    <w:rsid w:val="00B77495"/>
    <w:rsid w:val="00B83B2C"/>
    <w:rsid w:val="00B92049"/>
    <w:rsid w:val="00B94740"/>
    <w:rsid w:val="00B95002"/>
    <w:rsid w:val="00B97F75"/>
    <w:rsid w:val="00BA0A4F"/>
    <w:rsid w:val="00BA1CAE"/>
    <w:rsid w:val="00BA33BB"/>
    <w:rsid w:val="00BA4830"/>
    <w:rsid w:val="00BA4FDC"/>
    <w:rsid w:val="00BA6E22"/>
    <w:rsid w:val="00BB1460"/>
    <w:rsid w:val="00BB362C"/>
    <w:rsid w:val="00BB5942"/>
    <w:rsid w:val="00BC0A03"/>
    <w:rsid w:val="00BC4A42"/>
    <w:rsid w:val="00BC5BB4"/>
    <w:rsid w:val="00BD4139"/>
    <w:rsid w:val="00BE059A"/>
    <w:rsid w:val="00BE1981"/>
    <w:rsid w:val="00BE2DA6"/>
    <w:rsid w:val="00BE2E86"/>
    <w:rsid w:val="00BE320B"/>
    <w:rsid w:val="00BE56E9"/>
    <w:rsid w:val="00BE63CF"/>
    <w:rsid w:val="00BE7014"/>
    <w:rsid w:val="00BE7991"/>
    <w:rsid w:val="00BF25C7"/>
    <w:rsid w:val="00BF5560"/>
    <w:rsid w:val="00C009B7"/>
    <w:rsid w:val="00C02B8F"/>
    <w:rsid w:val="00C04E32"/>
    <w:rsid w:val="00C116B1"/>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587"/>
    <w:rsid w:val="00C62B69"/>
    <w:rsid w:val="00C644B7"/>
    <w:rsid w:val="00C64564"/>
    <w:rsid w:val="00C66D6F"/>
    <w:rsid w:val="00C71377"/>
    <w:rsid w:val="00C73C87"/>
    <w:rsid w:val="00C74B6F"/>
    <w:rsid w:val="00C819CB"/>
    <w:rsid w:val="00C81E0E"/>
    <w:rsid w:val="00C86BE5"/>
    <w:rsid w:val="00C87EF3"/>
    <w:rsid w:val="00C9015F"/>
    <w:rsid w:val="00C912F9"/>
    <w:rsid w:val="00C91B22"/>
    <w:rsid w:val="00C9241B"/>
    <w:rsid w:val="00C9370B"/>
    <w:rsid w:val="00C96DDF"/>
    <w:rsid w:val="00C97569"/>
    <w:rsid w:val="00CA199D"/>
    <w:rsid w:val="00CA4D9C"/>
    <w:rsid w:val="00CB05A7"/>
    <w:rsid w:val="00CB06A4"/>
    <w:rsid w:val="00CB08A6"/>
    <w:rsid w:val="00CB325B"/>
    <w:rsid w:val="00CB3EFF"/>
    <w:rsid w:val="00CB3F4C"/>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E66A3"/>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A0680"/>
    <w:rsid w:val="00DA36F6"/>
    <w:rsid w:val="00DA48F0"/>
    <w:rsid w:val="00DB0C8D"/>
    <w:rsid w:val="00DB6AF2"/>
    <w:rsid w:val="00DC1599"/>
    <w:rsid w:val="00DC1611"/>
    <w:rsid w:val="00DD3C53"/>
    <w:rsid w:val="00DD6B73"/>
    <w:rsid w:val="00DE4A90"/>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30E0"/>
    <w:rsid w:val="00E35DCA"/>
    <w:rsid w:val="00E36C70"/>
    <w:rsid w:val="00E4156E"/>
    <w:rsid w:val="00E44D61"/>
    <w:rsid w:val="00E453F2"/>
    <w:rsid w:val="00E460AD"/>
    <w:rsid w:val="00E61925"/>
    <w:rsid w:val="00E6363B"/>
    <w:rsid w:val="00E65C0E"/>
    <w:rsid w:val="00E65FB9"/>
    <w:rsid w:val="00E730FC"/>
    <w:rsid w:val="00E746F0"/>
    <w:rsid w:val="00E809B9"/>
    <w:rsid w:val="00E82A15"/>
    <w:rsid w:val="00E85445"/>
    <w:rsid w:val="00E87589"/>
    <w:rsid w:val="00E938FF"/>
    <w:rsid w:val="00E93DFE"/>
    <w:rsid w:val="00EA2124"/>
    <w:rsid w:val="00EA2B12"/>
    <w:rsid w:val="00EA34DC"/>
    <w:rsid w:val="00EA456C"/>
    <w:rsid w:val="00EA5017"/>
    <w:rsid w:val="00EA6BED"/>
    <w:rsid w:val="00EB14F0"/>
    <w:rsid w:val="00EB3844"/>
    <w:rsid w:val="00EB5A9F"/>
    <w:rsid w:val="00EC2803"/>
    <w:rsid w:val="00EC573F"/>
    <w:rsid w:val="00EC5C8D"/>
    <w:rsid w:val="00ED106C"/>
    <w:rsid w:val="00ED2D34"/>
    <w:rsid w:val="00ED4805"/>
    <w:rsid w:val="00ED57F6"/>
    <w:rsid w:val="00ED6C51"/>
    <w:rsid w:val="00ED6DA1"/>
    <w:rsid w:val="00EF0AF8"/>
    <w:rsid w:val="00EF207D"/>
    <w:rsid w:val="00EF4258"/>
    <w:rsid w:val="00EF6D31"/>
    <w:rsid w:val="00F02237"/>
    <w:rsid w:val="00F046F1"/>
    <w:rsid w:val="00F06761"/>
    <w:rsid w:val="00F072E2"/>
    <w:rsid w:val="00F079A6"/>
    <w:rsid w:val="00F10236"/>
    <w:rsid w:val="00F15811"/>
    <w:rsid w:val="00F22423"/>
    <w:rsid w:val="00F24C72"/>
    <w:rsid w:val="00F30267"/>
    <w:rsid w:val="00F31D22"/>
    <w:rsid w:val="00F32418"/>
    <w:rsid w:val="00F348B2"/>
    <w:rsid w:val="00F34BF0"/>
    <w:rsid w:val="00F34ED8"/>
    <w:rsid w:val="00F4095A"/>
    <w:rsid w:val="00F452CC"/>
    <w:rsid w:val="00F45845"/>
    <w:rsid w:val="00F50189"/>
    <w:rsid w:val="00F508FC"/>
    <w:rsid w:val="00F510B7"/>
    <w:rsid w:val="00F53571"/>
    <w:rsid w:val="00F54044"/>
    <w:rsid w:val="00F576E7"/>
    <w:rsid w:val="00F73D1A"/>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2186"/>
    <w:rsid w:val="00FB7E03"/>
    <w:rsid w:val="00FD0133"/>
    <w:rsid w:val="00FD25FE"/>
    <w:rsid w:val="00FD403E"/>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2289"/>
    <o:shapelayout v:ext="edit">
      <o:idmap v:ext="edit" data="1"/>
    </o:shapelayout>
  </w:shapeDefaults>
  <w:decimalSymbol w:val=","/>
  <w:listSeparator w:val=";"/>
  <w14:docId w14:val="23567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Mentionnonrsolue1">
    <w:name w:val="Mention non résolue1"/>
    <w:basedOn w:val="Policepardfaut"/>
    <w:uiPriority w:val="99"/>
    <w:semiHidden/>
    <w:unhideWhenUsed/>
    <w:rsid w:val="007D7EE7"/>
    <w:rPr>
      <w:color w:val="605E5C"/>
      <w:shd w:val="clear" w:color="auto" w:fill="E1DFDD"/>
    </w:rPr>
  </w:style>
  <w:style w:type="paragraph" w:styleId="Rvision">
    <w:name w:val="Revision"/>
    <w:hidden/>
    <w:uiPriority w:val="99"/>
    <w:semiHidden/>
    <w:rsid w:val="003A7A4F"/>
    <w:rPr>
      <w:rFonts w:ascii="Arial" w:hAnsi="Arial"/>
      <w:sz w:val="24"/>
    </w:rPr>
  </w:style>
  <w:style w:type="character" w:styleId="Marquedecommentaire">
    <w:name w:val="annotation reference"/>
    <w:basedOn w:val="Policepardfaut"/>
    <w:rsid w:val="0050403E"/>
    <w:rPr>
      <w:sz w:val="16"/>
      <w:szCs w:val="16"/>
    </w:rPr>
  </w:style>
  <w:style w:type="paragraph" w:styleId="Commentaire">
    <w:name w:val="annotation text"/>
    <w:basedOn w:val="Normal"/>
    <w:link w:val="CommentaireCar"/>
    <w:rsid w:val="0050403E"/>
    <w:rPr>
      <w:sz w:val="20"/>
    </w:rPr>
  </w:style>
  <w:style w:type="character" w:customStyle="1" w:styleId="CommentaireCar">
    <w:name w:val="Commentaire Car"/>
    <w:basedOn w:val="Policepardfaut"/>
    <w:link w:val="Commentaire"/>
    <w:rsid w:val="0050403E"/>
    <w:rPr>
      <w:rFonts w:ascii="Arial" w:hAnsi="Arial"/>
    </w:rPr>
  </w:style>
  <w:style w:type="paragraph" w:styleId="Objetducommentaire">
    <w:name w:val="annotation subject"/>
    <w:basedOn w:val="Commentaire"/>
    <w:next w:val="Commentaire"/>
    <w:link w:val="ObjetducommentaireCar"/>
    <w:rsid w:val="0050403E"/>
    <w:rPr>
      <w:b/>
      <w:bCs/>
    </w:rPr>
  </w:style>
  <w:style w:type="character" w:customStyle="1" w:styleId="ObjetducommentaireCar">
    <w:name w:val="Objet du commentaire Car"/>
    <w:basedOn w:val="CommentaireCar"/>
    <w:link w:val="Objetducommentaire"/>
    <w:rsid w:val="0050403E"/>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DD3F3-5AE6-4116-97CA-62B255235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2982</Words>
  <Characters>16405</Characters>
  <Application>Microsoft Office Word</Application>
  <DocSecurity>0</DocSecurity>
  <Lines>136</Lines>
  <Paragraphs>38</Paragraphs>
  <ScaleCrop>false</ScaleCrop>
  <Company/>
  <LinksUpToDate>false</LinksUpToDate>
  <CharactersWithSpaces>19349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2025-09-17T14:28:00Z</dcterms:created>
  <dcterms:modified xsi:type="dcterms:W3CDTF">2025-09-17T14:28:00Z</dcterms:modified>
</cp:coreProperties>
</file>