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24BEEB8D" w14:textId="77777777">
        <w:trPr>
          <w:cantSplit/>
        </w:trPr>
        <w:tc>
          <w:tcPr>
            <w:tcW w:w="4795" w:type="dxa"/>
          </w:tcPr>
          <w:p w14:paraId="302E67E9" w14:textId="548D1111" w:rsidR="00B01732" w:rsidRDefault="00B01732" w:rsidP="00B01732">
            <w:pPr>
              <w:pStyle w:val="zSoquijdatRepertorie"/>
              <w:rPr>
                <w:rFonts w:cs="Arial"/>
              </w:rPr>
            </w:pPr>
            <w:bookmarkStart w:id="0" w:name="_GoBack"/>
            <w:bookmarkEnd w:id="0"/>
            <w:r>
              <w:rPr>
                <w:rFonts w:cs="Arial"/>
              </w:rPr>
              <w:t>Poirier et Service sécurité incendie - Ville de Montréal</w:t>
            </w:r>
          </w:p>
          <w:p w14:paraId="7FCF7373" w14:textId="77777777" w:rsidR="00B01732" w:rsidRDefault="00B01732" w:rsidP="00B01732">
            <w:pPr>
              <w:pStyle w:val="zSoquijdatRepertorie"/>
              <w:rPr>
                <w:rFonts w:cs="Arial"/>
              </w:rPr>
            </w:pPr>
          </w:p>
          <w:p w14:paraId="074AC1F1" w14:textId="7F552092" w:rsidR="008A7FD1" w:rsidRPr="00B01732" w:rsidRDefault="00C3334A" w:rsidP="00B01732">
            <w:pPr>
              <w:pStyle w:val="zSoquijdatRepertorie"/>
              <w:rPr>
                <w:rFonts w:cs="Arial"/>
              </w:rPr>
            </w:pPr>
            <w:r w:rsidRPr="00B01732">
              <w:rPr>
                <w:rFonts w:cs="Arial"/>
              </w:rPr>
              <w:t xml:space="preserve"> </w:t>
            </w:r>
          </w:p>
        </w:tc>
        <w:tc>
          <w:tcPr>
            <w:tcW w:w="2477" w:type="dxa"/>
          </w:tcPr>
          <w:p w14:paraId="59FEF30C" w14:textId="1E71536E" w:rsidR="008A7FD1" w:rsidRPr="00DC2FD9" w:rsidRDefault="00DC2FD9" w:rsidP="00DC2FD9">
            <w:pPr>
              <w:pStyle w:val="zSoquijdatRefNeutre"/>
              <w:rPr>
                <w:rFonts w:cs="Arial"/>
              </w:rPr>
            </w:pPr>
            <w:r w:rsidRPr="00DC2FD9">
              <w:rPr>
                <w:rFonts w:cs="Arial"/>
              </w:rPr>
              <w:t>2025 QCTAT 624</w:t>
            </w:r>
          </w:p>
        </w:tc>
      </w:tr>
    </w:tbl>
    <w:p w14:paraId="4B5F520B"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53B1D122" w14:textId="77777777" w:rsidTr="00036794">
        <w:trPr>
          <w:cantSplit/>
        </w:trPr>
        <w:tc>
          <w:tcPr>
            <w:tcW w:w="9568" w:type="dxa"/>
            <w:gridSpan w:val="4"/>
          </w:tcPr>
          <w:p w14:paraId="22DB5753" w14:textId="77777777" w:rsidR="00C74B6F" w:rsidRPr="00BE1981" w:rsidRDefault="00C74B6F">
            <w:pPr>
              <w:rPr>
                <w:szCs w:val="24"/>
              </w:rPr>
            </w:pPr>
          </w:p>
        </w:tc>
      </w:tr>
      <w:tr w:rsidR="00C74B6F" w14:paraId="0B2F4148" w14:textId="77777777" w:rsidTr="00036794">
        <w:trPr>
          <w:cantSplit/>
        </w:trPr>
        <w:tc>
          <w:tcPr>
            <w:tcW w:w="9568" w:type="dxa"/>
            <w:gridSpan w:val="4"/>
            <w:vAlign w:val="center"/>
          </w:tcPr>
          <w:p w14:paraId="67B0F837" w14:textId="77777777" w:rsidR="00C74B6F" w:rsidRPr="000E1320" w:rsidRDefault="000E1320">
            <w:pPr>
              <w:jc w:val="center"/>
              <w:rPr>
                <w:sz w:val="36"/>
                <w:szCs w:val="36"/>
              </w:rPr>
            </w:pPr>
            <w:r w:rsidRPr="000E1320">
              <w:rPr>
                <w:b/>
                <w:sz w:val="36"/>
                <w:szCs w:val="36"/>
              </w:rPr>
              <w:t>TRIBUNAL ADMINISTRATIF DU TRAVAIL</w:t>
            </w:r>
          </w:p>
        </w:tc>
      </w:tr>
      <w:tr w:rsidR="00C74B6F" w14:paraId="19F38349" w14:textId="77777777" w:rsidTr="00036794">
        <w:trPr>
          <w:cantSplit/>
        </w:trPr>
        <w:tc>
          <w:tcPr>
            <w:tcW w:w="9568" w:type="dxa"/>
            <w:gridSpan w:val="4"/>
          </w:tcPr>
          <w:p w14:paraId="2EE81ED4" w14:textId="77777777" w:rsidR="00C74B6F" w:rsidRPr="00BE7014" w:rsidRDefault="006F0154" w:rsidP="009A67E7">
            <w:pPr>
              <w:pStyle w:val="zSoquijdatDivision"/>
            </w:pPr>
            <w:r w:rsidRPr="00BE7014">
              <w:t>(</w:t>
            </w:r>
            <w:r w:rsidR="00507029" w:rsidRPr="00441ADA">
              <w:t>Division de la santé et de la sécurité du travail</w:t>
            </w:r>
            <w:r w:rsidRPr="00BE7014">
              <w:t>)</w:t>
            </w:r>
          </w:p>
        </w:tc>
      </w:tr>
      <w:tr w:rsidR="00C74B6F" w14:paraId="59BBDC1E" w14:textId="77777777" w:rsidTr="00036794">
        <w:trPr>
          <w:cantSplit/>
        </w:trPr>
        <w:tc>
          <w:tcPr>
            <w:tcW w:w="9568" w:type="dxa"/>
            <w:gridSpan w:val="4"/>
          </w:tcPr>
          <w:p w14:paraId="2E0039F3" w14:textId="77777777" w:rsidR="002B2FC3" w:rsidRDefault="002B2FC3" w:rsidP="002B2FC3"/>
        </w:tc>
      </w:tr>
      <w:tr w:rsidR="00A84FC6" w14:paraId="504637BE" w14:textId="77777777" w:rsidTr="00036794">
        <w:trPr>
          <w:cantSplit/>
        </w:trPr>
        <w:tc>
          <w:tcPr>
            <w:tcW w:w="9568" w:type="dxa"/>
            <w:gridSpan w:val="4"/>
          </w:tcPr>
          <w:p w14:paraId="16F8579F" w14:textId="77777777" w:rsidR="00A84FC6" w:rsidRDefault="00A84FC6" w:rsidP="002B2FC3"/>
        </w:tc>
      </w:tr>
      <w:tr w:rsidR="00C74B6F" w14:paraId="792078FB" w14:textId="77777777" w:rsidTr="00036794">
        <w:tc>
          <w:tcPr>
            <w:tcW w:w="3331" w:type="dxa"/>
          </w:tcPr>
          <w:p w14:paraId="30D54AB7" w14:textId="77777777" w:rsidR="00C74B6F" w:rsidRDefault="0084255F">
            <w:bookmarkStart w:id="1" w:name="region" w:colFirst="1" w:colLast="1"/>
            <w:r>
              <w:t>Région :</w:t>
            </w:r>
          </w:p>
        </w:tc>
        <w:tc>
          <w:tcPr>
            <w:tcW w:w="6237" w:type="dxa"/>
            <w:gridSpan w:val="3"/>
          </w:tcPr>
          <w:p w14:paraId="01A02E65" w14:textId="77777777" w:rsidR="00C74B6F" w:rsidRDefault="00507029" w:rsidP="00F4095A">
            <w:pPr>
              <w:pStyle w:val="zSoquijdatGreffe"/>
            </w:pPr>
            <w:r>
              <w:t>Richelieu-Salaberry</w:t>
            </w:r>
          </w:p>
        </w:tc>
      </w:tr>
      <w:bookmarkEnd w:id="1"/>
      <w:tr w:rsidR="00C74B6F" w14:paraId="1C89812B" w14:textId="77777777" w:rsidTr="00036794">
        <w:trPr>
          <w:cantSplit/>
        </w:trPr>
        <w:tc>
          <w:tcPr>
            <w:tcW w:w="9568" w:type="dxa"/>
            <w:gridSpan w:val="4"/>
          </w:tcPr>
          <w:p w14:paraId="6DCE4066" w14:textId="77777777" w:rsidR="00C74B6F" w:rsidRDefault="00C74B6F"/>
        </w:tc>
      </w:tr>
      <w:tr w:rsidR="00C74B6F" w14:paraId="1B930DE2" w14:textId="77777777" w:rsidTr="00036794">
        <w:tc>
          <w:tcPr>
            <w:tcW w:w="3331" w:type="dxa"/>
          </w:tcPr>
          <w:p w14:paraId="622D08B0" w14:textId="43B7B880" w:rsidR="00C74B6F" w:rsidRDefault="0084255F">
            <w:bookmarkStart w:id="2" w:name="ref_dossier" w:colFirst="1" w:colLast="1"/>
            <w:r>
              <w:t>Dossier</w:t>
            </w:r>
            <w:bookmarkStart w:id="3" w:name="dossiers"/>
            <w:bookmarkEnd w:id="3"/>
            <w:r w:rsidR="00EB11FB">
              <w:t>s</w:t>
            </w:r>
            <w:r>
              <w:t> :</w:t>
            </w:r>
          </w:p>
        </w:tc>
        <w:tc>
          <w:tcPr>
            <w:tcW w:w="6237" w:type="dxa"/>
            <w:gridSpan w:val="3"/>
          </w:tcPr>
          <w:p w14:paraId="74B33F5F" w14:textId="3849AC5E" w:rsidR="00C74B6F" w:rsidRDefault="00EB11FB" w:rsidP="00F4095A">
            <w:pPr>
              <w:pStyle w:val="zSoquijdatNoDossier"/>
            </w:pPr>
            <w:r>
              <w:t>1333336-62A-2308   1342262-62A-2310</w:t>
            </w:r>
          </w:p>
        </w:tc>
      </w:tr>
      <w:bookmarkEnd w:id="2"/>
      <w:tr w:rsidR="00C74B6F" w14:paraId="51D7FC73" w14:textId="77777777" w:rsidTr="00036794">
        <w:trPr>
          <w:cantSplit/>
        </w:trPr>
        <w:tc>
          <w:tcPr>
            <w:tcW w:w="9568" w:type="dxa"/>
            <w:gridSpan w:val="4"/>
          </w:tcPr>
          <w:p w14:paraId="73886001" w14:textId="77777777" w:rsidR="00C74B6F" w:rsidRDefault="00D44BCF">
            <w:r>
              <w:fldChar w:fldCharType="begin"/>
            </w:r>
            <w:r>
              <w:instrText xml:space="preserve"> AUTOTEXTLIST  \* Upper  \* MERGEFORMAT </w:instrText>
            </w:r>
            <w:r>
              <w:fldChar w:fldCharType="end"/>
            </w:r>
          </w:p>
        </w:tc>
      </w:tr>
      <w:tr w:rsidR="00C74B6F" w14:paraId="2CCB590F" w14:textId="77777777" w:rsidTr="00036794">
        <w:tc>
          <w:tcPr>
            <w:tcW w:w="3331" w:type="dxa"/>
          </w:tcPr>
          <w:p w14:paraId="65FCABCE" w14:textId="7A2DEFFF" w:rsidR="00C74B6F" w:rsidRDefault="008C79A7" w:rsidP="0045114F">
            <w:pPr>
              <w:ind w:right="46"/>
            </w:pPr>
            <w:r>
              <w:t xml:space="preserve">Dossier </w:t>
            </w:r>
            <w:r w:rsidR="00507029" w:rsidRPr="00507029">
              <w:rPr>
                <w:szCs w:val="24"/>
              </w:rPr>
              <w:t>CNESST</w:t>
            </w:r>
            <w:r w:rsidRPr="008C79A7">
              <w:rPr>
                <w:szCs w:val="24"/>
              </w:rPr>
              <w:t xml:space="preserve"> :</w:t>
            </w:r>
          </w:p>
        </w:tc>
        <w:tc>
          <w:tcPr>
            <w:tcW w:w="6237" w:type="dxa"/>
            <w:gridSpan w:val="3"/>
          </w:tcPr>
          <w:p w14:paraId="2957EA7C" w14:textId="008A3FB9" w:rsidR="00C74B6F" w:rsidRDefault="00EB11FB" w:rsidP="004D6CEA">
            <w:pPr>
              <w:pStyle w:val="zSoquijdatNCSST"/>
            </w:pPr>
            <w:r>
              <w:t>513710368</w:t>
            </w:r>
          </w:p>
        </w:tc>
      </w:tr>
      <w:tr w:rsidR="00C74B6F" w14:paraId="60CD3CDF" w14:textId="77777777" w:rsidTr="00036794">
        <w:trPr>
          <w:cantSplit/>
        </w:trPr>
        <w:tc>
          <w:tcPr>
            <w:tcW w:w="9568" w:type="dxa"/>
            <w:gridSpan w:val="4"/>
          </w:tcPr>
          <w:p w14:paraId="10246F44" w14:textId="77777777" w:rsidR="00C74B6F" w:rsidRDefault="00C74B6F"/>
        </w:tc>
      </w:tr>
      <w:tr w:rsidR="00C74B6F" w14:paraId="5C79FC13" w14:textId="77777777" w:rsidTr="00036794">
        <w:trPr>
          <w:cantSplit/>
        </w:trPr>
        <w:tc>
          <w:tcPr>
            <w:tcW w:w="9568" w:type="dxa"/>
            <w:gridSpan w:val="4"/>
          </w:tcPr>
          <w:p w14:paraId="39C1D7A1" w14:textId="77777777" w:rsidR="00C74B6F" w:rsidRDefault="00C74B6F"/>
        </w:tc>
      </w:tr>
      <w:tr w:rsidR="006E3DD8" w14:paraId="31FFB1E9" w14:textId="77777777" w:rsidTr="00036794">
        <w:trPr>
          <w:cantSplit/>
        </w:trPr>
        <w:tc>
          <w:tcPr>
            <w:tcW w:w="3331" w:type="dxa"/>
          </w:tcPr>
          <w:p w14:paraId="4EC854C5" w14:textId="77777777" w:rsidR="006E3DD8" w:rsidRDefault="00507029" w:rsidP="0076350E">
            <w:pPr>
              <w:ind w:right="-70"/>
            </w:pPr>
            <w:r>
              <w:t>Saint-Jean-sur-Richelieu</w:t>
            </w:r>
            <w:r w:rsidR="00C04E32">
              <w:t>,</w:t>
            </w:r>
          </w:p>
        </w:tc>
        <w:tc>
          <w:tcPr>
            <w:tcW w:w="6237" w:type="dxa"/>
            <w:gridSpan w:val="3"/>
          </w:tcPr>
          <w:p w14:paraId="7668EAAC" w14:textId="6E9F7DB6" w:rsidR="006E3DD8" w:rsidRDefault="00C04E32" w:rsidP="005B5689">
            <w:pPr>
              <w:pStyle w:val="zSoquijdatDateJugement"/>
            </w:pPr>
            <w:r w:rsidRPr="00C5017E">
              <w:t xml:space="preserve">le </w:t>
            </w:r>
            <w:r w:rsidR="00D925A8">
              <w:t>6 février</w:t>
            </w:r>
            <w:r w:rsidR="00EB11FB">
              <w:t xml:space="preserve"> 202</w:t>
            </w:r>
            <w:r w:rsidR="00166A3B">
              <w:t>5</w:t>
            </w:r>
          </w:p>
        </w:tc>
      </w:tr>
      <w:tr w:rsidR="00942AB8" w14:paraId="2688302C" w14:textId="77777777" w:rsidTr="00036794">
        <w:trPr>
          <w:cantSplit/>
        </w:trPr>
        <w:tc>
          <w:tcPr>
            <w:tcW w:w="9568" w:type="dxa"/>
            <w:gridSpan w:val="4"/>
          </w:tcPr>
          <w:p w14:paraId="39590100" w14:textId="77777777" w:rsidR="00942AB8" w:rsidRDefault="00942AB8" w:rsidP="00FA153F">
            <w:r>
              <w:t>______________________________________________________________________</w:t>
            </w:r>
          </w:p>
        </w:tc>
      </w:tr>
      <w:tr w:rsidR="00942AB8" w14:paraId="6E328669" w14:textId="77777777" w:rsidTr="00036794">
        <w:trPr>
          <w:cantSplit/>
          <w:trHeight w:val="148"/>
        </w:trPr>
        <w:tc>
          <w:tcPr>
            <w:tcW w:w="9568" w:type="dxa"/>
            <w:gridSpan w:val="4"/>
          </w:tcPr>
          <w:p w14:paraId="51ACD349" w14:textId="77777777" w:rsidR="00942AB8" w:rsidRDefault="00942AB8" w:rsidP="00FA153F"/>
        </w:tc>
      </w:tr>
      <w:tr w:rsidR="0035375B" w14:paraId="43543B3F" w14:textId="77777777" w:rsidTr="00036794">
        <w:trPr>
          <w:cantSplit/>
          <w:trHeight w:val="148"/>
        </w:trPr>
        <w:tc>
          <w:tcPr>
            <w:tcW w:w="5883" w:type="dxa"/>
            <w:gridSpan w:val="3"/>
          </w:tcPr>
          <w:p w14:paraId="235B63C1" w14:textId="77777777" w:rsidR="0035375B" w:rsidRPr="00942AB8" w:rsidRDefault="0035375B" w:rsidP="002A3E05">
            <w:pPr>
              <w:rPr>
                <w:b/>
                <w:bCs/>
              </w:rPr>
            </w:pPr>
            <w:bookmarkStart w:id="4" w:name="ref_commissaire" w:colFirst="1" w:colLast="1"/>
            <w:r w:rsidRPr="00942AB8">
              <w:rPr>
                <w:b/>
                <w:bCs/>
              </w:rPr>
              <w:t>DEVANT L</w:t>
            </w:r>
            <w:r w:rsidR="002A3E05">
              <w:rPr>
                <w:b/>
                <w:bCs/>
              </w:rPr>
              <w:t>E</w:t>
            </w:r>
            <w:r w:rsidRPr="00942AB8">
              <w:rPr>
                <w:b/>
                <w:bCs/>
              </w:rPr>
              <w:t xml:space="preserve"> JUGE ADMINISTRATI</w:t>
            </w:r>
            <w:r w:rsidR="002A3E05">
              <w:rPr>
                <w:b/>
                <w:bCs/>
              </w:rPr>
              <w:t>F</w:t>
            </w:r>
            <w:r w:rsidRPr="00942AB8">
              <w:rPr>
                <w:b/>
                <w:bCs/>
              </w:rPr>
              <w:t> :</w:t>
            </w:r>
          </w:p>
        </w:tc>
        <w:tc>
          <w:tcPr>
            <w:tcW w:w="3685" w:type="dxa"/>
          </w:tcPr>
          <w:p w14:paraId="040EB577" w14:textId="77777777" w:rsidR="0035375B" w:rsidRPr="00942AB8" w:rsidRDefault="002A3E05" w:rsidP="005B5689">
            <w:pPr>
              <w:pStyle w:val="zSoquijdatJuge"/>
              <w:rPr>
                <w:bCs/>
              </w:rPr>
            </w:pPr>
            <w:r>
              <w:t>Pierre St-Onge</w:t>
            </w:r>
          </w:p>
        </w:tc>
      </w:tr>
      <w:bookmarkEnd w:id="4"/>
      <w:tr w:rsidR="00942AB8" w14:paraId="51623817" w14:textId="77777777" w:rsidTr="00036794">
        <w:trPr>
          <w:cantSplit/>
          <w:trHeight w:val="148"/>
        </w:trPr>
        <w:tc>
          <w:tcPr>
            <w:tcW w:w="9568" w:type="dxa"/>
            <w:gridSpan w:val="4"/>
          </w:tcPr>
          <w:p w14:paraId="1171AF64" w14:textId="77777777" w:rsidR="00942AB8" w:rsidRDefault="00942AB8" w:rsidP="00FA153F">
            <w:r>
              <w:t>______________________________________________________________________</w:t>
            </w:r>
          </w:p>
        </w:tc>
      </w:tr>
      <w:tr w:rsidR="00942AB8" w14:paraId="0BA9F041" w14:textId="77777777" w:rsidTr="00036794">
        <w:tc>
          <w:tcPr>
            <w:tcW w:w="9568" w:type="dxa"/>
            <w:gridSpan w:val="4"/>
          </w:tcPr>
          <w:p w14:paraId="400E9D00" w14:textId="77777777" w:rsidR="00942AB8" w:rsidRDefault="00942AB8"/>
        </w:tc>
      </w:tr>
      <w:tr w:rsidR="00942AB8" w14:paraId="2347B619" w14:textId="77777777" w:rsidTr="00E21768">
        <w:tc>
          <w:tcPr>
            <w:tcW w:w="4890" w:type="dxa"/>
            <w:gridSpan w:val="2"/>
          </w:tcPr>
          <w:p w14:paraId="1172ACA2" w14:textId="77777777" w:rsidR="00942AB8" w:rsidRDefault="00942AB8">
            <w:bookmarkStart w:id="5" w:name="bloc_parties_gauche"/>
            <w:bookmarkEnd w:id="5"/>
          </w:p>
        </w:tc>
        <w:tc>
          <w:tcPr>
            <w:tcW w:w="4678" w:type="dxa"/>
            <w:gridSpan w:val="2"/>
          </w:tcPr>
          <w:p w14:paraId="77556D1C" w14:textId="77777777" w:rsidR="00942AB8" w:rsidRDefault="00942AB8"/>
        </w:tc>
      </w:tr>
      <w:tr w:rsidR="00942AB8" w14:paraId="0334A4C9" w14:textId="77777777" w:rsidTr="00E21768">
        <w:tc>
          <w:tcPr>
            <w:tcW w:w="4890" w:type="dxa"/>
            <w:gridSpan w:val="2"/>
          </w:tcPr>
          <w:p w14:paraId="1121985A" w14:textId="74437E6A" w:rsidR="00942AB8" w:rsidRDefault="00EB11FB">
            <w:pPr>
              <w:pStyle w:val="zSoquijdatNomPartieDem"/>
              <w:rPr>
                <w:b/>
              </w:rPr>
            </w:pPr>
            <w:r>
              <w:rPr>
                <w:b/>
              </w:rPr>
              <w:t>Richard Poirier</w:t>
            </w:r>
          </w:p>
        </w:tc>
        <w:tc>
          <w:tcPr>
            <w:tcW w:w="4678" w:type="dxa"/>
            <w:gridSpan w:val="2"/>
          </w:tcPr>
          <w:p w14:paraId="50DE822C" w14:textId="77777777" w:rsidR="00942AB8" w:rsidRDefault="00942AB8"/>
        </w:tc>
      </w:tr>
      <w:tr w:rsidR="00942AB8" w14:paraId="595512AA" w14:textId="77777777" w:rsidTr="00E21768">
        <w:tc>
          <w:tcPr>
            <w:tcW w:w="4890" w:type="dxa"/>
            <w:gridSpan w:val="2"/>
          </w:tcPr>
          <w:p w14:paraId="15A25B7C" w14:textId="77777777" w:rsidR="00942AB8" w:rsidRDefault="002A3E05" w:rsidP="007B0DF2">
            <w:pPr>
              <w:pStyle w:val="zSoquijdatQtePartieDem"/>
              <w:tabs>
                <w:tab w:val="left" w:pos="3539"/>
              </w:tabs>
              <w:ind w:left="708"/>
            </w:pPr>
            <w:bookmarkStart w:id="6" w:name="partie_demanderesse"/>
            <w:bookmarkEnd w:id="6"/>
            <w:r>
              <w:t>Partie demanderesse</w:t>
            </w:r>
          </w:p>
        </w:tc>
        <w:tc>
          <w:tcPr>
            <w:tcW w:w="4678" w:type="dxa"/>
            <w:gridSpan w:val="2"/>
          </w:tcPr>
          <w:p w14:paraId="109C5AD3" w14:textId="77777777" w:rsidR="00942AB8" w:rsidRDefault="00942AB8"/>
        </w:tc>
      </w:tr>
      <w:tr w:rsidR="00942AB8" w14:paraId="7317DF94" w14:textId="77777777" w:rsidTr="00E21768">
        <w:tc>
          <w:tcPr>
            <w:tcW w:w="4890" w:type="dxa"/>
            <w:gridSpan w:val="2"/>
          </w:tcPr>
          <w:p w14:paraId="2FB9DE92" w14:textId="77777777" w:rsidR="00942AB8" w:rsidRDefault="00942AB8" w:rsidP="00E6363B"/>
        </w:tc>
        <w:tc>
          <w:tcPr>
            <w:tcW w:w="4678" w:type="dxa"/>
            <w:gridSpan w:val="2"/>
          </w:tcPr>
          <w:p w14:paraId="089C6694" w14:textId="77777777" w:rsidR="00942AB8" w:rsidRDefault="00942AB8"/>
        </w:tc>
      </w:tr>
      <w:tr w:rsidR="00942AB8" w14:paraId="2F5CBD61" w14:textId="77777777" w:rsidTr="00E21768">
        <w:tc>
          <w:tcPr>
            <w:tcW w:w="4890" w:type="dxa"/>
            <w:gridSpan w:val="2"/>
          </w:tcPr>
          <w:p w14:paraId="75E92A39" w14:textId="77777777" w:rsidR="00942AB8" w:rsidRDefault="002A3E05" w:rsidP="00D06652">
            <w:pPr>
              <w:pStyle w:val="zSoquijlblLienParties"/>
            </w:pPr>
            <w:r>
              <w:t>et</w:t>
            </w:r>
          </w:p>
        </w:tc>
        <w:tc>
          <w:tcPr>
            <w:tcW w:w="4678" w:type="dxa"/>
            <w:gridSpan w:val="2"/>
          </w:tcPr>
          <w:p w14:paraId="0D05B77C" w14:textId="77777777" w:rsidR="00942AB8" w:rsidRDefault="00942AB8"/>
        </w:tc>
      </w:tr>
      <w:tr w:rsidR="00942AB8" w14:paraId="1CBE0C98" w14:textId="77777777" w:rsidTr="00E21768">
        <w:tc>
          <w:tcPr>
            <w:tcW w:w="4890" w:type="dxa"/>
            <w:gridSpan w:val="2"/>
          </w:tcPr>
          <w:p w14:paraId="13DA07F6" w14:textId="77777777" w:rsidR="00942AB8" w:rsidRDefault="00942AB8"/>
        </w:tc>
        <w:tc>
          <w:tcPr>
            <w:tcW w:w="4678" w:type="dxa"/>
            <w:gridSpan w:val="2"/>
          </w:tcPr>
          <w:p w14:paraId="2E70140D" w14:textId="77777777" w:rsidR="00942AB8" w:rsidRDefault="00942AB8"/>
        </w:tc>
      </w:tr>
      <w:tr w:rsidR="00942AB8" w14:paraId="1AB773AB" w14:textId="77777777" w:rsidTr="00E21768">
        <w:tc>
          <w:tcPr>
            <w:tcW w:w="4890" w:type="dxa"/>
            <w:gridSpan w:val="2"/>
          </w:tcPr>
          <w:p w14:paraId="41F5DCD7" w14:textId="6D3AB729" w:rsidR="00942AB8" w:rsidRDefault="00EB11FB">
            <w:pPr>
              <w:pStyle w:val="zSoquijdatNomPartieDef"/>
              <w:rPr>
                <w:b/>
              </w:rPr>
            </w:pPr>
            <w:r>
              <w:rPr>
                <w:b/>
              </w:rPr>
              <w:t>Service sécurité incendie – Ville de Montréal</w:t>
            </w:r>
          </w:p>
        </w:tc>
        <w:tc>
          <w:tcPr>
            <w:tcW w:w="4678" w:type="dxa"/>
            <w:gridSpan w:val="2"/>
          </w:tcPr>
          <w:p w14:paraId="1025F1BC" w14:textId="77777777" w:rsidR="00942AB8" w:rsidRDefault="00942AB8"/>
        </w:tc>
      </w:tr>
      <w:tr w:rsidR="00942AB8" w14:paraId="475BDE1F" w14:textId="77777777" w:rsidTr="00E21768">
        <w:tc>
          <w:tcPr>
            <w:tcW w:w="4890" w:type="dxa"/>
            <w:gridSpan w:val="2"/>
          </w:tcPr>
          <w:p w14:paraId="0ADD2DB5" w14:textId="77777777" w:rsidR="00942AB8" w:rsidRDefault="002A3E05">
            <w:pPr>
              <w:pStyle w:val="zSoquijdatQtePartieDef"/>
              <w:ind w:left="708"/>
            </w:pPr>
            <w:r>
              <w:t>Partie mise en cause</w:t>
            </w:r>
          </w:p>
        </w:tc>
        <w:tc>
          <w:tcPr>
            <w:tcW w:w="4678" w:type="dxa"/>
            <w:gridSpan w:val="2"/>
          </w:tcPr>
          <w:p w14:paraId="622F3046" w14:textId="77777777" w:rsidR="00942AB8" w:rsidRDefault="00942AB8"/>
        </w:tc>
      </w:tr>
      <w:tr w:rsidR="0065093D" w14:paraId="567095CA" w14:textId="77777777" w:rsidTr="00E21768">
        <w:tc>
          <w:tcPr>
            <w:tcW w:w="4890" w:type="dxa"/>
            <w:gridSpan w:val="2"/>
          </w:tcPr>
          <w:p w14:paraId="2A652C4C" w14:textId="77777777" w:rsidR="0065093D" w:rsidRDefault="0065093D"/>
        </w:tc>
        <w:tc>
          <w:tcPr>
            <w:tcW w:w="4678" w:type="dxa"/>
            <w:gridSpan w:val="2"/>
          </w:tcPr>
          <w:p w14:paraId="06611BB5" w14:textId="77777777" w:rsidR="0065093D" w:rsidRDefault="0065093D"/>
        </w:tc>
      </w:tr>
    </w:tbl>
    <w:p w14:paraId="4F901F04" w14:textId="77777777" w:rsidR="00C74B6F" w:rsidRDefault="00C74B6F">
      <w:r>
        <w:t>______________________________________________________________________</w:t>
      </w:r>
    </w:p>
    <w:p w14:paraId="6702BC36" w14:textId="77777777" w:rsidR="00C74B6F" w:rsidRDefault="00C74B6F"/>
    <w:p w14:paraId="6EFB42B3" w14:textId="77777777" w:rsidR="00C74B6F" w:rsidRPr="005B0612" w:rsidRDefault="00C74B6F" w:rsidP="008B042E">
      <w:pPr>
        <w:jc w:val="center"/>
        <w:rPr>
          <w:b/>
          <w:bCs/>
        </w:rPr>
      </w:pPr>
      <w:bookmarkStart w:id="7" w:name="decision"/>
      <w:r w:rsidRPr="005B0612">
        <w:rPr>
          <w:b/>
          <w:bCs/>
        </w:rPr>
        <w:t>DÉCISION</w:t>
      </w:r>
      <w:bookmarkEnd w:id="7"/>
    </w:p>
    <w:p w14:paraId="383ABA20" w14:textId="77777777" w:rsidR="008F20EA" w:rsidRDefault="008F20EA" w:rsidP="008F20EA">
      <w:bookmarkStart w:id="8" w:name="separation"/>
      <w:bookmarkStart w:id="9" w:name="parag_1"/>
      <w:r>
        <w:t>______________________________________________________________________</w:t>
      </w:r>
    </w:p>
    <w:p w14:paraId="40032315" w14:textId="77777777" w:rsidR="008F20EA" w:rsidRDefault="008F20EA" w:rsidP="008F20EA">
      <w:pPr>
        <w:pStyle w:val="corpsdedcision"/>
        <w:numPr>
          <w:ilvl w:val="0"/>
          <w:numId w:val="0"/>
        </w:numPr>
        <w:spacing w:before="360"/>
      </w:pPr>
      <w:bookmarkStart w:id="10" w:name="supprimer_apercu"/>
      <w:bookmarkEnd w:id="8"/>
      <w:r>
        <w:rPr>
          <w:b/>
          <w:bCs/>
          <w:u w:val="single"/>
        </w:rPr>
        <w:t>L’APERÇU</w:t>
      </w:r>
    </w:p>
    <w:bookmarkEnd w:id="9"/>
    <w:bookmarkEnd w:id="10"/>
    <w:p w14:paraId="654326F0" w14:textId="49A160F2" w:rsidR="0075058C" w:rsidRPr="00414014" w:rsidRDefault="0075058C" w:rsidP="00784C38">
      <w:pPr>
        <w:pStyle w:val="corpsdedcision"/>
        <w:tabs>
          <w:tab w:val="clear" w:pos="360"/>
        </w:tabs>
      </w:pPr>
      <w:r>
        <w:t>Monsieur Richard Poirier</w:t>
      </w:r>
      <w:r w:rsidR="00BB6D5E">
        <w:t>, le travailleur,</w:t>
      </w:r>
      <w:r w:rsidRPr="00414014">
        <w:t xml:space="preserve"> </w:t>
      </w:r>
      <w:r>
        <w:t>est pompier pour le Service sécurité incendie – Ville de Montréal</w:t>
      </w:r>
      <w:r w:rsidR="00BB6D5E">
        <w:t>, l’employeur,</w:t>
      </w:r>
      <w:r w:rsidRPr="00414014">
        <w:t xml:space="preserve"> </w:t>
      </w:r>
      <w:r w:rsidRPr="003561D7">
        <w:t xml:space="preserve">depuis </w:t>
      </w:r>
      <w:r>
        <w:t>1987</w:t>
      </w:r>
      <w:r w:rsidRPr="003561D7">
        <w:t>.</w:t>
      </w:r>
      <w:r>
        <w:t xml:space="preserve"> Il prend sa retraite en septembre 2019.</w:t>
      </w:r>
      <w:r w:rsidRPr="003561D7">
        <w:t xml:space="preserve"> </w:t>
      </w:r>
      <w:r>
        <w:t>Au cours du mois d’août 2022, le professionnel de la santé qui a charge du travailleur pose le diagnostic d’adénocarcinome de la prostate.</w:t>
      </w:r>
    </w:p>
    <w:p w14:paraId="2B628C86" w14:textId="05A07508" w:rsidR="0075058C" w:rsidRDefault="0075058C" w:rsidP="00784C38">
      <w:pPr>
        <w:pStyle w:val="corpsdedcision"/>
        <w:tabs>
          <w:tab w:val="clear" w:pos="360"/>
        </w:tabs>
      </w:pPr>
      <w:r>
        <w:t xml:space="preserve">En décembre 2022, monsieur Poirier dépose une réclamation à la </w:t>
      </w:r>
      <w:r w:rsidRPr="003517DE">
        <w:t>Commission des normes, de l’équité, de la santé et de la sécurité du travail</w:t>
      </w:r>
      <w:r>
        <w:t xml:space="preserve">. </w:t>
      </w:r>
      <w:r w:rsidRPr="003517DE">
        <w:t>À la suite d’une révision administrative</w:t>
      </w:r>
      <w:r w:rsidRPr="003517DE">
        <w:rPr>
          <w:rStyle w:val="Appelnotedebasdep"/>
        </w:rPr>
        <w:footnoteReference w:id="1"/>
      </w:r>
      <w:r w:rsidRPr="003517DE">
        <w:t xml:space="preserve">, </w:t>
      </w:r>
      <w:r>
        <w:t xml:space="preserve">la Commission accepte la réclamation de </w:t>
      </w:r>
      <w:r w:rsidRPr="003517DE">
        <w:t>m</w:t>
      </w:r>
      <w:r>
        <w:t>onsieur</w:t>
      </w:r>
      <w:r w:rsidRPr="003517DE">
        <w:t> </w:t>
      </w:r>
      <w:r>
        <w:t xml:space="preserve">Poirier, mais déclare qu’il n’a pas droit au versement de l’indemnité de remplacement du revenu puisqu’il n’est plus actif </w:t>
      </w:r>
      <w:r w:rsidR="008D66B8">
        <w:t xml:space="preserve">sur le marché du travail </w:t>
      </w:r>
      <w:r>
        <w:t xml:space="preserve">au moment </w:t>
      </w:r>
      <w:r w:rsidR="00BB6D5E">
        <w:t>de la survenance de la lésion professionnelle</w:t>
      </w:r>
      <w:r>
        <w:t xml:space="preserve">. </w:t>
      </w:r>
      <w:r w:rsidR="00BB6D5E">
        <w:t>Le travailleur</w:t>
      </w:r>
      <w:r>
        <w:t xml:space="preserve"> conteste cette décision </w:t>
      </w:r>
      <w:r w:rsidR="00BB6D5E">
        <w:t>et demande au Tribunal de déclarer qu’il a droit au versement de l’indemnité de remplacement du revenu à compter du 17 août 2022</w:t>
      </w:r>
      <w:r>
        <w:t>.</w:t>
      </w:r>
      <w:r w:rsidR="00BB6D5E">
        <w:t xml:space="preserve"> L’employeur soutien</w:t>
      </w:r>
      <w:r w:rsidR="001A1391">
        <w:t>t</w:t>
      </w:r>
      <w:r w:rsidR="00BB6D5E">
        <w:t xml:space="preserve"> que </w:t>
      </w:r>
      <w:r w:rsidR="00166A3B">
        <w:t>le travailleur n’a pas droit à cette indemnité puisqu’il est à sa retraite lorsque se manifeste sa lésion professionnelle.</w:t>
      </w:r>
    </w:p>
    <w:p w14:paraId="46E4DDAE" w14:textId="058C3D90" w:rsidR="00BB6D5E" w:rsidRDefault="00BB6D5E" w:rsidP="00784C38">
      <w:pPr>
        <w:pStyle w:val="corpsdedcision"/>
        <w:tabs>
          <w:tab w:val="clear" w:pos="360"/>
        </w:tabs>
      </w:pPr>
      <w:r>
        <w:t>À la suite d’une révision administrative</w:t>
      </w:r>
      <w:r>
        <w:rPr>
          <w:rStyle w:val="Appelnotedebasdep"/>
        </w:rPr>
        <w:footnoteReference w:id="2"/>
      </w:r>
      <w:r>
        <w:t xml:space="preserve">, la Commission </w:t>
      </w:r>
      <w:r w:rsidRPr="00B112E6">
        <w:t>détermine qu</w:t>
      </w:r>
      <w:r>
        <w:t>’elle n’a pas à se prononcer sur la capacité de travail d</w:t>
      </w:r>
      <w:r w:rsidRPr="00B112E6">
        <w:t xml:space="preserve">e </w:t>
      </w:r>
      <w:r>
        <w:t>monsieur Poirier</w:t>
      </w:r>
      <w:r w:rsidRPr="00B112E6">
        <w:t xml:space="preserve"> </w:t>
      </w:r>
      <w:r>
        <w:t>puisque celui-ci n’a pas droit aux indemnités de remplacement du revenu</w:t>
      </w:r>
      <w:r w:rsidRPr="00BB6D5E">
        <w:rPr>
          <w:rFonts w:cs="Arial"/>
        </w:rPr>
        <w:t xml:space="preserve">. </w:t>
      </w:r>
      <w:r>
        <w:rPr>
          <w:rFonts w:cs="Arial"/>
        </w:rPr>
        <w:t>Le travailleur</w:t>
      </w:r>
      <w:r w:rsidRPr="00BB6D5E">
        <w:rPr>
          <w:rFonts w:cs="Arial"/>
        </w:rPr>
        <w:t xml:space="preserve"> conteste cette décision et demande de conclure qu</w:t>
      </w:r>
      <w:r>
        <w:rPr>
          <w:rFonts w:cs="Arial"/>
        </w:rPr>
        <w:t>’il</w:t>
      </w:r>
      <w:r w:rsidRPr="00BB6D5E">
        <w:rPr>
          <w:rFonts w:cs="Arial"/>
        </w:rPr>
        <w:t xml:space="preserve"> </w:t>
      </w:r>
      <w:r>
        <w:t xml:space="preserve">n’est pas capable d’exercer son emploi prélésionnel et qu’il a droit </w:t>
      </w:r>
      <w:r w:rsidR="004F342B">
        <w:t xml:space="preserve">au versement d’une </w:t>
      </w:r>
      <w:r>
        <w:t>indemnité de remplacement du revenu</w:t>
      </w:r>
      <w:r w:rsidRPr="00BB6D5E">
        <w:rPr>
          <w:rFonts w:cs="Arial"/>
        </w:rPr>
        <w:t>.</w:t>
      </w:r>
      <w:r w:rsidR="004F342B">
        <w:rPr>
          <w:rFonts w:cs="Arial"/>
        </w:rPr>
        <w:t xml:space="preserve"> L’employeur demande le maintien de la décision.</w:t>
      </w:r>
    </w:p>
    <w:p w14:paraId="65510395" w14:textId="77777777" w:rsidR="004F342B" w:rsidRPr="000548CB" w:rsidRDefault="004F342B" w:rsidP="00E25236">
      <w:pPr>
        <w:pStyle w:val="corpsdedcision"/>
        <w:tabs>
          <w:tab w:val="clear" w:pos="360"/>
        </w:tabs>
        <w:spacing w:after="240"/>
      </w:pPr>
      <w:r w:rsidRPr="008032BF">
        <w:t>Pour</w:t>
      </w:r>
      <w:r>
        <w:rPr>
          <w:rFonts w:cs="Arial"/>
          <w:color w:val="000000"/>
          <w:szCs w:val="24"/>
        </w:rPr>
        <w:t xml:space="preserve"> </w:t>
      </w:r>
      <w:r w:rsidRPr="00784C38">
        <w:rPr>
          <w:rFonts w:cs="Arial"/>
        </w:rPr>
        <w:t>disposer</w:t>
      </w:r>
      <w:r>
        <w:rPr>
          <w:rFonts w:cs="Arial"/>
          <w:color w:val="000000"/>
          <w:szCs w:val="24"/>
        </w:rPr>
        <w:t xml:space="preserve"> du présent dossier, l</w:t>
      </w:r>
      <w:r w:rsidRPr="00C615BD">
        <w:rPr>
          <w:rFonts w:cs="Arial"/>
          <w:color w:val="000000"/>
          <w:szCs w:val="24"/>
        </w:rPr>
        <w:t xml:space="preserve">e </w:t>
      </w:r>
      <w:r w:rsidRPr="001B0166">
        <w:t>Tribunal</w:t>
      </w:r>
      <w:r w:rsidRPr="00C615BD">
        <w:rPr>
          <w:rFonts w:cs="Arial"/>
          <w:color w:val="000000"/>
          <w:szCs w:val="24"/>
        </w:rPr>
        <w:t xml:space="preserve"> doit </w:t>
      </w:r>
      <w:r w:rsidRPr="000548CB">
        <w:rPr>
          <w:rFonts w:cs="Arial"/>
          <w:color w:val="000000"/>
          <w:shd w:val="clear" w:color="auto" w:fill="FFFFFF"/>
        </w:rPr>
        <w:t>répondre aux questions suivantes</w:t>
      </w:r>
      <w:r w:rsidRPr="000548CB">
        <w:t> :</w:t>
      </w:r>
    </w:p>
    <w:p w14:paraId="2DF8383B" w14:textId="2615794A" w:rsidR="004F342B" w:rsidRDefault="004F342B" w:rsidP="00E25236">
      <w:pPr>
        <w:pStyle w:val="Paragraphedeliste"/>
        <w:numPr>
          <w:ilvl w:val="0"/>
          <w:numId w:val="12"/>
        </w:numPr>
        <w:spacing w:after="240"/>
        <w:ind w:left="714" w:hanging="357"/>
        <w:contextualSpacing w:val="0"/>
        <w:jc w:val="both"/>
      </w:pPr>
      <w:r>
        <w:t xml:space="preserve">Est-ce que monsieur Poirier a droit de recevoir des indemnités de remplacement du revenu à la suite de sa lésion professionnelle? Pour les motifs qui suivent, le Tribunal conclut que </w:t>
      </w:r>
      <w:r w:rsidR="00166A3B">
        <w:t>le travailleur a droit à l’indemnité de remplacement du revenu.</w:t>
      </w:r>
    </w:p>
    <w:p w14:paraId="62D534F4" w14:textId="55F74CB2" w:rsidR="004F342B" w:rsidRDefault="004F342B" w:rsidP="004F342B">
      <w:pPr>
        <w:pStyle w:val="Paragraphedeliste"/>
        <w:numPr>
          <w:ilvl w:val="0"/>
          <w:numId w:val="12"/>
        </w:numPr>
        <w:spacing w:after="360"/>
        <w:ind w:left="714" w:hanging="357"/>
        <w:contextualSpacing w:val="0"/>
        <w:jc w:val="both"/>
      </w:pPr>
      <w:r w:rsidRPr="00B51BBF">
        <w:t xml:space="preserve">Est-ce que </w:t>
      </w:r>
      <w:r w:rsidR="0049013C">
        <w:t xml:space="preserve">la Commission devait se prononcer sur la capacité de </w:t>
      </w:r>
      <w:r w:rsidRPr="00B51BBF">
        <w:t>m</w:t>
      </w:r>
      <w:r>
        <w:t>onsieur</w:t>
      </w:r>
      <w:r w:rsidRPr="00B51BBF">
        <w:t> </w:t>
      </w:r>
      <w:r>
        <w:t>Poirier</w:t>
      </w:r>
      <w:r w:rsidRPr="00B51BBF">
        <w:t xml:space="preserve"> d’exercer son emploi? Pour les raisons qui suivent, le Tribunal </w:t>
      </w:r>
      <w:r w:rsidR="00166A3B">
        <w:t xml:space="preserve">répond par l’affirmative et retourne </w:t>
      </w:r>
      <w:r w:rsidR="00166A3B" w:rsidRPr="004E3DF3">
        <w:t xml:space="preserve">le </w:t>
      </w:r>
      <w:r w:rsidR="00166A3B" w:rsidRPr="00DD795B">
        <w:rPr>
          <w:rFonts w:cs="Arial"/>
          <w:color w:val="000000"/>
          <w:shd w:val="clear" w:color="auto" w:fill="FFFFFF"/>
        </w:rPr>
        <w:t>dossier</w:t>
      </w:r>
      <w:r w:rsidR="00166A3B" w:rsidRPr="004E3DF3">
        <w:t xml:space="preserve"> à la Commission pour qu’elle se prononce sur la capacité d</w:t>
      </w:r>
      <w:r w:rsidR="00166A3B">
        <w:t>u travailleur</w:t>
      </w:r>
      <w:r w:rsidR="00166A3B" w:rsidRPr="004E3DF3">
        <w:t xml:space="preserve"> à exercer son emploi</w:t>
      </w:r>
      <w:r w:rsidR="00166A3B">
        <w:t xml:space="preserve"> ou qu’elle détermine un emploi convenable.</w:t>
      </w:r>
    </w:p>
    <w:p w14:paraId="0246720D" w14:textId="77777777" w:rsidR="00082A97" w:rsidRDefault="00082A97" w:rsidP="00F10236">
      <w:pPr>
        <w:pStyle w:val="corpsdedcision"/>
        <w:numPr>
          <w:ilvl w:val="0"/>
          <w:numId w:val="0"/>
        </w:numPr>
        <w:rPr>
          <w:b/>
          <w:bCs/>
          <w:u w:val="single"/>
        </w:rPr>
      </w:pPr>
      <w:bookmarkStart w:id="11" w:name="supprimer_analyse"/>
      <w:r w:rsidRPr="00B51F99">
        <w:rPr>
          <w:b/>
          <w:bCs/>
          <w:u w:val="single"/>
        </w:rPr>
        <w:t>L</w:t>
      </w:r>
      <w:r>
        <w:rPr>
          <w:b/>
          <w:bCs/>
          <w:u w:val="single"/>
        </w:rPr>
        <w:t>’ANALYSE</w:t>
      </w:r>
    </w:p>
    <w:bookmarkEnd w:id="11"/>
    <w:p w14:paraId="5634CE46" w14:textId="70663848" w:rsidR="00DE62F9" w:rsidRPr="00DE62F9" w:rsidRDefault="00D925A8" w:rsidP="00DE62F9">
      <w:pPr>
        <w:pStyle w:val="corpsdedcision"/>
        <w:tabs>
          <w:tab w:val="clear" w:pos="360"/>
        </w:tabs>
      </w:pPr>
      <w:r>
        <w:t>Dans sa décision</w:t>
      </w:r>
      <w:r>
        <w:rPr>
          <w:rStyle w:val="Appelnotedebasdep"/>
        </w:rPr>
        <w:footnoteReference w:id="3"/>
      </w:r>
      <w:r>
        <w:t>, l</w:t>
      </w:r>
      <w:r w:rsidR="00DE62F9">
        <w:t xml:space="preserve">a Commission reconnaît que monsieur Poirier </w:t>
      </w:r>
      <w:r w:rsidR="00DE62F9">
        <w:rPr>
          <w:rFonts w:cs="Arial"/>
          <w:color w:val="000000"/>
          <w:szCs w:val="24"/>
        </w:rPr>
        <w:t>est atteint d’une maladie professionnelle s’étant manifestée le 1</w:t>
      </w:r>
      <w:r w:rsidR="00831A07">
        <w:rPr>
          <w:rFonts w:cs="Arial"/>
          <w:color w:val="000000"/>
          <w:szCs w:val="24"/>
        </w:rPr>
        <w:t>7</w:t>
      </w:r>
      <w:r w:rsidR="00DE62F9">
        <w:rPr>
          <w:rFonts w:cs="Arial"/>
          <w:color w:val="000000"/>
          <w:szCs w:val="24"/>
        </w:rPr>
        <w:t> août 2022. Cependant, puisqu’il n’est plus actif sur le marché du travail au moment de la survenance de la lésion professionnelle, la Commission déclare que le travailleur n’a pas droit</w:t>
      </w:r>
      <w:r>
        <w:rPr>
          <w:rFonts w:cs="Arial"/>
          <w:color w:val="000000"/>
          <w:szCs w:val="24"/>
        </w:rPr>
        <w:t xml:space="preserve"> à</w:t>
      </w:r>
      <w:r w:rsidR="00DE62F9">
        <w:rPr>
          <w:rFonts w:cs="Arial"/>
          <w:color w:val="000000"/>
          <w:szCs w:val="24"/>
        </w:rPr>
        <w:t xml:space="preserve"> </w:t>
      </w:r>
      <w:r>
        <w:rPr>
          <w:rFonts w:cs="Arial"/>
          <w:color w:val="000000"/>
          <w:szCs w:val="24"/>
        </w:rPr>
        <w:t xml:space="preserve">l’indemnité de remplacement du revenu </w:t>
      </w:r>
      <w:r w:rsidR="00DE62F9">
        <w:rPr>
          <w:rFonts w:cs="Arial"/>
          <w:color w:val="000000"/>
          <w:szCs w:val="24"/>
        </w:rPr>
        <w:t xml:space="preserve">prévue par la </w:t>
      </w:r>
      <w:r w:rsidR="00DE62F9" w:rsidRPr="00DE62F9">
        <w:rPr>
          <w:rFonts w:cs="Arial"/>
          <w:i/>
          <w:iCs/>
          <w:color w:val="000000"/>
          <w:szCs w:val="24"/>
        </w:rPr>
        <w:t>Loi sur les accidents du travail et les maladies professionnelles</w:t>
      </w:r>
      <w:r w:rsidR="00DE62F9" w:rsidRPr="00DE62F9">
        <w:rPr>
          <w:rStyle w:val="Appelnotedebasdep"/>
          <w:rFonts w:cs="Arial"/>
          <w:color w:val="000000"/>
          <w:szCs w:val="24"/>
        </w:rPr>
        <w:footnoteReference w:id="4"/>
      </w:r>
      <w:r w:rsidR="00DE62F9">
        <w:rPr>
          <w:rFonts w:cs="Arial"/>
          <w:color w:val="000000"/>
          <w:szCs w:val="24"/>
        </w:rPr>
        <w:t>.</w:t>
      </w:r>
    </w:p>
    <w:p w14:paraId="02D6DDD5" w14:textId="22E7468A" w:rsidR="00DE62F9" w:rsidRPr="00C46D11" w:rsidRDefault="00C46D11" w:rsidP="00E25236">
      <w:pPr>
        <w:pStyle w:val="corpsdedcision"/>
        <w:keepNext/>
        <w:keepLines/>
        <w:tabs>
          <w:tab w:val="clear" w:pos="360"/>
        </w:tabs>
        <w:spacing w:after="240"/>
      </w:pPr>
      <w:r>
        <w:rPr>
          <w:rFonts w:cs="Arial"/>
          <w:color w:val="000000"/>
          <w:szCs w:val="24"/>
        </w:rPr>
        <w:t xml:space="preserve">La preuve démontre qu’en effet, monsieur Poirier a pris sa retraite le </w:t>
      </w:r>
      <w:r w:rsidR="00A25418">
        <w:rPr>
          <w:rFonts w:cs="Arial"/>
          <w:color w:val="000000"/>
          <w:szCs w:val="24"/>
        </w:rPr>
        <w:t>1</w:t>
      </w:r>
      <w:r w:rsidR="00A25418" w:rsidRPr="00C46D11">
        <w:rPr>
          <w:rFonts w:cs="Arial"/>
          <w:color w:val="000000"/>
          <w:szCs w:val="24"/>
          <w:vertAlign w:val="superscript"/>
        </w:rPr>
        <w:t>er</w:t>
      </w:r>
      <w:r w:rsidR="00A25418">
        <w:rPr>
          <w:rFonts w:cs="Arial"/>
          <w:color w:val="000000"/>
          <w:szCs w:val="24"/>
        </w:rPr>
        <w:t> septembre </w:t>
      </w:r>
      <w:r>
        <w:rPr>
          <w:rFonts w:cs="Arial"/>
          <w:color w:val="000000"/>
          <w:szCs w:val="24"/>
        </w:rPr>
        <w:t>2019, soit près de trois ans avant la manifestation de sa lésion professionnelle. Le droit à l’indemnité de remplacement du revenu à la suite d’une lésion professionnelle est prévu par les dispositions suivantes de la Loi :</w:t>
      </w:r>
    </w:p>
    <w:p w14:paraId="62DB64B9" w14:textId="086B0197" w:rsidR="00C46D11" w:rsidRDefault="00C46D11" w:rsidP="00E25236">
      <w:pPr>
        <w:pStyle w:val="citation"/>
        <w:spacing w:after="120"/>
      </w:pPr>
      <w:r w:rsidRPr="00C46D11">
        <w:rPr>
          <w:b/>
          <w:bCs/>
        </w:rPr>
        <w:t>44.</w:t>
      </w:r>
      <w:r>
        <w:t xml:space="preserve"> Le travailleur victime d’une lésion professionnelle a droit à une indemnité de remplacement du revenu s’il devient incapable d’exercer son emploi en raison de cette lésion.</w:t>
      </w:r>
    </w:p>
    <w:p w14:paraId="54BCE77B" w14:textId="4E6A9FDD" w:rsidR="00C46D11" w:rsidRDefault="00C46D11" w:rsidP="00E25236">
      <w:pPr>
        <w:pStyle w:val="citation"/>
        <w:spacing w:after="120"/>
      </w:pPr>
      <w:r>
        <w:t>Le travailleur qui n’a plus d’emploi lorsque se manifeste sa lésion professionnelle a droit à cette indemnité s’il devient incapable d’exercer l’emploi qu’il occupait habituellement.</w:t>
      </w:r>
      <w:r w:rsidR="009830C2">
        <w:t xml:space="preserve"> Cet emploi devient, aux fins de l’application de la présente loi, son emploi.</w:t>
      </w:r>
    </w:p>
    <w:p w14:paraId="36E455D1" w14:textId="4FCFEA33" w:rsidR="00C46D11" w:rsidRPr="00E25236" w:rsidRDefault="00C46D11" w:rsidP="00E25236">
      <w:pPr>
        <w:pStyle w:val="citation"/>
        <w:spacing w:after="120"/>
        <w:rPr>
          <w:sz w:val="24"/>
          <w:szCs w:val="24"/>
        </w:rPr>
      </w:pPr>
      <w:r w:rsidRPr="00E25236">
        <w:rPr>
          <w:sz w:val="24"/>
          <w:szCs w:val="24"/>
        </w:rPr>
        <w:t>[…]</w:t>
      </w:r>
    </w:p>
    <w:p w14:paraId="28B05817" w14:textId="3C183631" w:rsidR="00C46D11" w:rsidRDefault="00C46D11" w:rsidP="00E25236">
      <w:pPr>
        <w:pStyle w:val="citation"/>
        <w:spacing w:after="360"/>
      </w:pPr>
      <w:r w:rsidRPr="00C46D11">
        <w:rPr>
          <w:b/>
          <w:bCs/>
        </w:rPr>
        <w:t>46.</w:t>
      </w:r>
      <w:r>
        <w:t xml:space="preserve"> Le travailleur est présumé incapable d’exercer son emploi tant que la lésion professionnelle dont il a été victime n’est pas consolidée.</w:t>
      </w:r>
    </w:p>
    <w:p w14:paraId="0CA53B30" w14:textId="5D2DDD0B" w:rsidR="00C46D11" w:rsidRDefault="00C46D11" w:rsidP="00B52F75">
      <w:pPr>
        <w:pStyle w:val="corpsdedcision"/>
        <w:tabs>
          <w:tab w:val="clear" w:pos="360"/>
        </w:tabs>
      </w:pPr>
      <w:r>
        <w:t xml:space="preserve">L’employeur </w:t>
      </w:r>
      <w:r w:rsidR="001A1391">
        <w:t>allègue</w:t>
      </w:r>
      <w:r w:rsidR="009830C2">
        <w:t xml:space="preserve"> qu’en prenant définitivement sa retraite du métier de pompier, monsieur Poirier n’a plus d’emploi qu’il occupait habituellement. </w:t>
      </w:r>
      <w:r w:rsidR="009D357B">
        <w:t xml:space="preserve">Pour fonder sa prétention, </w:t>
      </w:r>
      <w:r w:rsidR="001A1391">
        <w:t>i</w:t>
      </w:r>
      <w:r w:rsidR="009830C2">
        <w:t>l s’attarde sur les termes «</w:t>
      </w:r>
      <w:r w:rsidR="00E25236">
        <w:t> </w:t>
      </w:r>
      <w:r w:rsidR="009830C2" w:rsidRPr="009830C2">
        <w:rPr>
          <w:rStyle w:val="Citationintgre"/>
        </w:rPr>
        <w:t xml:space="preserve">l’emploi qu’il </w:t>
      </w:r>
      <w:r w:rsidR="009D357B">
        <w:rPr>
          <w:rStyle w:val="Citationintgre"/>
        </w:rPr>
        <w:t>occupait</w:t>
      </w:r>
      <w:r w:rsidR="009D357B" w:rsidRPr="009830C2">
        <w:rPr>
          <w:rStyle w:val="Citationintgre"/>
        </w:rPr>
        <w:t xml:space="preserve"> </w:t>
      </w:r>
      <w:r w:rsidR="009830C2" w:rsidRPr="009830C2">
        <w:rPr>
          <w:rStyle w:val="Citationintgre"/>
        </w:rPr>
        <w:t>habituellement</w:t>
      </w:r>
      <w:r w:rsidR="00E25236">
        <w:t> </w:t>
      </w:r>
      <w:r w:rsidR="009830C2">
        <w:t xml:space="preserve">» </w:t>
      </w:r>
      <w:r w:rsidR="009D357B">
        <w:t xml:space="preserve">que l’on retrouve à l’alinéa 2 de l’article 44, </w:t>
      </w:r>
      <w:r w:rsidR="009830C2">
        <w:t xml:space="preserve">et </w:t>
      </w:r>
      <w:r w:rsidR="00DF36D7">
        <w:t>mentionne que ces termes ne sont pas autrement précisés par la Loi</w:t>
      </w:r>
      <w:r w:rsidR="009830C2">
        <w:t xml:space="preserve">. Il </w:t>
      </w:r>
      <w:r>
        <w:t>invite</w:t>
      </w:r>
      <w:r w:rsidR="009830C2">
        <w:t xml:space="preserve"> ainsi</w:t>
      </w:r>
      <w:r>
        <w:t xml:space="preserve"> le Tribunal </w:t>
      </w:r>
      <w:r w:rsidR="001A1391">
        <w:t xml:space="preserve">à </w:t>
      </w:r>
      <w:r w:rsidR="00DF36D7">
        <w:t>se tourner vers les débats parlementaires de l’étude détaillée du projet de loi 42 qui ont mené à l’adoption de la Loi</w:t>
      </w:r>
      <w:r w:rsidR="009D357B">
        <w:t xml:space="preserve"> </w:t>
      </w:r>
      <w:r w:rsidR="00832D6E">
        <w:t>en 1985</w:t>
      </w:r>
      <w:r w:rsidR="000C6AA9">
        <w:rPr>
          <w:rStyle w:val="Appelnotedebasdep"/>
        </w:rPr>
        <w:footnoteReference w:id="5"/>
      </w:r>
      <w:r w:rsidR="00DF36D7">
        <w:t>.</w:t>
      </w:r>
    </w:p>
    <w:p w14:paraId="41A49EC2" w14:textId="677EA3A0" w:rsidR="00DF36D7" w:rsidRDefault="001268DD" w:rsidP="00B664E6">
      <w:pPr>
        <w:pStyle w:val="corpsdedcision"/>
        <w:tabs>
          <w:tab w:val="clear" w:pos="360"/>
        </w:tabs>
      </w:pPr>
      <w:r>
        <w:t xml:space="preserve">Sans reprendre </w:t>
      </w:r>
      <w:r w:rsidR="00B664E6">
        <w:t xml:space="preserve">tous </w:t>
      </w:r>
      <w:r>
        <w:t>les extraits de ces débats</w:t>
      </w:r>
      <w:r w:rsidR="00266834">
        <w:t xml:space="preserve"> parlementaires</w:t>
      </w:r>
      <w:r w:rsidR="00B664E6">
        <w:t xml:space="preserve"> déposés par</w:t>
      </w:r>
      <w:r>
        <w:t xml:space="preserve"> l’employeur</w:t>
      </w:r>
      <w:r w:rsidR="00B664E6">
        <w:t>, celui-ci</w:t>
      </w:r>
      <w:r>
        <w:t xml:space="preserve"> </w:t>
      </w:r>
      <w:r w:rsidR="00B664E6">
        <w:t xml:space="preserve">les </w:t>
      </w:r>
      <w:r>
        <w:t xml:space="preserve">résume </w:t>
      </w:r>
      <w:r w:rsidR="00831A07">
        <w:t xml:space="preserve">en </w:t>
      </w:r>
      <w:r w:rsidR="000C6AA9">
        <w:t xml:space="preserve">soulignant que l’objectif du législateur </w:t>
      </w:r>
      <w:r w:rsidR="00266834">
        <w:t xml:space="preserve">serait </w:t>
      </w:r>
      <w:r w:rsidR="000C6AA9">
        <w:t>de remplacer «</w:t>
      </w:r>
      <w:r w:rsidR="00E25236">
        <w:t> </w:t>
      </w:r>
      <w:r w:rsidR="000C6AA9" w:rsidRPr="000C6AA9">
        <w:rPr>
          <w:rStyle w:val="Citationintgre"/>
        </w:rPr>
        <w:t>le revenu d’une personne pour la période de temps pendant laquelle, normalement, elle en aurait gagné un. Quand la période de temps pendant laquelle elle n’aurait plus gagné de revenu cesse, il me semble que cela va de soi que l’indemnité de remplacement du revenu cesse également</w:t>
      </w:r>
      <w:r w:rsidR="00E25236">
        <w:t> </w:t>
      </w:r>
      <w:r w:rsidR="000C6AA9">
        <w:t>»</w:t>
      </w:r>
      <w:r w:rsidR="00692C16">
        <w:rPr>
          <w:rStyle w:val="Appelnotedebasdep"/>
        </w:rPr>
        <w:footnoteReference w:id="6"/>
      </w:r>
      <w:r w:rsidR="000C6AA9">
        <w:t>.</w:t>
      </w:r>
    </w:p>
    <w:p w14:paraId="4CC16173" w14:textId="3090A23A" w:rsidR="00B664E6" w:rsidRDefault="00B664E6" w:rsidP="00BC6870">
      <w:pPr>
        <w:pStyle w:val="corpsdedcision"/>
        <w:tabs>
          <w:tab w:val="clear" w:pos="360"/>
        </w:tabs>
      </w:pPr>
      <w:r>
        <w:t>L’employeur souligne également dans ces débats que «</w:t>
      </w:r>
      <w:r w:rsidR="00E25236">
        <w:t> </w:t>
      </w:r>
      <w:r w:rsidRPr="00B664E6">
        <w:rPr>
          <w:rStyle w:val="Citationintgre"/>
        </w:rPr>
        <w:t>l</w:t>
      </w:r>
      <w:r w:rsidR="00E25236">
        <w:rPr>
          <w:rStyle w:val="Citationintgre"/>
        </w:rPr>
        <w:t>’</w:t>
      </w:r>
      <w:r w:rsidRPr="00B664E6">
        <w:rPr>
          <w:rStyle w:val="Citationintgre"/>
        </w:rPr>
        <w:t>objectif fondamental, encore une fois, quand on se réfère à cette indemnité de remplacement du revenu, c</w:t>
      </w:r>
      <w:r w:rsidR="00E25236">
        <w:rPr>
          <w:rStyle w:val="Citationintgre"/>
        </w:rPr>
        <w:t>’</w:t>
      </w:r>
      <w:r w:rsidRPr="00B664E6">
        <w:rPr>
          <w:rStyle w:val="Citationintgre"/>
        </w:rPr>
        <w:t>est de faire en sorte que l</w:t>
      </w:r>
      <w:r w:rsidR="00E25236">
        <w:rPr>
          <w:rStyle w:val="Citationintgre"/>
        </w:rPr>
        <w:t>’</w:t>
      </w:r>
      <w:r w:rsidRPr="00B664E6">
        <w:rPr>
          <w:rStyle w:val="Citationintgre"/>
        </w:rPr>
        <w:t>accidenté soit, économiquement parlant, dans la même situation que celle qui prévalait dans son cas avant son accident</w:t>
      </w:r>
      <w:r w:rsidR="00E25236">
        <w:t> </w:t>
      </w:r>
      <w:r>
        <w:t>»</w:t>
      </w:r>
      <w:r w:rsidR="00692C16">
        <w:rPr>
          <w:rStyle w:val="Appelnotedebasdep"/>
        </w:rPr>
        <w:footnoteReference w:id="7"/>
      </w:r>
      <w:r>
        <w:t>.</w:t>
      </w:r>
    </w:p>
    <w:p w14:paraId="31EF320C" w14:textId="6C4B1414" w:rsidR="00B664E6" w:rsidRDefault="000B6091" w:rsidP="001E339B">
      <w:pPr>
        <w:pStyle w:val="corpsdedcision"/>
        <w:tabs>
          <w:tab w:val="clear" w:pos="360"/>
        </w:tabs>
      </w:pPr>
      <w:r>
        <w:t>Il</w:t>
      </w:r>
      <w:r w:rsidR="00B664E6">
        <w:t xml:space="preserve"> est donc d’avis que de donner droit à la demande du travailleur ne fait pas en sorte qu’il soit, économiquement parlant, replac</w:t>
      </w:r>
      <w:r w:rsidR="00C33F16">
        <w:t>é</w:t>
      </w:r>
      <w:r w:rsidR="00B664E6">
        <w:t xml:space="preserve"> dans la même situation que celle qui prévalait dans son cas avant son accident. Au contraire, cela lui permettrait plutôt de vivre un enrichissement injustifié, aux frais du régime public d’indemnisation</w:t>
      </w:r>
      <w:r w:rsidR="00692C16">
        <w:t>.</w:t>
      </w:r>
    </w:p>
    <w:p w14:paraId="2475FFCC" w14:textId="7A24A56E" w:rsidR="00782D19" w:rsidRDefault="00782D19" w:rsidP="00B664E6">
      <w:pPr>
        <w:pStyle w:val="corpsdedcision"/>
        <w:tabs>
          <w:tab w:val="clear" w:pos="360"/>
        </w:tabs>
      </w:pPr>
      <w:r>
        <w:t xml:space="preserve">Le Tribunal conclut que la retraite prise par monsieur Poirier, antérieurement à la manifestation de sa lésion professionnelle, ne l’empêche pas </w:t>
      </w:r>
      <w:r w:rsidR="00266834">
        <w:t>d’avoir droit à l’indemnité de remplacement du revenu.</w:t>
      </w:r>
      <w:r>
        <w:t xml:space="preserve"> </w:t>
      </w:r>
    </w:p>
    <w:p w14:paraId="4688BD45" w14:textId="5518E99D" w:rsidR="001F3EC5" w:rsidRDefault="00B52F91" w:rsidP="00E25236">
      <w:pPr>
        <w:pStyle w:val="corpsdedcision"/>
        <w:tabs>
          <w:tab w:val="clear" w:pos="360"/>
        </w:tabs>
        <w:spacing w:after="240"/>
      </w:pPr>
      <w:r>
        <w:t xml:space="preserve">Le Tribunal ne retient pas les arguments de l’employeur. </w:t>
      </w:r>
      <w:r w:rsidR="001F3EC5">
        <w:t>D’</w:t>
      </w:r>
      <w:r w:rsidR="00374B9B">
        <w:t>une</w:t>
      </w:r>
      <w:r w:rsidR="001F3EC5">
        <w:t xml:space="preserve"> part, il est</w:t>
      </w:r>
      <w:r w:rsidR="00B3273E">
        <w:t xml:space="preserve"> bien</w:t>
      </w:r>
      <w:r w:rsidR="001F3EC5">
        <w:t xml:space="preserve"> établi que l</w:t>
      </w:r>
      <w:r w:rsidR="001F3EC5" w:rsidRPr="00790F19">
        <w:t xml:space="preserve">’indemnité de remplacement du revenu </w:t>
      </w:r>
      <w:r>
        <w:t>vise à</w:t>
      </w:r>
      <w:r w:rsidR="001F3EC5" w:rsidRPr="00790F19">
        <w:t xml:space="preserve"> compenser la perte de capacité de gain et non la perte effective de</w:t>
      </w:r>
      <w:r w:rsidR="001F3EC5">
        <w:t xml:space="preserve"> </w:t>
      </w:r>
      <w:r w:rsidR="001F3EC5" w:rsidRPr="00790F19">
        <w:t>revenu</w:t>
      </w:r>
      <w:r w:rsidR="00F44376">
        <w:t>. Ainsi, dès 1990, la Commission d’appel en matière de lésions professionnelles écrit</w:t>
      </w:r>
      <w:r w:rsidR="00F44376">
        <w:rPr>
          <w:rStyle w:val="Appelnotedebasdep"/>
        </w:rPr>
        <w:footnoteReference w:id="8"/>
      </w:r>
      <w:r w:rsidR="00F44376">
        <w:t> :</w:t>
      </w:r>
    </w:p>
    <w:p w14:paraId="58BD72BE" w14:textId="4389A8A0" w:rsidR="00A3054C" w:rsidRPr="00C46D11" w:rsidRDefault="00A3054C" w:rsidP="00E25236">
      <w:pPr>
        <w:pStyle w:val="citation"/>
        <w:spacing w:after="120"/>
      </w:pPr>
      <w:r w:rsidRPr="00A3054C">
        <w:t>Il est exact que le travailleur a bénéficié pour la période du 22 juillet 1986 au 29 janvier 1987 d</w:t>
      </w:r>
      <w:r w:rsidR="00E25236">
        <w:t>’</w:t>
      </w:r>
      <w:r w:rsidRPr="00A3054C">
        <w:t>un revenu supérieur à celui qu</w:t>
      </w:r>
      <w:r w:rsidR="00E25236">
        <w:t>’</w:t>
      </w:r>
      <w:r w:rsidRPr="00A3054C">
        <w:t>il aurait gagné sur le marché du travail et que tel n</w:t>
      </w:r>
      <w:r w:rsidR="00E25236">
        <w:t>’</w:t>
      </w:r>
      <w:r w:rsidRPr="00A3054C">
        <w:t>est pas le but de la Loi sur les accidents du travail et les maladies professionnelles (L.R.Q., c. A-3.001) comme le précise l</w:t>
      </w:r>
      <w:r w:rsidR="00E25236">
        <w:t>’</w:t>
      </w:r>
      <w:r w:rsidRPr="00A3054C">
        <w:t xml:space="preserve">article 1 de cette </w:t>
      </w:r>
      <w:r w:rsidR="004228A0" w:rsidRPr="00A3054C">
        <w:t>loi</w:t>
      </w:r>
      <w:r w:rsidR="004228A0">
        <w:t xml:space="preserve"> : </w:t>
      </w:r>
      <w:r w:rsidRPr="00F810A0">
        <w:rPr>
          <w:sz w:val="24"/>
          <w:szCs w:val="24"/>
        </w:rPr>
        <w:t>[…]</w:t>
      </w:r>
    </w:p>
    <w:p w14:paraId="3304C2E1" w14:textId="39521F86" w:rsidR="00F44376" w:rsidRPr="001F663F" w:rsidRDefault="00F44376" w:rsidP="00E25236">
      <w:pPr>
        <w:pStyle w:val="citation"/>
        <w:spacing w:after="360"/>
      </w:pPr>
      <w:r w:rsidRPr="00F44376">
        <w:t>Le but de cet article consiste à compenser un travailleur pour les conséquences dommageables entraînées par une</w:t>
      </w:r>
      <w:r w:rsidRPr="001F663F">
        <w:t xml:space="preserve"> </w:t>
      </w:r>
      <w:r w:rsidRPr="00F44376">
        <w:t>lésion professionnelle. Le paiement d</w:t>
      </w:r>
      <w:r w:rsidR="00E25236">
        <w:t>’</w:t>
      </w:r>
      <w:r w:rsidRPr="00F44376">
        <w:t>une indemnité de remplacement de</w:t>
      </w:r>
      <w:r w:rsidRPr="001F663F">
        <w:t xml:space="preserve"> </w:t>
      </w:r>
      <w:r w:rsidRPr="00F44376">
        <w:t>revenu est une modalité de compensation. Si cette compensation jointe à d</w:t>
      </w:r>
      <w:r w:rsidR="00E25236">
        <w:t>’</w:t>
      </w:r>
      <w:r w:rsidRPr="00F44376">
        <w:t>autres revenus du travail résulte en un revenu supérieur à celui gagné au travail, la Commission d</w:t>
      </w:r>
      <w:r w:rsidR="00E25236">
        <w:t>’</w:t>
      </w:r>
      <w:r w:rsidRPr="00F44376">
        <w:t>appel n</w:t>
      </w:r>
      <w:r w:rsidR="00E25236">
        <w:t>’</w:t>
      </w:r>
      <w:r w:rsidRPr="00F44376">
        <w:t>y</w:t>
      </w:r>
      <w:r w:rsidRPr="001F663F">
        <w:t xml:space="preserve"> peut rien.</w:t>
      </w:r>
    </w:p>
    <w:p w14:paraId="4740534A" w14:textId="50FDC005" w:rsidR="00766C2C" w:rsidRDefault="00782D19" w:rsidP="00E25236">
      <w:pPr>
        <w:pStyle w:val="corpsdedcision"/>
        <w:tabs>
          <w:tab w:val="clear" w:pos="360"/>
        </w:tabs>
        <w:spacing w:after="240"/>
      </w:pPr>
      <w:r>
        <w:t>D</w:t>
      </w:r>
      <w:r w:rsidR="00DD77C3">
        <w:t xml:space="preserve">ans l’affaire </w:t>
      </w:r>
      <w:r w:rsidR="00DD77C3" w:rsidRPr="003A0051">
        <w:rPr>
          <w:i/>
          <w:iCs/>
        </w:rPr>
        <w:t>Leroux</w:t>
      </w:r>
      <w:r w:rsidR="00DD77C3">
        <w:t xml:space="preserve"> et </w:t>
      </w:r>
      <w:r w:rsidR="00DD77C3" w:rsidRPr="003A0051">
        <w:rPr>
          <w:i/>
          <w:iCs/>
        </w:rPr>
        <w:t>J.M. Asbestos inc</w:t>
      </w:r>
      <w:r w:rsidR="00DD77C3">
        <w:t>.</w:t>
      </w:r>
      <w:r w:rsidR="00DD77C3">
        <w:rPr>
          <w:rStyle w:val="Appelnotedebasdep"/>
        </w:rPr>
        <w:footnoteReference w:id="9"/>
      </w:r>
      <w:r w:rsidR="00DD77C3">
        <w:t xml:space="preserve">, </w:t>
      </w:r>
      <w:r w:rsidR="00A3054C">
        <w:t xml:space="preserve">la Commission d’appel en matière de lésion professionnelle </w:t>
      </w:r>
      <w:r w:rsidR="00DD77C3">
        <w:t>r</w:t>
      </w:r>
      <w:r>
        <w:t>éitère</w:t>
      </w:r>
      <w:r w:rsidR="00831A07">
        <w:t xml:space="preserve"> ce principe</w:t>
      </w:r>
      <w:r>
        <w:t> </w:t>
      </w:r>
      <w:r w:rsidR="00DD77C3">
        <w:t>:</w:t>
      </w:r>
    </w:p>
    <w:p w14:paraId="6961D88A" w14:textId="2D592665" w:rsidR="00DD77C3" w:rsidRDefault="00DD77C3" w:rsidP="00E25236">
      <w:pPr>
        <w:pStyle w:val="citation"/>
        <w:spacing w:after="120"/>
      </w:pPr>
      <w:r>
        <w:t>Le droit d’un travailleur à l’indemnité de remplacement du revenu se mesure en fonction de la capacité de celui-ci à exercer son emploi, un emploi convenable ou un emploi équivalent.</w:t>
      </w:r>
      <w:r w:rsidR="00B26009">
        <w:t xml:space="preserve"> </w:t>
      </w:r>
      <w:r>
        <w:t>C’est l’incapacité du travailleur qui donne ouverture au droit à l’indemnité de remplacement du revenu.</w:t>
      </w:r>
    </w:p>
    <w:p w14:paraId="178BAD64" w14:textId="3F7CFA57" w:rsidR="00DD77C3" w:rsidRDefault="00DD77C3" w:rsidP="00E25236">
      <w:pPr>
        <w:pStyle w:val="citation"/>
        <w:spacing w:after="360"/>
      </w:pPr>
      <w:r>
        <w:t>Donc, le fait qu’un travailleur ait pris sa retraite, ait été mis à pied ou ait abandonné son emploi ne peut le priver du droit à l’indemnité de remplacement du revenu s’il devient incapable d’exercer l’emploi qu’il occupait habituellement, tel que le prévoit le dernier alinéa de l’article 44</w:t>
      </w:r>
      <w:r w:rsidR="00827FFB">
        <w:t> :</w:t>
      </w:r>
      <w:r>
        <w:t xml:space="preserve"> </w:t>
      </w:r>
      <w:r w:rsidRPr="00E25236">
        <w:rPr>
          <w:sz w:val="24"/>
          <w:szCs w:val="24"/>
        </w:rPr>
        <w:t>[…]</w:t>
      </w:r>
    </w:p>
    <w:p w14:paraId="31E2DE71" w14:textId="27204FB1" w:rsidR="003406EE" w:rsidRDefault="00782D19" w:rsidP="003A45BE">
      <w:pPr>
        <w:pStyle w:val="corpsdedcision"/>
        <w:tabs>
          <w:tab w:val="clear" w:pos="360"/>
        </w:tabs>
        <w:spacing w:after="240"/>
      </w:pPr>
      <w:r>
        <w:t>En 2001, l</w:t>
      </w:r>
      <w:r w:rsidR="003406EE">
        <w:t xml:space="preserve">a Cour d’appel </w:t>
      </w:r>
      <w:r>
        <w:t>du Québec maintient</w:t>
      </w:r>
      <w:r w:rsidR="003406EE">
        <w:t xml:space="preserve"> cette interprétation dans l’affaire </w:t>
      </w:r>
      <w:r w:rsidR="003406EE" w:rsidRPr="00A3054C">
        <w:rPr>
          <w:i/>
          <w:iCs/>
        </w:rPr>
        <w:t>Parent</w:t>
      </w:r>
      <w:r w:rsidR="003406EE">
        <w:t xml:space="preserve"> c. </w:t>
      </w:r>
      <w:r w:rsidR="003406EE" w:rsidRPr="00A3054C">
        <w:rPr>
          <w:i/>
          <w:iCs/>
        </w:rPr>
        <w:t>Viens</w:t>
      </w:r>
      <w:r w:rsidR="003406EE">
        <w:rPr>
          <w:rStyle w:val="Appelnotedebasdep"/>
        </w:rPr>
        <w:footnoteReference w:id="10"/>
      </w:r>
      <w:r w:rsidR="003406EE">
        <w:t> :</w:t>
      </w:r>
    </w:p>
    <w:p w14:paraId="677C52DD" w14:textId="5EC21DF5" w:rsidR="003406EE" w:rsidRDefault="003406EE" w:rsidP="00E25236">
      <w:pPr>
        <w:pStyle w:val="citation"/>
        <w:spacing w:after="360"/>
      </w:pPr>
      <w:r w:rsidRPr="00C46D11">
        <w:t>[</w:t>
      </w:r>
      <w:r>
        <w:t>48</w:t>
      </w:r>
      <w:r w:rsidRPr="00C46D11">
        <w:t>]</w:t>
      </w:r>
      <w:r w:rsidR="00E34095">
        <w:tab/>
      </w:r>
      <w:r w:rsidRPr="00B3273E">
        <w:t>Ce n’est pas la perte effective du revenu qui est compensé par l’IRR</w:t>
      </w:r>
      <w:r w:rsidR="00C33F16">
        <w:t>,</w:t>
      </w:r>
      <w:r w:rsidRPr="00B3273E">
        <w:t xml:space="preserve"> mais la perte de capacité de gagner un revenu. Cette indemnité comme son appellation le dénote constitue un remplacement du revenu.</w:t>
      </w:r>
    </w:p>
    <w:p w14:paraId="3925ECF9" w14:textId="5C12BBC9" w:rsidR="00302026" w:rsidRDefault="00302026" w:rsidP="00302026">
      <w:pPr>
        <w:pStyle w:val="corpsdedcision"/>
        <w:tabs>
          <w:tab w:val="clear" w:pos="360"/>
        </w:tabs>
      </w:pPr>
      <w:r>
        <w:t xml:space="preserve">Le </w:t>
      </w:r>
      <w:r w:rsidRPr="005F0451">
        <w:rPr>
          <w:rFonts w:cs="Arial"/>
        </w:rPr>
        <w:t>fait</w:t>
      </w:r>
      <w:r>
        <w:t xml:space="preserve"> qu’un travailleur ait pris sa retraite, ait été mis à pied ou ait abandonné son emploi ne peut</w:t>
      </w:r>
      <w:r w:rsidR="00831A07">
        <w:t xml:space="preserve"> donc</w:t>
      </w:r>
      <w:r>
        <w:t xml:space="preserve"> le priver du droit à l’indemnité de remplacement du revenu s’il devient incapable d’exercer l’emploi qu’il occupait habituellement.</w:t>
      </w:r>
    </w:p>
    <w:p w14:paraId="541A28FC" w14:textId="6E9516F6" w:rsidR="00302026" w:rsidRDefault="00302026" w:rsidP="00E25236">
      <w:pPr>
        <w:pStyle w:val="corpsdedcision"/>
        <w:tabs>
          <w:tab w:val="clear" w:pos="360"/>
        </w:tabs>
        <w:spacing w:after="240"/>
      </w:pPr>
      <w:r>
        <w:t xml:space="preserve">Dans l’affaire </w:t>
      </w:r>
      <w:r w:rsidR="00CD2578">
        <w:rPr>
          <w:i/>
          <w:iCs/>
        </w:rPr>
        <w:t>Bardier</w:t>
      </w:r>
      <w:r>
        <w:t xml:space="preserve"> et </w:t>
      </w:r>
      <w:r w:rsidR="00CD2578">
        <w:rPr>
          <w:i/>
          <w:iCs/>
        </w:rPr>
        <w:t xml:space="preserve">Q.I.T. Fer </w:t>
      </w:r>
      <w:r w:rsidR="00600C83">
        <w:rPr>
          <w:i/>
          <w:iCs/>
        </w:rPr>
        <w:t xml:space="preserve">&amp; </w:t>
      </w:r>
      <w:r w:rsidR="00CD2578">
        <w:rPr>
          <w:i/>
          <w:iCs/>
        </w:rPr>
        <w:t xml:space="preserve">Titane </w:t>
      </w:r>
      <w:r w:rsidR="00C33F16">
        <w:rPr>
          <w:i/>
          <w:iCs/>
        </w:rPr>
        <w:t>i</w:t>
      </w:r>
      <w:r w:rsidR="00CD2578">
        <w:rPr>
          <w:i/>
          <w:iCs/>
        </w:rPr>
        <w:t>nc.</w:t>
      </w:r>
      <w:r>
        <w:rPr>
          <w:rStyle w:val="Appelnotedebasdep"/>
        </w:rPr>
        <w:footnoteReference w:id="11"/>
      </w:r>
      <w:r>
        <w:t>, la Commission d’appel en matière de lésion</w:t>
      </w:r>
      <w:r w:rsidR="00CD2578">
        <w:t>s</w:t>
      </w:r>
      <w:r>
        <w:t xml:space="preserve"> professionnelle</w:t>
      </w:r>
      <w:r w:rsidR="00CD2578">
        <w:t>s</w:t>
      </w:r>
      <w:r>
        <w:t xml:space="preserve"> s’exprime comme suit :</w:t>
      </w:r>
    </w:p>
    <w:p w14:paraId="4DB6F056" w14:textId="209B2560" w:rsidR="00302026" w:rsidRDefault="008E095E" w:rsidP="00E25236">
      <w:pPr>
        <w:pStyle w:val="citation"/>
        <w:spacing w:after="120"/>
      </w:pPr>
      <w:r w:rsidRPr="008E095E">
        <w:t>Le fait, pour le travailleur, d</w:t>
      </w:r>
      <w:r w:rsidR="00E25236">
        <w:t>’</w:t>
      </w:r>
      <w:r w:rsidRPr="008E095E">
        <w:t>avoir pris sa retraite volontaire le 1er février 1992, à l</w:t>
      </w:r>
      <w:r w:rsidR="00E25236">
        <w:t>’</w:t>
      </w:r>
      <w:r w:rsidRPr="008E095E">
        <w:t>âge de soixante-et</w:t>
      </w:r>
      <w:r w:rsidR="00612369">
        <w:t>-</w:t>
      </w:r>
      <w:r w:rsidRPr="008E095E">
        <w:t>un ans, n</w:t>
      </w:r>
      <w:r w:rsidR="00E25236">
        <w:t>’</w:t>
      </w:r>
      <w:r w:rsidRPr="008E095E">
        <w:t>a pas pour effet de lui faire perdre le droit qu</w:t>
      </w:r>
      <w:r w:rsidR="00E25236">
        <w:t>’</w:t>
      </w:r>
      <w:r w:rsidRPr="008E095E">
        <w:t>il avait à l</w:t>
      </w:r>
      <w:r w:rsidR="00E25236">
        <w:t>’</w:t>
      </w:r>
      <w:r w:rsidRPr="008E095E">
        <w:t>application de l</w:t>
      </w:r>
      <w:r w:rsidR="00E25236">
        <w:t>’</w:t>
      </w:r>
      <w:r w:rsidRPr="008E095E">
        <w:t>article 53 et à l</w:t>
      </w:r>
      <w:r w:rsidR="00E25236">
        <w:t>’</w:t>
      </w:r>
      <w:r w:rsidRPr="008E095E">
        <w:t>indemnité de remplacement du revenu qui y est prévu, contrairement à ce que soutient l</w:t>
      </w:r>
      <w:r w:rsidR="00E25236">
        <w:t>’</w:t>
      </w:r>
      <w:r w:rsidRPr="008E095E">
        <w:t>employeur. L</w:t>
      </w:r>
      <w:r w:rsidR="00E25236">
        <w:t>’</w:t>
      </w:r>
      <w:r w:rsidRPr="008E095E">
        <w:t>allocation de retraite auquel un travailleur a droit en vertu de sa convention collective et des argents qu</w:t>
      </w:r>
      <w:r w:rsidR="00E25236">
        <w:t>’</w:t>
      </w:r>
      <w:r w:rsidRPr="008E095E">
        <w:t>il a lui-même investis ne sauraient être assimiler à un revenu d</w:t>
      </w:r>
      <w:r w:rsidR="00E25236">
        <w:t>’</w:t>
      </w:r>
      <w:r w:rsidRPr="008E095E">
        <w:t>emploi au sens de l</w:t>
      </w:r>
      <w:r w:rsidR="00E25236">
        <w:t>’</w:t>
      </w:r>
      <w:r w:rsidRPr="008E095E">
        <w:t>article 52 de la loi.</w:t>
      </w:r>
    </w:p>
    <w:p w14:paraId="5812796F" w14:textId="57C98445" w:rsidR="008E095E" w:rsidRPr="00E25236" w:rsidRDefault="008E095E" w:rsidP="00E25236">
      <w:pPr>
        <w:pStyle w:val="citation"/>
        <w:spacing w:after="120"/>
        <w:rPr>
          <w:sz w:val="24"/>
          <w:szCs w:val="24"/>
        </w:rPr>
      </w:pPr>
      <w:r w:rsidRPr="00E25236">
        <w:rPr>
          <w:sz w:val="24"/>
          <w:szCs w:val="24"/>
        </w:rPr>
        <w:t>[…]</w:t>
      </w:r>
    </w:p>
    <w:p w14:paraId="559B7EBE" w14:textId="2A177DC5" w:rsidR="008E095E" w:rsidRDefault="008E095E" w:rsidP="00E25236">
      <w:pPr>
        <w:pStyle w:val="citation"/>
        <w:spacing w:after="120"/>
      </w:pPr>
      <w:r>
        <w:t>L</w:t>
      </w:r>
      <w:r w:rsidR="00E25236">
        <w:t>’</w:t>
      </w:r>
      <w:r>
        <w:t>allocation de retraite ne saurait, non plus, parce que possiblement juxtaposée dans le temps à l</w:t>
      </w:r>
      <w:r w:rsidR="00E25236">
        <w:t>’</w:t>
      </w:r>
      <w:r>
        <w:t>indemnité de remplacement du revenu (article 44 de la loi), être considérée comme «</w:t>
      </w:r>
      <w:r w:rsidR="00E25236">
        <w:t> </w:t>
      </w:r>
      <w:r>
        <w:t>cumul d</w:t>
      </w:r>
      <w:r w:rsidR="00E25236">
        <w:t>’</w:t>
      </w:r>
      <w:r>
        <w:t>indemnités non permis</w:t>
      </w:r>
      <w:r w:rsidR="00E25236">
        <w:t> </w:t>
      </w:r>
      <w:r>
        <w:t>». Enfin, rien dans la loi ne permet de tirer une telle conclusion.</w:t>
      </w:r>
    </w:p>
    <w:p w14:paraId="3F6B0DCC" w14:textId="279C2C16" w:rsidR="008E095E" w:rsidRDefault="008E095E" w:rsidP="00E25236">
      <w:pPr>
        <w:pStyle w:val="citation"/>
        <w:spacing w:after="360"/>
      </w:pPr>
      <w:r>
        <w:t>Comme elle l</w:t>
      </w:r>
      <w:r w:rsidR="00E25236">
        <w:t>’</w:t>
      </w:r>
      <w:r>
        <w:t>a déjà souligné dans l</w:t>
      </w:r>
      <w:r w:rsidR="00E25236">
        <w:t>’</w:t>
      </w:r>
      <w:r>
        <w:t xml:space="preserve">affaire Brown et Ministère des </w:t>
      </w:r>
      <w:r w:rsidR="00C33F16">
        <w:t>T</w:t>
      </w:r>
      <w:r>
        <w:t>ravaux publics, décision de la commissaire Ginette Godin portant le numéro de dossier 08982-03-8808, décision du 2 novembre 1990, la Commission d</w:t>
      </w:r>
      <w:r w:rsidR="00E25236">
        <w:t>’</w:t>
      </w:r>
      <w:r>
        <w:t>appel considère que le droit à la retraite est un bénéfice personnel auquel le travailleur a grandement contribué et «</w:t>
      </w:r>
      <w:r w:rsidR="00E25236">
        <w:t> </w:t>
      </w:r>
      <w:r>
        <w:t>qu</w:t>
      </w:r>
      <w:r w:rsidR="00E25236">
        <w:t>’</w:t>
      </w:r>
      <w:r>
        <w:t>aucune disposition de la loi ne justifie d</w:t>
      </w:r>
      <w:r w:rsidR="00E25236">
        <w:t>’</w:t>
      </w:r>
      <w:r>
        <w:t>en tenir compte</w:t>
      </w:r>
      <w:r w:rsidR="00E25236">
        <w:t> </w:t>
      </w:r>
      <w:r>
        <w:t>».</w:t>
      </w:r>
    </w:p>
    <w:p w14:paraId="7497A81E" w14:textId="1EC39C9E" w:rsidR="00611942" w:rsidRPr="00611942" w:rsidRDefault="00611942" w:rsidP="003A45BE">
      <w:pPr>
        <w:pStyle w:val="corpsdedcision"/>
        <w:keepLines/>
        <w:spacing w:after="240"/>
        <w:rPr>
          <w:szCs w:val="24"/>
        </w:rPr>
      </w:pPr>
      <w:r>
        <w:t xml:space="preserve">Dans </w:t>
      </w:r>
      <w:r w:rsidRPr="00611942">
        <w:rPr>
          <w:szCs w:val="24"/>
        </w:rPr>
        <w:t xml:space="preserve">l’affaire </w:t>
      </w:r>
      <w:r w:rsidRPr="00611942">
        <w:rPr>
          <w:i/>
          <w:iCs/>
          <w:szCs w:val="24"/>
        </w:rPr>
        <w:t>Société Asbestos ltée</w:t>
      </w:r>
      <w:r w:rsidRPr="00611942">
        <w:rPr>
          <w:szCs w:val="24"/>
        </w:rPr>
        <w:t xml:space="preserve"> et </w:t>
      </w:r>
      <w:r w:rsidRPr="00611942">
        <w:rPr>
          <w:i/>
          <w:iCs/>
          <w:szCs w:val="24"/>
        </w:rPr>
        <w:t>Vachon</w:t>
      </w:r>
      <w:r>
        <w:rPr>
          <w:rStyle w:val="Appelnotedebasdep"/>
          <w:i/>
          <w:iCs/>
          <w:szCs w:val="24"/>
        </w:rPr>
        <w:footnoteReference w:id="12"/>
      </w:r>
      <w:r w:rsidRPr="00611942">
        <w:rPr>
          <w:szCs w:val="24"/>
        </w:rPr>
        <w:t>,</w:t>
      </w:r>
      <w:r>
        <w:rPr>
          <w:szCs w:val="24"/>
        </w:rPr>
        <w:t xml:space="preserve"> la Commission d’appel en matière de lésions professionnelles précise également que la seule </w:t>
      </w:r>
      <w:r>
        <w:t xml:space="preserve">question à se poser est de </w:t>
      </w:r>
      <w:r w:rsidRPr="005F0451">
        <w:rPr>
          <w:rFonts w:cs="Arial"/>
        </w:rPr>
        <w:t>déterminer</w:t>
      </w:r>
      <w:r>
        <w:t xml:space="preserve"> si la lésion professionnelle entraîne une incapacité à exercer l’emploi occupé habituellement par le travailleur</w:t>
      </w:r>
      <w:r w:rsidR="00517E26">
        <w:t> :</w:t>
      </w:r>
    </w:p>
    <w:p w14:paraId="79197DE2" w14:textId="2810E138" w:rsidR="00611942" w:rsidRDefault="00611942" w:rsidP="00E25236">
      <w:pPr>
        <w:pStyle w:val="citation"/>
        <w:spacing w:after="120"/>
      </w:pPr>
      <w:r w:rsidRPr="004A78B3">
        <w:t>En regard de l</w:t>
      </w:r>
      <w:r w:rsidR="00E25236">
        <w:t>’</w:t>
      </w:r>
      <w:r w:rsidRPr="004A78B3">
        <w:t>article 44 de la loi invoqué par l</w:t>
      </w:r>
      <w:r w:rsidR="00E25236">
        <w:t>’</w:t>
      </w:r>
      <w:r w:rsidRPr="004A78B3">
        <w:t>employeur à</w:t>
      </w:r>
      <w:r>
        <w:t xml:space="preserve"> </w:t>
      </w:r>
      <w:r w:rsidRPr="004A78B3">
        <w:t>l'effet que le travailleur aurait été incapable d</w:t>
      </w:r>
      <w:r w:rsidR="00E25236">
        <w:t>’</w:t>
      </w:r>
      <w:r w:rsidRPr="004A78B3">
        <w:t>exercer l</w:t>
      </w:r>
      <w:r w:rsidR="00E25236">
        <w:t>’</w:t>
      </w:r>
      <w:r w:rsidRPr="004A78B3">
        <w:t>emploi qu</w:t>
      </w:r>
      <w:r w:rsidR="00E25236">
        <w:t>’</w:t>
      </w:r>
      <w:r w:rsidRPr="004A78B3">
        <w:t>il occupait habituellement en raison de son choix personnel de se prévaloir d</w:t>
      </w:r>
      <w:r w:rsidR="00E25236">
        <w:t>’</w:t>
      </w:r>
      <w:r w:rsidRPr="004A78B3">
        <w:t>une retraite anticipée et non d</w:t>
      </w:r>
      <w:r w:rsidR="00E25236">
        <w:t>’</w:t>
      </w:r>
      <w:r w:rsidRPr="004A78B3">
        <w:t>une lésion professionnelle, la Commission d</w:t>
      </w:r>
      <w:r w:rsidR="00E25236">
        <w:t>’</w:t>
      </w:r>
      <w:r w:rsidRPr="004A78B3">
        <w:t>appel ne peut souscrire à cette prétention. Comme dit précédemment, le droit à une indemnité de remplacement de revenu n</w:t>
      </w:r>
      <w:r w:rsidR="00E25236">
        <w:t>’</w:t>
      </w:r>
      <w:r w:rsidRPr="004A78B3">
        <w:t>est qu</w:t>
      </w:r>
      <w:r w:rsidR="00E25236">
        <w:t>’</w:t>
      </w:r>
      <w:r w:rsidRPr="004A78B3">
        <w:t>une modalité de compensation</w:t>
      </w:r>
      <w:r>
        <w:t xml:space="preserve"> </w:t>
      </w:r>
      <w:r w:rsidRPr="004A78B3">
        <w:t>des conséquences entraînées par une lésion professionnelle.</w:t>
      </w:r>
    </w:p>
    <w:p w14:paraId="162EF1D0" w14:textId="058B5286" w:rsidR="00611942" w:rsidRDefault="00611942" w:rsidP="00E25236">
      <w:pPr>
        <w:pStyle w:val="citation"/>
        <w:spacing w:after="360"/>
      </w:pPr>
      <w:r w:rsidRPr="00766C2C">
        <w:t>Dans l</w:t>
      </w:r>
      <w:r w:rsidR="00E25236">
        <w:t>’</w:t>
      </w:r>
      <w:r w:rsidRPr="00766C2C">
        <w:t>application de l</w:t>
      </w:r>
      <w:r w:rsidR="00E25236">
        <w:t>’</w:t>
      </w:r>
      <w:r w:rsidRPr="00766C2C">
        <w:t>article 44 de la Loi sur les accidents du travail et les maladies professionnelles (L.R.Q., c. A-3.001), la seule question que doit se poser la Commission d</w:t>
      </w:r>
      <w:r w:rsidR="00E25236">
        <w:t>’</w:t>
      </w:r>
      <w:r w:rsidRPr="00766C2C">
        <w:t>appel consiste à déterminer si la lésion professionnelle du travailleur entraîne une incapacité à exercer l</w:t>
      </w:r>
      <w:r w:rsidR="00E25236">
        <w:t>’</w:t>
      </w:r>
      <w:r w:rsidRPr="00766C2C">
        <w:t>emploi occupé habituellement. Dans l</w:t>
      </w:r>
      <w:r w:rsidR="00E25236">
        <w:t>’</w:t>
      </w:r>
      <w:r w:rsidRPr="00766C2C">
        <w:t>affirmative, le travailleur a droit à compensation et à une indemnité, laquelle est calculée conformément à l</w:t>
      </w:r>
      <w:r w:rsidR="00E25236">
        <w:t>’</w:t>
      </w:r>
      <w:r w:rsidRPr="00766C2C">
        <w:t>article 44.</w:t>
      </w:r>
    </w:p>
    <w:p w14:paraId="4DA46D26" w14:textId="45531F6E" w:rsidR="00766C2C" w:rsidRDefault="00517E26" w:rsidP="00766C2C">
      <w:pPr>
        <w:pStyle w:val="corpsdedcision"/>
        <w:tabs>
          <w:tab w:val="clear" w:pos="360"/>
        </w:tabs>
      </w:pPr>
      <w:r>
        <w:t>De même, l</w:t>
      </w:r>
      <w:r w:rsidR="00766C2C">
        <w:t xml:space="preserve">a </w:t>
      </w:r>
      <w:r w:rsidR="00B52F91">
        <w:t xml:space="preserve">jurisprudence constante du Tribunal rappelle que la </w:t>
      </w:r>
      <w:r w:rsidR="00766C2C">
        <w:t xml:space="preserve">prise de la retraite après la survenance d’une lésion professionnelle ne met pas fin au </w:t>
      </w:r>
      <w:r w:rsidR="00B52F91">
        <w:t xml:space="preserve">droit </w:t>
      </w:r>
      <w:r w:rsidR="00E34095">
        <w:t>à l’indemnité</w:t>
      </w:r>
      <w:r w:rsidR="00766C2C">
        <w:t xml:space="preserve"> de remplacement du revenu</w:t>
      </w:r>
      <w:r w:rsidR="00766C2C">
        <w:rPr>
          <w:rStyle w:val="Appelnotedebasdep"/>
        </w:rPr>
        <w:footnoteReference w:id="13"/>
      </w:r>
      <w:r w:rsidR="00766C2C">
        <w:t>.</w:t>
      </w:r>
    </w:p>
    <w:p w14:paraId="33224AB7" w14:textId="16C0161B" w:rsidR="00784C38" w:rsidRDefault="001F3EC5" w:rsidP="00E25236">
      <w:pPr>
        <w:pStyle w:val="corpsdedcision"/>
        <w:tabs>
          <w:tab w:val="clear" w:pos="360"/>
        </w:tabs>
        <w:spacing w:after="240"/>
        <w:rPr>
          <w:rFonts w:cs="Arial"/>
        </w:rPr>
      </w:pPr>
      <w:r>
        <w:t>En ce qui concerne l’intention du législateur qu’il aurait manifestée lors des débats parlementaires intervenus en 1984</w:t>
      </w:r>
      <w:r w:rsidRPr="001F3EC5">
        <w:t xml:space="preserve"> </w:t>
      </w:r>
      <w:r>
        <w:t>lors de l’adoption de la Loi</w:t>
      </w:r>
      <w:r w:rsidR="00692C16">
        <w:t xml:space="preserve">, le Tribunal est d’avis que la référence </w:t>
      </w:r>
      <w:r>
        <w:t>à ces</w:t>
      </w:r>
      <w:r w:rsidR="00692C16">
        <w:t xml:space="preserve"> d</w:t>
      </w:r>
      <w:r w:rsidR="00784C38">
        <w:t xml:space="preserve">ébats </w:t>
      </w:r>
      <w:r w:rsidR="00692C16">
        <w:t xml:space="preserve">doit être utilisée avec prudence. </w:t>
      </w:r>
      <w:r>
        <w:t xml:space="preserve">Comme le </w:t>
      </w:r>
      <w:r w:rsidR="000D63B8">
        <w:t>rappelle</w:t>
      </w:r>
      <w:r>
        <w:t xml:space="preserve"> la Cour supérieure dans la récente affaire </w:t>
      </w:r>
      <w:r w:rsidR="00784C38" w:rsidRPr="004657F6">
        <w:rPr>
          <w:rFonts w:cs="Arial"/>
          <w:i/>
          <w:iCs/>
        </w:rPr>
        <w:t>S</w:t>
      </w:r>
      <w:r w:rsidR="00784C38" w:rsidRPr="001F3EC5">
        <w:rPr>
          <w:rFonts w:cs="Arial"/>
          <w:i/>
          <w:iCs/>
        </w:rPr>
        <w:t>ociété immobilière 2081-2083 Marie-Victorin inc</w:t>
      </w:r>
      <w:r w:rsidR="00784C38" w:rsidRPr="001F3EC5">
        <w:rPr>
          <w:rFonts w:cs="Arial"/>
        </w:rPr>
        <w:t xml:space="preserve">. c. </w:t>
      </w:r>
      <w:r w:rsidR="00784C38" w:rsidRPr="001F3EC5">
        <w:rPr>
          <w:rFonts w:cs="Arial"/>
          <w:i/>
          <w:iCs/>
        </w:rPr>
        <w:t>Ville de Varennes</w:t>
      </w:r>
      <w:r>
        <w:rPr>
          <w:rStyle w:val="Appelnotedebasdep"/>
          <w:rFonts w:cs="Arial"/>
        </w:rPr>
        <w:footnoteReference w:id="14"/>
      </w:r>
      <w:r w:rsidR="00784C38" w:rsidRPr="001F3EC5">
        <w:rPr>
          <w:rFonts w:cs="Arial"/>
        </w:rPr>
        <w:t xml:space="preserve">, </w:t>
      </w:r>
      <w:r w:rsidR="00580248">
        <w:rPr>
          <w:rFonts w:cs="Arial"/>
        </w:rPr>
        <w:t>lorsqu’une disposition législative est claire</w:t>
      </w:r>
      <w:r w:rsidR="000F5651">
        <w:rPr>
          <w:rFonts w:cs="Arial"/>
        </w:rPr>
        <w:t>, le Tribunal ne peut se fonder sur des débats parlementaires pour y ajouter un texte qui n’y apparait pas :</w:t>
      </w:r>
    </w:p>
    <w:p w14:paraId="309A6951" w14:textId="460C2095" w:rsidR="000F5651" w:rsidRPr="00E25236" w:rsidRDefault="000F5651" w:rsidP="00E25236">
      <w:pPr>
        <w:pStyle w:val="citation"/>
        <w:spacing w:after="120"/>
      </w:pPr>
      <w:r w:rsidRPr="00E25236">
        <w:t>[45]</w:t>
      </w:r>
      <w:r w:rsidR="00E34095">
        <w:tab/>
      </w:r>
      <w:r w:rsidRPr="00E25236">
        <w:t>La Société, forte de ces débats parlementaires, soutient que «</w:t>
      </w:r>
      <w:r w:rsidR="00E25236">
        <w:t> </w:t>
      </w:r>
      <w:r w:rsidRPr="00E25236">
        <w:t>Le législateur a explicitement exprimé son intention de permettre à la Cour supérieure d’accorder un sursis sur la seule démonstration d’un préjudice.</w:t>
      </w:r>
      <w:r w:rsidR="00E25236">
        <w:t> </w:t>
      </w:r>
      <w:r w:rsidRPr="00E25236">
        <w:t>»</w:t>
      </w:r>
      <w:r w:rsidR="000D63B8" w:rsidRPr="00E25236">
        <w:rPr>
          <w:vertAlign w:val="superscript"/>
        </w:rPr>
        <w:t>34</w:t>
      </w:r>
    </w:p>
    <w:p w14:paraId="2E4AB34A" w14:textId="45ED9649" w:rsidR="000F5651" w:rsidRPr="00E25236" w:rsidRDefault="000F5651" w:rsidP="00E25236">
      <w:pPr>
        <w:pStyle w:val="citation"/>
        <w:spacing w:after="120"/>
      </w:pPr>
      <w:r w:rsidRPr="00E25236">
        <w:t>[46]</w:t>
      </w:r>
      <w:r w:rsidR="00E34095">
        <w:tab/>
      </w:r>
      <w:r w:rsidRPr="00E25236">
        <w:t>Avec égards, le Tribunal n’est pas d’accord. D’une part, l’on ne peut ajouter à une disposition législative, en se fondant sur les débats parlementaires, quelque chose qu’elle ne dit pas. Aucun critère n’est prévu à l’article 17 LCE de sorte qu’il faut en conclure que l’intention du législateur était d’accorder au Tribunal une certaine discrétion lors de l’examen des critères jurisprudentiels applicables à la demande de sursis.</w:t>
      </w:r>
    </w:p>
    <w:p w14:paraId="02CCD9E8" w14:textId="591A2DDC" w:rsidR="000F5651" w:rsidRPr="00E25236" w:rsidRDefault="000F5651" w:rsidP="00E25236">
      <w:pPr>
        <w:pStyle w:val="citation"/>
        <w:spacing w:after="120"/>
      </w:pPr>
      <w:r w:rsidRPr="00E25236">
        <w:t>[47]</w:t>
      </w:r>
      <w:r w:rsidR="00E34095">
        <w:tab/>
      </w:r>
      <w:r w:rsidRPr="00E25236">
        <w:t>De plus, les débats parlementaires ont une certaine utilité lorsqu’il s’agit d’interpréter une disposition législative et de comprendre l’intention du législateur, mais il faut néanmoins s’y référer avec prudence. La Cour suprême, sous la plume de la juge Côté, s’exprime d’ailleurs ainsi à ce sujet :</w:t>
      </w:r>
    </w:p>
    <w:p w14:paraId="07D0395B" w14:textId="1ACC0C99" w:rsidR="000F5651" w:rsidRPr="00E25236" w:rsidRDefault="000F5651" w:rsidP="00E25236">
      <w:pPr>
        <w:pStyle w:val="Citation0"/>
        <w:spacing w:before="0" w:after="120"/>
        <w:jc w:val="both"/>
        <w:rPr>
          <w:i w:val="0"/>
          <w:iCs w:val="0"/>
          <w:color w:val="auto"/>
          <w:sz w:val="18"/>
          <w:szCs w:val="18"/>
        </w:rPr>
      </w:pPr>
      <w:r w:rsidRPr="00A95592">
        <w:rPr>
          <w:i w:val="0"/>
          <w:iCs w:val="0"/>
          <w:color w:val="auto"/>
          <w:sz w:val="22"/>
          <w:szCs w:val="22"/>
        </w:rPr>
        <w:t>[</w:t>
      </w:r>
      <w:r w:rsidRPr="00E25236">
        <w:rPr>
          <w:i w:val="0"/>
          <w:iCs w:val="0"/>
          <w:color w:val="auto"/>
          <w:sz w:val="18"/>
          <w:szCs w:val="18"/>
        </w:rPr>
        <w:t>37]</w:t>
      </w:r>
      <w:r w:rsidRPr="00E25236">
        <w:rPr>
          <w:i w:val="0"/>
          <w:iCs w:val="0"/>
          <w:color w:val="auto"/>
          <w:sz w:val="18"/>
          <w:szCs w:val="18"/>
        </w:rPr>
        <w:tab/>
        <w:t xml:space="preserve">Avec égards, quelques nuances s’imposent. </w:t>
      </w:r>
      <w:r w:rsidRPr="00E25236">
        <w:rPr>
          <w:i w:val="0"/>
          <w:iCs w:val="0"/>
          <w:color w:val="auto"/>
          <w:sz w:val="18"/>
          <w:szCs w:val="18"/>
          <w:u w:val="single"/>
        </w:rPr>
        <w:t>Aucune règle d’interprétation législative ne justifie d’émasculer une règle de droit énoncée en termes clairs sur la base de déclarations faites dans le cadre de débats parlementaires. Autrement, on accorderait plus de poids à des déclarations individuelles faites de manière spontanée qu’au texte adopté par le législateur dont on doit présumer que chaque mot a été choisi avec soin.</w:t>
      </w:r>
      <w:r w:rsidRPr="00E25236">
        <w:rPr>
          <w:i w:val="0"/>
          <w:iCs w:val="0"/>
          <w:color w:val="auto"/>
          <w:sz w:val="18"/>
          <w:szCs w:val="18"/>
        </w:rPr>
        <w:t xml:space="preserve"> Notre Cour a maintes fois répété que «</w:t>
      </w:r>
      <w:r w:rsidR="00E25236">
        <w:rPr>
          <w:i w:val="0"/>
          <w:iCs w:val="0"/>
          <w:color w:val="auto"/>
          <w:sz w:val="18"/>
          <w:szCs w:val="18"/>
        </w:rPr>
        <w:t> </w:t>
      </w:r>
      <w:r w:rsidRPr="00E25236">
        <w:rPr>
          <w:i w:val="0"/>
          <w:iCs w:val="0"/>
          <w:color w:val="auto"/>
          <w:sz w:val="18"/>
          <w:szCs w:val="18"/>
        </w:rPr>
        <w:t>l’interprétation des lois consiste à dégager l’intention du législateur en examinant les termes d’une loi dans leur contexte global en suivant le sens ordinaire et grammatical qui s’harmonise avec l’économie et l’objet de cette loi</w:t>
      </w:r>
      <w:r w:rsidR="00E25236">
        <w:rPr>
          <w:i w:val="0"/>
          <w:iCs w:val="0"/>
          <w:color w:val="auto"/>
          <w:sz w:val="18"/>
          <w:szCs w:val="18"/>
        </w:rPr>
        <w:t> </w:t>
      </w:r>
      <w:r w:rsidRPr="00E25236">
        <w:rPr>
          <w:i w:val="0"/>
          <w:iCs w:val="0"/>
          <w:color w:val="auto"/>
          <w:sz w:val="18"/>
          <w:szCs w:val="18"/>
        </w:rPr>
        <w:t>»</w:t>
      </w:r>
      <w:r w:rsidR="000D63B8" w:rsidRPr="00E25236">
        <w:rPr>
          <w:i w:val="0"/>
          <w:iCs w:val="0"/>
          <w:color w:val="auto"/>
          <w:sz w:val="18"/>
          <w:szCs w:val="18"/>
        </w:rPr>
        <w:t> </w:t>
      </w:r>
      <w:r w:rsidRPr="00E25236">
        <w:rPr>
          <w:i w:val="0"/>
          <w:iCs w:val="0"/>
          <w:color w:val="auto"/>
          <w:sz w:val="18"/>
          <w:szCs w:val="18"/>
        </w:rPr>
        <w:t xml:space="preserve">: Michel c. Graydon, 2020 CSC 24, par. 21; voir aussi Rizzo &amp; Rizzo Shoes Ltd. (Re), [1998] 1 R.C.S. 27, par. 21. </w:t>
      </w:r>
      <w:r w:rsidRPr="00E25236">
        <w:rPr>
          <w:i w:val="0"/>
          <w:iCs w:val="0"/>
          <w:color w:val="auto"/>
          <w:sz w:val="18"/>
          <w:szCs w:val="18"/>
          <w:u w:val="single"/>
        </w:rPr>
        <w:t>Les débats parlementaires peuvent certes nous renseigner à cet égard, mais ils ne doivent pas faire oublier les réserves avec lesquelles ce type de preuve extrinsèque a été admise dans la jurisprudence de notre Cour</w:t>
      </w:r>
      <w:r w:rsidRPr="00E25236">
        <w:rPr>
          <w:i w:val="0"/>
          <w:iCs w:val="0"/>
          <w:color w:val="auto"/>
          <w:sz w:val="18"/>
          <w:szCs w:val="18"/>
        </w:rPr>
        <w:t xml:space="preserve"> : Construction Gilles Paquette ltée c. Entreprises Végo ltée, [1997] 2 R.C.S. 299, par. 20; Rizzo Shoes, par. 35; Compagnie des chemins de fer nationaux du Canada c. Canada (Procureur général), 2014 CSC 40, [2014] 2 R.C.S. 135, par. 47. </w:t>
      </w:r>
    </w:p>
    <w:p w14:paraId="5A3501A5" w14:textId="0AFCF279" w:rsidR="000F5651" w:rsidRPr="00E25236" w:rsidRDefault="000F5651" w:rsidP="000F5651">
      <w:pPr>
        <w:pStyle w:val="Citation0"/>
        <w:jc w:val="both"/>
        <w:rPr>
          <w:i w:val="0"/>
          <w:iCs w:val="0"/>
          <w:color w:val="auto"/>
          <w:sz w:val="18"/>
          <w:szCs w:val="18"/>
        </w:rPr>
      </w:pPr>
      <w:r w:rsidRPr="00E25236">
        <w:rPr>
          <w:i w:val="0"/>
          <w:iCs w:val="0"/>
          <w:color w:val="auto"/>
          <w:sz w:val="18"/>
          <w:szCs w:val="18"/>
        </w:rPr>
        <w:t>[38]</w:t>
      </w:r>
      <w:r w:rsidRPr="00E25236">
        <w:rPr>
          <w:i w:val="0"/>
          <w:iCs w:val="0"/>
          <w:color w:val="auto"/>
          <w:sz w:val="18"/>
          <w:szCs w:val="18"/>
        </w:rPr>
        <w:tab/>
        <w:t>Les informations fournies par les débats parlementaires révèlent surtout leur utilité lorsqu’elles «</w:t>
      </w:r>
      <w:r w:rsidR="00E25236">
        <w:rPr>
          <w:i w:val="0"/>
          <w:iCs w:val="0"/>
          <w:color w:val="auto"/>
          <w:sz w:val="18"/>
          <w:szCs w:val="18"/>
        </w:rPr>
        <w:t> </w:t>
      </w:r>
      <w:r w:rsidRPr="00E25236">
        <w:rPr>
          <w:i w:val="0"/>
          <w:iCs w:val="0"/>
          <w:color w:val="auto"/>
          <w:sz w:val="18"/>
          <w:szCs w:val="18"/>
        </w:rPr>
        <w:t>confirm[ent] la justesse de l’interprétation donnée</w:t>
      </w:r>
      <w:r w:rsidR="00E25236">
        <w:rPr>
          <w:i w:val="0"/>
          <w:iCs w:val="0"/>
          <w:color w:val="auto"/>
          <w:sz w:val="18"/>
          <w:szCs w:val="18"/>
        </w:rPr>
        <w:t> </w:t>
      </w:r>
      <w:r w:rsidRPr="00E25236">
        <w:rPr>
          <w:i w:val="0"/>
          <w:iCs w:val="0"/>
          <w:color w:val="auto"/>
          <w:sz w:val="18"/>
          <w:szCs w:val="18"/>
        </w:rPr>
        <w:t xml:space="preserve">» : Construction Gilles Paquette, par. 20; voir aussi Canada 3000 </w:t>
      </w:r>
      <w:r w:rsidR="00C33F16">
        <w:rPr>
          <w:i w:val="0"/>
          <w:iCs w:val="0"/>
          <w:color w:val="auto"/>
          <w:sz w:val="18"/>
          <w:szCs w:val="18"/>
        </w:rPr>
        <w:t>i</w:t>
      </w:r>
      <w:r w:rsidRPr="00E25236">
        <w:rPr>
          <w:i w:val="0"/>
          <w:iCs w:val="0"/>
          <w:color w:val="auto"/>
          <w:sz w:val="18"/>
          <w:szCs w:val="18"/>
        </w:rPr>
        <w:t xml:space="preserve">nc. (Re), 2006 CSC 24, [2006] 1 R.C.S. 865, par. 57, et P.-A. Côté, en collaboration avec S. Beaulac et M. Devinat, Interprétation des lois (4e éd. 2009), p. 506-507. Il en va en effet de la prévisibilité du droit. </w:t>
      </w:r>
      <w:r w:rsidRPr="00E25236">
        <w:rPr>
          <w:i w:val="0"/>
          <w:iCs w:val="0"/>
          <w:color w:val="auto"/>
          <w:sz w:val="18"/>
          <w:szCs w:val="18"/>
          <w:u w:val="single"/>
        </w:rPr>
        <w:t>Comme l’écrit un auteur, «</w:t>
      </w:r>
      <w:r w:rsidR="00E25236">
        <w:rPr>
          <w:i w:val="0"/>
          <w:iCs w:val="0"/>
          <w:color w:val="auto"/>
          <w:sz w:val="18"/>
          <w:szCs w:val="18"/>
          <w:u w:val="single"/>
        </w:rPr>
        <w:t> </w:t>
      </w:r>
      <w:r w:rsidRPr="00E25236">
        <w:rPr>
          <w:i w:val="0"/>
          <w:iCs w:val="0"/>
          <w:color w:val="auto"/>
          <w:sz w:val="18"/>
          <w:szCs w:val="18"/>
          <w:u w:val="single"/>
        </w:rPr>
        <w:t>il ne faudrait pas que le recours aux travaux préparatoires serve à justifier de ne pas appliquer une règle claire, trompant ainsi la confiance que le lecteur doit pouvoir mettre dans le libellé du texte interprété à la lumière de son juste contexte</w:t>
      </w:r>
      <w:r w:rsidR="00E25236">
        <w:rPr>
          <w:i w:val="0"/>
          <w:iCs w:val="0"/>
          <w:color w:val="auto"/>
          <w:sz w:val="18"/>
          <w:szCs w:val="18"/>
          <w:u w:val="single"/>
        </w:rPr>
        <w:t> </w:t>
      </w:r>
      <w:r w:rsidRPr="00E25236">
        <w:rPr>
          <w:i w:val="0"/>
          <w:iCs w:val="0"/>
          <w:color w:val="auto"/>
          <w:sz w:val="18"/>
          <w:szCs w:val="18"/>
          <w:u w:val="single"/>
        </w:rPr>
        <w:t xml:space="preserve">» </w:t>
      </w:r>
      <w:r w:rsidRPr="00E25236">
        <w:rPr>
          <w:i w:val="0"/>
          <w:iCs w:val="0"/>
          <w:color w:val="auto"/>
          <w:sz w:val="18"/>
          <w:szCs w:val="18"/>
        </w:rPr>
        <w:t>: Côté, p. 507. Avec égards, l’approche préconisée par MédiaQMI, et retenue par les juges Schrager et Marcotte, prend l’exact contre pied de cette recommandation.</w:t>
      </w:r>
      <w:r w:rsidR="000D63B8" w:rsidRPr="00E25236">
        <w:rPr>
          <w:i w:val="0"/>
          <w:iCs w:val="0"/>
          <w:color w:val="auto"/>
          <w:sz w:val="18"/>
          <w:szCs w:val="18"/>
          <w:vertAlign w:val="superscript"/>
        </w:rPr>
        <w:t>35</w:t>
      </w:r>
    </w:p>
    <w:p w14:paraId="3E8D0082" w14:textId="0BC54918" w:rsidR="000F5651" w:rsidRPr="000D63B8" w:rsidRDefault="000F5651" w:rsidP="00E25236">
      <w:pPr>
        <w:pStyle w:val="citation"/>
        <w:spacing w:after="360"/>
        <w:rPr>
          <w:sz w:val="24"/>
          <w:szCs w:val="24"/>
        </w:rPr>
      </w:pPr>
      <w:r w:rsidRPr="000D63B8">
        <w:rPr>
          <w:sz w:val="24"/>
          <w:szCs w:val="24"/>
        </w:rPr>
        <w:t>[</w:t>
      </w:r>
      <w:r w:rsidR="000D63B8" w:rsidRPr="000D63B8">
        <w:rPr>
          <w:sz w:val="24"/>
          <w:szCs w:val="24"/>
        </w:rPr>
        <w:t>Notes omises</w:t>
      </w:r>
      <w:r w:rsidRPr="000D63B8">
        <w:rPr>
          <w:sz w:val="24"/>
          <w:szCs w:val="24"/>
        </w:rPr>
        <w:t>]</w:t>
      </w:r>
    </w:p>
    <w:p w14:paraId="6AC984F0" w14:textId="77544A68" w:rsidR="00C156EB" w:rsidRDefault="000F3A86" w:rsidP="006E4894">
      <w:pPr>
        <w:pStyle w:val="corpsdedcision"/>
        <w:tabs>
          <w:tab w:val="clear" w:pos="360"/>
        </w:tabs>
      </w:pPr>
      <w:r>
        <w:t xml:space="preserve">Le Tribunal souligne </w:t>
      </w:r>
      <w:r w:rsidR="00832CC7">
        <w:t xml:space="preserve">également </w:t>
      </w:r>
      <w:r>
        <w:t xml:space="preserve">que le législateur a procédé à une réforme importante de la Loi au cours de l’année 2021. </w:t>
      </w:r>
      <w:r w:rsidR="00C156EB">
        <w:t>Lors de cette réforme, l’article 44 de la Loi a fait l’objet d’un amendement, soit l’ajout, à la fin du deuxième alinéa, de la phrase «</w:t>
      </w:r>
      <w:r w:rsidR="00E25236">
        <w:t> </w:t>
      </w:r>
      <w:r w:rsidR="00C156EB" w:rsidRPr="00C156EB">
        <w:rPr>
          <w:rStyle w:val="Citationintgre"/>
        </w:rPr>
        <w:t>Cet emploi devient, aux fins de l’application de la présente loi, son emploi</w:t>
      </w:r>
      <w:r w:rsidR="00E25236">
        <w:t> </w:t>
      </w:r>
      <w:r w:rsidR="00C156EB" w:rsidRPr="00C156EB">
        <w:t>».</w:t>
      </w:r>
    </w:p>
    <w:p w14:paraId="7B6BEA36" w14:textId="6B724052" w:rsidR="000F3A86" w:rsidRPr="00C156EB" w:rsidRDefault="00C156EB" w:rsidP="00E25236">
      <w:pPr>
        <w:pStyle w:val="corpsdedcision"/>
        <w:tabs>
          <w:tab w:val="clear" w:pos="360"/>
        </w:tabs>
        <w:spacing w:after="240"/>
      </w:pPr>
      <w:r>
        <w:t xml:space="preserve">Or, malgré la jurisprudence bien établie que l’employeur cherche à renverser, le législateur n’a aucunement modifié ou précisé la Loi en </w:t>
      </w:r>
      <w:r w:rsidR="00761ADF">
        <w:t>ce qui concerne le droit à l’</w:t>
      </w:r>
      <w:r w:rsidR="00832D6E">
        <w:t>indemnité de remplacement du revenu</w:t>
      </w:r>
      <w:r w:rsidR="00761ADF">
        <w:t xml:space="preserve"> </w:t>
      </w:r>
      <w:r>
        <w:t xml:space="preserve">des travailleurs retraités au moment de la manifestation d’une lésion professionnelle. </w:t>
      </w:r>
      <w:r w:rsidRPr="00C156EB">
        <w:t>Les débats parlementaires qui ont lieu lors de l’examen du projet de loi et qui ont mené à l’adoption de la</w:t>
      </w:r>
      <w:r>
        <w:t xml:space="preserve"> </w:t>
      </w:r>
      <w:r w:rsidRPr="00C156EB">
        <w:rPr>
          <w:i/>
          <w:iCs/>
        </w:rPr>
        <w:t>Loi</w:t>
      </w:r>
      <w:r>
        <w:rPr>
          <w:i/>
          <w:iCs/>
        </w:rPr>
        <w:t xml:space="preserve"> modernisant le régime de santé et de sécurité du travail</w:t>
      </w:r>
      <w:r>
        <w:rPr>
          <w:rStyle w:val="Appelnotedebasdep"/>
          <w:i/>
          <w:iCs/>
        </w:rPr>
        <w:footnoteReference w:id="15"/>
      </w:r>
      <w:r w:rsidRPr="00C156EB">
        <w:t xml:space="preserve">, </w:t>
      </w:r>
      <w:r>
        <w:t>permettent de confirmer que le législateur n’entend pas modifier le droit établi par la jurisprudence à ce sujet :</w:t>
      </w:r>
    </w:p>
    <w:p w14:paraId="648C761E" w14:textId="77777777" w:rsidR="000F3A86" w:rsidRPr="00E25236" w:rsidRDefault="000F3A86" w:rsidP="00E25236">
      <w:pPr>
        <w:pStyle w:val="citation"/>
        <w:spacing w:after="120"/>
        <w:rPr>
          <w:sz w:val="24"/>
          <w:szCs w:val="24"/>
        </w:rPr>
      </w:pPr>
      <w:r w:rsidRPr="00E25236">
        <w:rPr>
          <w:sz w:val="24"/>
          <w:szCs w:val="24"/>
        </w:rPr>
        <w:t>[…]</w:t>
      </w:r>
    </w:p>
    <w:p w14:paraId="2A5D4C76" w14:textId="6FD87448" w:rsidR="000F3A86" w:rsidRDefault="000F3A86" w:rsidP="00E25236">
      <w:pPr>
        <w:pStyle w:val="citation"/>
        <w:spacing w:after="120"/>
      </w:pPr>
      <w:r>
        <w:rPr>
          <w:b/>
          <w:bCs/>
        </w:rPr>
        <w:t>M. Leduc :</w:t>
      </w:r>
      <w:r>
        <w:t> Et donc ça, ça vise à corriger un réel problème? C</w:t>
      </w:r>
      <w:r w:rsidR="00E25236">
        <w:t>’</w:t>
      </w:r>
      <w:r>
        <w:t>est-à-dire qu</w:t>
      </w:r>
      <w:r w:rsidR="00E25236">
        <w:t>’</w:t>
      </w:r>
      <w:r>
        <w:t>il y a des gens qui n</w:t>
      </w:r>
      <w:r w:rsidR="00E25236">
        <w:t>’</w:t>
      </w:r>
      <w:r>
        <w:t>avaient pas d</w:t>
      </w:r>
      <w:r w:rsidR="00E25236">
        <w:t>’</w:t>
      </w:r>
      <w:r>
        <w:t>emploi, qui n</w:t>
      </w:r>
      <w:r w:rsidR="00E25236">
        <w:t>’</w:t>
      </w:r>
      <w:r>
        <w:t>avaient droit à rien?</w:t>
      </w:r>
    </w:p>
    <w:p w14:paraId="584B1C3D" w14:textId="19202507" w:rsidR="000F3A86" w:rsidRDefault="000F3A86" w:rsidP="00E25236">
      <w:pPr>
        <w:pStyle w:val="citation"/>
        <w:spacing w:after="120"/>
      </w:pPr>
      <w:r>
        <w:rPr>
          <w:b/>
          <w:bCs/>
        </w:rPr>
        <w:t>M. Boulet :</w:t>
      </w:r>
      <w:r>
        <w:t> Oui, ça vise à corriger... En fait, ça vise à mettre en place tout ce qui va suivre : la réadapt avant consol, l</w:t>
      </w:r>
      <w:r w:rsidR="00E25236">
        <w:t>’</w:t>
      </w:r>
      <w:r>
        <w:t>assignation temporaire, le retour progressif au travail. On a besoin d</w:t>
      </w:r>
      <w:r w:rsidR="00E25236">
        <w:t>’</w:t>
      </w:r>
      <w:r>
        <w:t>avoir un point d</w:t>
      </w:r>
      <w:r w:rsidR="00E25236">
        <w:t>’</w:t>
      </w:r>
      <w:r>
        <w:t>ancrage, qui est son emploi, puis, au lieu de constamment répéter, c</w:t>
      </w:r>
      <w:r w:rsidR="00E25236">
        <w:t>’</w:t>
      </w:r>
      <w:r>
        <w:t>est ce qu</w:t>
      </w:r>
      <w:r w:rsidR="00E25236">
        <w:t>’</w:t>
      </w:r>
      <w:r>
        <w:t>il faisait habituellement, s</w:t>
      </w:r>
      <w:r w:rsidR="00E25236">
        <w:t>’</w:t>
      </w:r>
      <w:r>
        <w:t>il n</w:t>
      </w:r>
      <w:r w:rsidR="00E25236">
        <w:t>’</w:t>
      </w:r>
      <w:r>
        <w:t>occupait pas d</w:t>
      </w:r>
      <w:r w:rsidR="00E25236">
        <w:t>’</w:t>
      </w:r>
      <w:r>
        <w:t>emploi au moment de la rechute, récidive, aggravation, par exemple. C</w:t>
      </w:r>
      <w:r w:rsidR="00E25236">
        <w:t>’</w:t>
      </w:r>
      <w:r>
        <w:t>est le cas classique.</w:t>
      </w:r>
    </w:p>
    <w:p w14:paraId="5487340A" w14:textId="18544C11" w:rsidR="000F3A86" w:rsidRDefault="000F3A86" w:rsidP="00E25236">
      <w:pPr>
        <w:pStyle w:val="citation"/>
        <w:spacing w:after="120"/>
      </w:pPr>
      <w:r>
        <w:rPr>
          <w:b/>
          <w:bCs/>
        </w:rPr>
        <w:t>M. Leduc :</w:t>
      </w:r>
      <w:r>
        <w:t xml:space="preserve"> O.K., </w:t>
      </w:r>
      <w:r w:rsidRPr="000F3A86">
        <w:rPr>
          <w:u w:val="single"/>
        </w:rPr>
        <w:t>puis vraiment sur le fond, là, s</w:t>
      </w:r>
      <w:r w:rsidR="00E25236">
        <w:rPr>
          <w:u w:val="single"/>
        </w:rPr>
        <w:t>’</w:t>
      </w:r>
      <w:r w:rsidRPr="000F3A86">
        <w:rPr>
          <w:u w:val="single"/>
        </w:rPr>
        <w:t>il n</w:t>
      </w:r>
      <w:r w:rsidR="00E25236">
        <w:rPr>
          <w:u w:val="single"/>
        </w:rPr>
        <w:t>’</w:t>
      </w:r>
      <w:r w:rsidRPr="000F3A86">
        <w:rPr>
          <w:u w:val="single"/>
        </w:rPr>
        <w:t>occupait pas d</w:t>
      </w:r>
      <w:r w:rsidR="00E25236">
        <w:rPr>
          <w:u w:val="single"/>
        </w:rPr>
        <w:t>’</w:t>
      </w:r>
      <w:r w:rsidRPr="000F3A86">
        <w:rPr>
          <w:u w:val="single"/>
        </w:rPr>
        <w:t>emploi, qu</w:t>
      </w:r>
      <w:r w:rsidR="00E25236">
        <w:rPr>
          <w:u w:val="single"/>
        </w:rPr>
        <w:t>’</w:t>
      </w:r>
      <w:r w:rsidRPr="000F3A86">
        <w:rPr>
          <w:u w:val="single"/>
        </w:rPr>
        <w:t>est-ce qui se passait?</w:t>
      </w:r>
    </w:p>
    <w:p w14:paraId="61E44257" w14:textId="16BC4860" w:rsidR="000F3A86" w:rsidRDefault="000F3A86" w:rsidP="00E25236">
      <w:pPr>
        <w:pStyle w:val="citation"/>
        <w:spacing w:after="120"/>
      </w:pPr>
      <w:r>
        <w:rPr>
          <w:b/>
          <w:bCs/>
        </w:rPr>
        <w:t>M. Boulet :</w:t>
      </w:r>
      <w:r>
        <w:t> </w:t>
      </w:r>
      <w:r w:rsidRPr="000F3A86">
        <w:rPr>
          <w:u w:val="single"/>
        </w:rPr>
        <w:t>Il continue de recevoir de l</w:t>
      </w:r>
      <w:r w:rsidR="00E25236">
        <w:rPr>
          <w:u w:val="single"/>
        </w:rPr>
        <w:t>’</w:t>
      </w:r>
      <w:r w:rsidRPr="000F3A86">
        <w:rPr>
          <w:u w:val="single"/>
        </w:rPr>
        <w:t>indemnité, dans la mesure où il est incapable, puis c</w:t>
      </w:r>
      <w:r w:rsidR="00E25236">
        <w:rPr>
          <w:u w:val="single"/>
        </w:rPr>
        <w:t>’</w:t>
      </w:r>
      <w:r w:rsidRPr="000F3A86">
        <w:rPr>
          <w:u w:val="single"/>
        </w:rPr>
        <w:t>est l</w:t>
      </w:r>
      <w:r w:rsidR="00E25236">
        <w:rPr>
          <w:u w:val="single"/>
        </w:rPr>
        <w:t>’</w:t>
      </w:r>
      <w:r w:rsidRPr="000F3A86">
        <w:rPr>
          <w:u w:val="single"/>
        </w:rPr>
        <w:t>emploi qu</w:t>
      </w:r>
      <w:r w:rsidR="00E25236">
        <w:rPr>
          <w:u w:val="single"/>
        </w:rPr>
        <w:t>’</w:t>
      </w:r>
      <w:r w:rsidRPr="000F3A86">
        <w:rPr>
          <w:u w:val="single"/>
        </w:rPr>
        <w:t>il occupait habituellement. Par exemple, ça peut être l</w:t>
      </w:r>
      <w:r w:rsidR="00E25236">
        <w:rPr>
          <w:u w:val="single"/>
        </w:rPr>
        <w:t>’</w:t>
      </w:r>
      <w:r w:rsidRPr="000F3A86">
        <w:rPr>
          <w:u w:val="single"/>
        </w:rPr>
        <w:t>emploi qu</w:t>
      </w:r>
      <w:r w:rsidR="00E25236">
        <w:rPr>
          <w:u w:val="single"/>
        </w:rPr>
        <w:t>’</w:t>
      </w:r>
      <w:r w:rsidRPr="000F3A86">
        <w:rPr>
          <w:u w:val="single"/>
        </w:rPr>
        <w:t>il occupait au moment de la survenance de la lésion</w:t>
      </w:r>
      <w:r>
        <w:t>...</w:t>
      </w:r>
    </w:p>
    <w:p w14:paraId="33826E2B" w14:textId="77777777" w:rsidR="000F3A86" w:rsidRPr="00E25236" w:rsidRDefault="000F3A86" w:rsidP="00E25236">
      <w:pPr>
        <w:pStyle w:val="citation"/>
        <w:spacing w:after="120"/>
        <w:rPr>
          <w:sz w:val="24"/>
          <w:szCs w:val="24"/>
        </w:rPr>
      </w:pPr>
      <w:r w:rsidRPr="00E25236">
        <w:rPr>
          <w:sz w:val="24"/>
          <w:szCs w:val="24"/>
        </w:rPr>
        <w:t>[…]</w:t>
      </w:r>
    </w:p>
    <w:p w14:paraId="348FED5E" w14:textId="5A6E8064" w:rsidR="000F3A86" w:rsidRPr="000F3A86" w:rsidRDefault="000F3A86" w:rsidP="00E25236">
      <w:pPr>
        <w:pStyle w:val="citation"/>
        <w:spacing w:after="360"/>
        <w:rPr>
          <w:sz w:val="24"/>
          <w:szCs w:val="24"/>
        </w:rPr>
      </w:pPr>
      <w:r w:rsidRPr="000F3A86">
        <w:rPr>
          <w:sz w:val="24"/>
          <w:szCs w:val="24"/>
        </w:rPr>
        <w:t>[</w:t>
      </w:r>
      <w:r>
        <w:rPr>
          <w:sz w:val="24"/>
          <w:szCs w:val="24"/>
        </w:rPr>
        <w:t>Transcription textuelle</w:t>
      </w:r>
      <w:r w:rsidR="00C86902">
        <w:rPr>
          <w:sz w:val="24"/>
          <w:szCs w:val="24"/>
        </w:rPr>
        <w:t xml:space="preserve"> et n</w:t>
      </w:r>
      <w:r w:rsidR="00C86902" w:rsidRPr="000F3A86">
        <w:rPr>
          <w:sz w:val="24"/>
          <w:szCs w:val="24"/>
        </w:rPr>
        <w:t>o</w:t>
      </w:r>
      <w:r w:rsidR="00C86902">
        <w:rPr>
          <w:sz w:val="24"/>
          <w:szCs w:val="24"/>
        </w:rPr>
        <w:t>s</w:t>
      </w:r>
      <w:r w:rsidR="00C86902" w:rsidRPr="000F3A86">
        <w:rPr>
          <w:sz w:val="24"/>
          <w:szCs w:val="24"/>
        </w:rPr>
        <w:t xml:space="preserve"> </w:t>
      </w:r>
      <w:r w:rsidRPr="000F3A86">
        <w:rPr>
          <w:sz w:val="24"/>
          <w:szCs w:val="24"/>
        </w:rPr>
        <w:t>soulignement</w:t>
      </w:r>
      <w:r w:rsidR="00C86902">
        <w:rPr>
          <w:sz w:val="24"/>
          <w:szCs w:val="24"/>
        </w:rPr>
        <w:t>s</w:t>
      </w:r>
      <w:r w:rsidRPr="000F3A86">
        <w:rPr>
          <w:sz w:val="24"/>
          <w:szCs w:val="24"/>
        </w:rPr>
        <w:t>]</w:t>
      </w:r>
    </w:p>
    <w:p w14:paraId="4C5DED93" w14:textId="5FF90645" w:rsidR="0003179B" w:rsidRDefault="00832D6E" w:rsidP="00E25236">
      <w:pPr>
        <w:pStyle w:val="corpsdedcision"/>
        <w:keepLines/>
        <w:tabs>
          <w:tab w:val="clear" w:pos="360"/>
        </w:tabs>
        <w:rPr>
          <w:szCs w:val="24"/>
        </w:rPr>
      </w:pPr>
      <w:r>
        <w:rPr>
          <w:szCs w:val="24"/>
        </w:rPr>
        <w:t>L</w:t>
      </w:r>
      <w:r w:rsidR="0003179B">
        <w:rPr>
          <w:szCs w:val="24"/>
        </w:rPr>
        <w:t>e Tribunal considère que la jurisprudence constante du Tribunal relative au droit à l’</w:t>
      </w:r>
      <w:r>
        <w:rPr>
          <w:szCs w:val="24"/>
        </w:rPr>
        <w:t>indemnité de remplacement du revenu</w:t>
      </w:r>
      <w:r w:rsidR="0003179B">
        <w:rPr>
          <w:szCs w:val="24"/>
        </w:rPr>
        <w:t xml:space="preserve"> des travailleurs retraités s’applique </w:t>
      </w:r>
      <w:r>
        <w:rPr>
          <w:szCs w:val="24"/>
        </w:rPr>
        <w:t>au présent dossier</w:t>
      </w:r>
      <w:r w:rsidR="0003179B">
        <w:rPr>
          <w:szCs w:val="24"/>
        </w:rPr>
        <w:t>. Les arguments de l’employeur ne convainquent pas le Tribunal de conclure autrement.</w:t>
      </w:r>
    </w:p>
    <w:p w14:paraId="617BDBE2" w14:textId="18C7551C" w:rsidR="00832CC7" w:rsidRDefault="00832CC7" w:rsidP="00784C38">
      <w:pPr>
        <w:pStyle w:val="corpsdedcision"/>
        <w:tabs>
          <w:tab w:val="clear" w:pos="360"/>
        </w:tabs>
      </w:pPr>
      <w:r>
        <w:t>Ainsi, pour décider si monsieur Poirier a droit de bénéficier ou non de l’indemnité de remplacement du revenu prévue à l’article 44 de la Loi, le Tribunal doit déterminer si la lésion professionnelle subi</w:t>
      </w:r>
      <w:r w:rsidR="00C33F16">
        <w:t>e</w:t>
      </w:r>
      <w:r>
        <w:t xml:space="preserve"> par celui-ci le rend incapable d’exercer </w:t>
      </w:r>
      <w:r w:rsidR="0074779A">
        <w:t>l’</w:t>
      </w:r>
      <w:r>
        <w:t>emploi</w:t>
      </w:r>
      <w:r w:rsidR="0074779A">
        <w:t xml:space="preserve"> qu’il occupait</w:t>
      </w:r>
      <w:r>
        <w:t xml:space="preserve"> habituel</w:t>
      </w:r>
      <w:r w:rsidR="0074779A">
        <w:t>lement. Puisque le travailleur n’a occupé aucun autre emploi à la suite de sa retraite le 1</w:t>
      </w:r>
      <w:r w:rsidR="0074779A" w:rsidRPr="0074779A">
        <w:rPr>
          <w:vertAlign w:val="superscript"/>
        </w:rPr>
        <w:t>er</w:t>
      </w:r>
      <w:r w:rsidR="0074779A">
        <w:t xml:space="preserve"> septembre 2019, cet emploi est</w:t>
      </w:r>
      <w:r>
        <w:t xml:space="preserve"> celui de pompier.</w:t>
      </w:r>
    </w:p>
    <w:p w14:paraId="1EF28F46" w14:textId="55A15B03" w:rsidR="00B06E64" w:rsidRDefault="0074779A" w:rsidP="00784C38">
      <w:pPr>
        <w:pStyle w:val="corpsdedcision"/>
        <w:tabs>
          <w:tab w:val="clear" w:pos="360"/>
        </w:tabs>
      </w:pPr>
      <w:r>
        <w:t>Les parties n’ont présenté aucune preuve relative à la capacité ou non de monsieur Poirier d’exercer l’emploi de pompier.</w:t>
      </w:r>
      <w:r w:rsidR="00E27FC0">
        <w:t xml:space="preserve"> Le Tribunal rappelle que l’article 46 de la Loi prévoit une présomption à</w:t>
      </w:r>
      <w:r w:rsidR="00C33F16">
        <w:t xml:space="preserve"> savoir</w:t>
      </w:r>
      <w:r w:rsidR="00E27FC0">
        <w:t xml:space="preserve"> qu’un travailleur victime d’une lésion professionnelle est présumé incapable d’exercer son emploi tant que la lésion professionnelle dont il a été victime n’est pas consolidée. Pour renverser cette présomption, l’employeur doit démontrer que cette lésion n’a pas rendu le travailleur incapable d’exercer cet emploi.</w:t>
      </w:r>
    </w:p>
    <w:p w14:paraId="7C410E37" w14:textId="0961FC6F" w:rsidR="00E27FC0" w:rsidRDefault="00E27FC0" w:rsidP="00784C38">
      <w:pPr>
        <w:pStyle w:val="corpsdedcision"/>
        <w:tabs>
          <w:tab w:val="clear" w:pos="360"/>
        </w:tabs>
      </w:pPr>
      <w:r>
        <w:t xml:space="preserve">L’absence de prescription d’un arrêt de travail </w:t>
      </w:r>
      <w:r w:rsidR="001B6E00">
        <w:t xml:space="preserve">prescrit par le professionnel de la santé qui a charge du travailleur </w:t>
      </w:r>
      <w:r>
        <w:t xml:space="preserve">n’est pas </w:t>
      </w:r>
      <w:r w:rsidR="001B6E00">
        <w:t>suffisante</w:t>
      </w:r>
      <w:r>
        <w:t xml:space="preserve"> pour renverser cette présomption et établir que le travailleur était capable, ou aurait été capable n’eut été de sa retraite, d’exercer son emploi de pompier</w:t>
      </w:r>
      <w:r>
        <w:rPr>
          <w:rStyle w:val="Appelnotedebasdep"/>
        </w:rPr>
        <w:footnoteReference w:id="16"/>
      </w:r>
      <w:r>
        <w:t>.</w:t>
      </w:r>
    </w:p>
    <w:p w14:paraId="56A27ECB" w14:textId="3756DF84" w:rsidR="00832D6E" w:rsidRDefault="00832D6E" w:rsidP="001E339B">
      <w:pPr>
        <w:pStyle w:val="corpsdedcision"/>
        <w:tabs>
          <w:tab w:val="clear" w:pos="360"/>
        </w:tabs>
        <w:spacing w:after="200"/>
      </w:pPr>
      <w:r>
        <w:t>Dans plusieurs décisions</w:t>
      </w:r>
      <w:r w:rsidR="000A432F">
        <w:t xml:space="preserve"> émanant de la jurisprudence, </w:t>
      </w:r>
      <w:r>
        <w:t>il est démontré que le travailleur a pris sa retraite en raison de conditions personnelles qui le rendent incapable de poursuivre sa carrière</w:t>
      </w:r>
      <w:r w:rsidRPr="00712C9F">
        <w:rPr>
          <w:rStyle w:val="Appelnotedebasdep"/>
        </w:rPr>
        <w:footnoteReference w:id="17"/>
      </w:r>
      <w:r w:rsidRPr="00712C9F">
        <w:t>.</w:t>
      </w:r>
      <w:r>
        <w:t xml:space="preserve"> Dans ces situations, il y a une preuve que c’est une </w:t>
      </w:r>
      <w:r w:rsidR="000A432F">
        <w:t xml:space="preserve">autre </w:t>
      </w:r>
      <w:r>
        <w:t>condition que la lésion professionnelle qui empêche le travailleur d’exercer son emploi habituel.</w:t>
      </w:r>
    </w:p>
    <w:p w14:paraId="544E4F0E" w14:textId="604D9008" w:rsidR="0074779A" w:rsidRDefault="000A432F" w:rsidP="005871F4">
      <w:pPr>
        <w:pStyle w:val="corpsdedcision"/>
        <w:tabs>
          <w:tab w:val="clear" w:pos="360"/>
        </w:tabs>
      </w:pPr>
      <w:r>
        <w:t>Dans le présent cas, l</w:t>
      </w:r>
      <w:r w:rsidR="00B06E64">
        <w:t>e seul fait que monsieur Poirier ait pris sa retraite le 1</w:t>
      </w:r>
      <w:r w:rsidR="00B06E64" w:rsidRPr="000A432F">
        <w:rPr>
          <w:vertAlign w:val="superscript"/>
        </w:rPr>
        <w:t>er</w:t>
      </w:r>
      <w:r w:rsidR="00564944">
        <w:t> </w:t>
      </w:r>
      <w:r w:rsidR="00B06E64">
        <w:t xml:space="preserve">septembre 2019 ne signifie aucunement qu’il est alors devenu incapable d’exercer son emploi. </w:t>
      </w:r>
      <w:r>
        <w:t>L</w:t>
      </w:r>
      <w:r w:rsidR="00AD5FC5">
        <w:t xml:space="preserve">a preuve administrée ne permet pas de conclure que </w:t>
      </w:r>
      <w:r w:rsidR="00445E7C">
        <w:t>nous sommes en présence d’une autre condition qui empêche monsieur Poirier d’exercer son emploi de pompier. P</w:t>
      </w:r>
      <w:r w:rsidR="0074779A">
        <w:t>uisque l’employeur n’a pas renvers</w:t>
      </w:r>
      <w:r w:rsidR="00AD5FC5">
        <w:t>é</w:t>
      </w:r>
      <w:r w:rsidR="0074779A">
        <w:t xml:space="preserve"> la présomption prévue à l’article 46 de la Loi, celle-ci doit s’appliquer.</w:t>
      </w:r>
    </w:p>
    <w:p w14:paraId="5C00F752" w14:textId="558DC876" w:rsidR="000F3A86" w:rsidRDefault="00832CC7" w:rsidP="00784C38">
      <w:pPr>
        <w:pStyle w:val="corpsdedcision"/>
        <w:tabs>
          <w:tab w:val="clear" w:pos="360"/>
        </w:tabs>
      </w:pPr>
      <w:r>
        <w:t xml:space="preserve">En conséquence, le Tribunal conclut que </w:t>
      </w:r>
      <w:r w:rsidR="0074779A">
        <w:t>monsieur Poirier est incapable d’exercer son emploi de pompier tant que la lésion professionnelle n’est pas consolidée, ce qui intervient le 27 juin 2023.</w:t>
      </w:r>
    </w:p>
    <w:p w14:paraId="0CFF31B9" w14:textId="20DCA11B" w:rsidR="0074779A" w:rsidRDefault="0074779A" w:rsidP="00784C38">
      <w:pPr>
        <w:pStyle w:val="corpsdedcision"/>
        <w:tabs>
          <w:tab w:val="clear" w:pos="360"/>
        </w:tabs>
      </w:pPr>
      <w:r>
        <w:t>Puisque cette lésion est consolidée avec une atteinte permanente à l’intégrité physique ou psychique du travailleur et des limitations fonctionnelles, la Commission devait se prononcer sur la capacité de travail de monsieur Poirier</w:t>
      </w:r>
      <w:r w:rsidR="0047058A">
        <w:rPr>
          <w:rStyle w:val="Appelnotedebasdep"/>
        </w:rPr>
        <w:footnoteReference w:id="18"/>
      </w:r>
      <w:r>
        <w:t>.</w:t>
      </w:r>
    </w:p>
    <w:p w14:paraId="24222F3B" w14:textId="380B635C" w:rsidR="00221220" w:rsidRPr="0047058A" w:rsidRDefault="00B84D0A" w:rsidP="00E25236">
      <w:pPr>
        <w:pStyle w:val="corpsdedcision"/>
        <w:tabs>
          <w:tab w:val="clear" w:pos="360"/>
        </w:tabs>
        <w:spacing w:after="240"/>
        <w:rPr>
          <w:szCs w:val="24"/>
        </w:rPr>
      </w:pPr>
      <w:r>
        <w:t>En effet, il est reconnu que la Commission doit se prononcer sur la capacité du travailleur, malgré la retraite de ce dernier</w:t>
      </w:r>
      <w:r w:rsidR="0047058A" w:rsidRPr="0047058A">
        <w:rPr>
          <w:szCs w:val="24"/>
        </w:rPr>
        <w:t xml:space="preserve">. Dans l’affaire </w:t>
      </w:r>
      <w:r w:rsidR="0047058A" w:rsidRPr="0047058A">
        <w:rPr>
          <w:i/>
          <w:iCs/>
          <w:szCs w:val="24"/>
        </w:rPr>
        <w:t>Société canadienne des postes</w:t>
      </w:r>
      <w:r w:rsidR="0047058A" w:rsidRPr="0047058A">
        <w:rPr>
          <w:szCs w:val="24"/>
        </w:rPr>
        <w:t xml:space="preserve"> et </w:t>
      </w:r>
      <w:r w:rsidR="0047058A" w:rsidRPr="0047058A">
        <w:rPr>
          <w:i/>
          <w:iCs/>
          <w:szCs w:val="24"/>
        </w:rPr>
        <w:t>Brouillet</w:t>
      </w:r>
      <w:r w:rsidR="0047058A">
        <w:rPr>
          <w:rStyle w:val="Appelnotedebasdep"/>
          <w:i/>
          <w:iCs/>
          <w:szCs w:val="24"/>
        </w:rPr>
        <w:footnoteReference w:id="19"/>
      </w:r>
      <w:r w:rsidR="0047058A" w:rsidRPr="0047058A">
        <w:rPr>
          <w:szCs w:val="24"/>
        </w:rPr>
        <w:t>, le Tribunal s’exprime comme suit :</w:t>
      </w:r>
    </w:p>
    <w:p w14:paraId="1B68F1DF" w14:textId="22D16862" w:rsidR="00221220" w:rsidRDefault="002833B1" w:rsidP="00E25236">
      <w:pPr>
        <w:pStyle w:val="citation"/>
        <w:spacing w:after="120"/>
      </w:pPr>
      <w:r w:rsidRPr="00C46D11">
        <w:t>[</w:t>
      </w:r>
      <w:r>
        <w:t>50</w:t>
      </w:r>
      <w:r w:rsidRPr="00C46D11">
        <w:t>]</w:t>
      </w:r>
      <w:r w:rsidR="007235E8">
        <w:tab/>
      </w:r>
      <w:r w:rsidR="00221220">
        <w:t>Aussi, il a déjà été décidé</w:t>
      </w:r>
      <w:r w:rsidR="0047058A">
        <w:rPr>
          <w:vertAlign w:val="superscript"/>
        </w:rPr>
        <w:t>3</w:t>
      </w:r>
      <w:r w:rsidR="00221220">
        <w:t xml:space="preserve"> que la retraite d’un travailleur ne fait pas obstacle à son droit aux indemnités de remplacement du revenu, </w:t>
      </w:r>
      <w:r w:rsidR="00221220" w:rsidRPr="00420CF3">
        <w:rPr>
          <w:u w:val="single"/>
        </w:rPr>
        <w:t>ni à son droit à la réadaptation</w:t>
      </w:r>
      <w:r w:rsidR="0047058A" w:rsidRPr="0047058A">
        <w:rPr>
          <w:vertAlign w:val="superscript"/>
        </w:rPr>
        <w:t>4</w:t>
      </w:r>
      <w:r w:rsidR="00221220">
        <w:t>. Ce que la loi cherche à indemniser, c’est la capacité de gain d’un travailleur et non la perte d’un revenu. Puisque la retraite ne prive pas un travailleur de cette capacité d’occuper un travail rémunérateur, celle-ci doit être protégée par le droit aux indemnités de remplacement du revenu notamment en cas de récidive, de rechute ou d’aggravation.</w:t>
      </w:r>
    </w:p>
    <w:p w14:paraId="2F7D5FEF" w14:textId="77777777" w:rsidR="00221220" w:rsidRPr="00E25236" w:rsidRDefault="00221220" w:rsidP="00E25236">
      <w:pPr>
        <w:pStyle w:val="citation"/>
        <w:spacing w:after="120"/>
        <w:rPr>
          <w:sz w:val="24"/>
          <w:szCs w:val="24"/>
        </w:rPr>
      </w:pPr>
      <w:r w:rsidRPr="00E25236">
        <w:rPr>
          <w:sz w:val="24"/>
          <w:szCs w:val="24"/>
        </w:rPr>
        <w:t>[…]</w:t>
      </w:r>
    </w:p>
    <w:p w14:paraId="09CB36C1" w14:textId="0242E162" w:rsidR="00221220" w:rsidRDefault="002833B1" w:rsidP="00E25236">
      <w:pPr>
        <w:pStyle w:val="citation"/>
        <w:spacing w:after="120"/>
      </w:pPr>
      <w:r w:rsidRPr="00C46D11">
        <w:t>[</w:t>
      </w:r>
      <w:r>
        <w:t>59</w:t>
      </w:r>
      <w:r w:rsidRPr="00C46D11">
        <w:t>]</w:t>
      </w:r>
      <w:r w:rsidR="007235E8">
        <w:tab/>
      </w:r>
      <w:r w:rsidR="00221220">
        <w:t xml:space="preserve">Lorsque le travailleur est sans emploi au moment de la survenance d’une lésion professionnelle, l’interprétation des termes </w:t>
      </w:r>
      <w:r w:rsidR="00221220" w:rsidRPr="008F5BC9">
        <w:rPr>
          <w:i/>
        </w:rPr>
        <w:t>son emploi</w:t>
      </w:r>
      <w:r w:rsidR="00221220">
        <w:t xml:space="preserve"> pour chacun des articles 44, 46, 47 ou 53 dans un contexte o</w:t>
      </w:r>
      <w:r w:rsidR="00C33F16">
        <w:t>ù</w:t>
      </w:r>
      <w:r w:rsidR="00221220">
        <w:t xml:space="preserve"> un travailleur est sans emploi, se doit d’être cohérente. Il faut alors se référer à l’emploi habituellement occupé</w:t>
      </w:r>
      <w:r w:rsidR="0047058A" w:rsidRPr="0047058A">
        <w:rPr>
          <w:vertAlign w:val="superscript"/>
        </w:rPr>
        <w:t>8</w:t>
      </w:r>
      <w:r w:rsidR="00221220">
        <w:t xml:space="preserve"> et dans certains cas, à l’emploi convenable préalablement déterminé</w:t>
      </w:r>
      <w:r w:rsidR="0047058A" w:rsidRPr="0047058A">
        <w:rPr>
          <w:vertAlign w:val="superscript"/>
        </w:rPr>
        <w:t>9</w:t>
      </w:r>
      <w:r w:rsidR="00221220">
        <w:t xml:space="preserve"> pour décider de la capacité d’emploi d’un travailleur.</w:t>
      </w:r>
    </w:p>
    <w:p w14:paraId="54003426" w14:textId="4527C1F7" w:rsidR="00221220" w:rsidRDefault="002833B1" w:rsidP="00E25236">
      <w:pPr>
        <w:pStyle w:val="citation"/>
        <w:spacing w:after="120"/>
      </w:pPr>
      <w:r w:rsidRPr="00C46D11">
        <w:t>[</w:t>
      </w:r>
      <w:r>
        <w:t>60</w:t>
      </w:r>
      <w:r w:rsidRPr="00C46D11">
        <w:t>]</w:t>
      </w:r>
      <w:r w:rsidR="007235E8">
        <w:tab/>
      </w:r>
      <w:r w:rsidR="00221220">
        <w:t>En l’espèce, l</w:t>
      </w:r>
      <w:r w:rsidR="00221220" w:rsidRPr="008006F7">
        <w:t xml:space="preserve">e fait pour un travailleur d’être à la retraite, ne </w:t>
      </w:r>
      <w:r w:rsidR="00221220">
        <w:t xml:space="preserve">dispense pas </w:t>
      </w:r>
      <w:smartTag w:uri="urn:schemas-microsoft-com:office:smarttags" w:element="PersonName">
        <w:smartTagPr>
          <w:attr w:name="ProductID" w:val="la CSST"/>
        </w:smartTagPr>
        <w:r w:rsidR="00221220">
          <w:t>la CSST</w:t>
        </w:r>
      </w:smartTag>
      <w:r w:rsidR="00221220">
        <w:t xml:space="preserve"> d’effectuer </w:t>
      </w:r>
      <w:r w:rsidR="00221220" w:rsidRPr="008006F7">
        <w:t xml:space="preserve">l’analyse de sa capacité à exercer son emploi ou un emploi convenable disponible chez l’employeur puisque la reconnaissance du droit à l’indemnité de remplacement du revenu en vertu de l’article 53 de la loi est </w:t>
      </w:r>
      <w:r w:rsidR="00221220">
        <w:t>tributaire</w:t>
      </w:r>
      <w:r w:rsidR="00221220" w:rsidRPr="008006F7">
        <w:t xml:space="preserve"> de </w:t>
      </w:r>
      <w:r w:rsidR="00221220" w:rsidRPr="0062466C">
        <w:rPr>
          <w:u w:val="single"/>
        </w:rPr>
        <w:t>l’inc</w:t>
      </w:r>
      <w:r w:rsidR="00221220" w:rsidRPr="003520F9">
        <w:rPr>
          <w:u w:val="single"/>
        </w:rPr>
        <w:t>apacité</w:t>
      </w:r>
      <w:r w:rsidR="00221220" w:rsidRPr="008006F7">
        <w:t xml:space="preserve"> du travailleur à exercer son emploi en raison de la lésion professionnelle</w:t>
      </w:r>
      <w:r w:rsidR="00C04218" w:rsidRPr="00C04218">
        <w:rPr>
          <w:vertAlign w:val="superscript"/>
        </w:rPr>
        <w:t>10</w:t>
      </w:r>
      <w:r w:rsidR="00221220">
        <w:t xml:space="preserve"> et non pas parce que le travailleur est à la retraite et que le lien d’emploi est rompu</w:t>
      </w:r>
      <w:r w:rsidR="00221220" w:rsidRPr="008006F7">
        <w:t>.</w:t>
      </w:r>
    </w:p>
    <w:p w14:paraId="26DD6BD3" w14:textId="153DAF9B" w:rsidR="00221220" w:rsidRDefault="002833B1" w:rsidP="00E25236">
      <w:pPr>
        <w:pStyle w:val="citation"/>
        <w:spacing w:after="120"/>
      </w:pPr>
      <w:r w:rsidRPr="00C46D11">
        <w:t>[</w:t>
      </w:r>
      <w:r>
        <w:t>61</w:t>
      </w:r>
      <w:r w:rsidRPr="00C46D11">
        <w:t>]</w:t>
      </w:r>
      <w:r w:rsidR="007235E8">
        <w:tab/>
      </w:r>
      <w:r w:rsidR="00221220">
        <w:t xml:space="preserve">À cet effet, </w:t>
      </w:r>
      <w:smartTag w:uri="urn:schemas-microsoft-com:office:smarttags" w:element="PersonName">
        <w:smartTagPr>
          <w:attr w:name="ProductID" w:val="la Commission"/>
        </w:smartTagPr>
        <w:r w:rsidR="00221220">
          <w:t xml:space="preserve">la </w:t>
        </w:r>
        <w:r w:rsidR="00221220" w:rsidRPr="008A397C">
          <w:t>Commission</w:t>
        </w:r>
      </w:smartTag>
      <w:r w:rsidR="00221220" w:rsidRPr="008A397C">
        <w:t xml:space="preserve"> des lésions professionnelles</w:t>
      </w:r>
      <w:r w:rsidR="00C04218" w:rsidRPr="00C04218">
        <w:rPr>
          <w:vertAlign w:val="superscript"/>
        </w:rPr>
        <w:t>11</w:t>
      </w:r>
      <w:r w:rsidR="00221220">
        <w:t xml:space="preserve"> a déjà eu à statuer sur la capacité du </w:t>
      </w:r>
      <w:r w:rsidR="00221220" w:rsidRPr="008A397C">
        <w:t>travailleur</w:t>
      </w:r>
      <w:r w:rsidR="00221220">
        <w:t xml:space="preserve"> à exercer son emploi ou un emploi convenable disponible chez son </w:t>
      </w:r>
      <w:r w:rsidR="00221220" w:rsidRPr="008A397C">
        <w:t>employeur</w:t>
      </w:r>
      <w:r w:rsidR="00221220">
        <w:t xml:space="preserve"> dans un contexte de retraite.</w:t>
      </w:r>
    </w:p>
    <w:p w14:paraId="177E4536" w14:textId="721254D4" w:rsidR="00221220" w:rsidRDefault="002833B1" w:rsidP="00E25236">
      <w:pPr>
        <w:pStyle w:val="citation"/>
        <w:spacing w:after="120"/>
      </w:pPr>
      <w:r w:rsidRPr="00C46D11">
        <w:t>[</w:t>
      </w:r>
      <w:r>
        <w:t>62</w:t>
      </w:r>
      <w:r w:rsidRPr="00C46D11">
        <w:t>]</w:t>
      </w:r>
      <w:r w:rsidR="007235E8">
        <w:tab/>
      </w:r>
      <w:r w:rsidR="00221220">
        <w:t xml:space="preserve">Il en est de même dans des situations où le lien d’emploi a été rompu par avis de licenciement et </w:t>
      </w:r>
      <w:smartTag w:uri="urn:schemas-microsoft-com:office:smarttags" w:element="PersonName">
        <w:smartTagPr>
          <w:attr w:name="ProductID" w:val="la Commission"/>
        </w:smartTagPr>
        <w:r w:rsidR="00221220">
          <w:t xml:space="preserve">la </w:t>
        </w:r>
        <w:r w:rsidR="00221220" w:rsidRPr="008A397C">
          <w:t>Commission</w:t>
        </w:r>
      </w:smartTag>
      <w:r w:rsidR="00221220" w:rsidRPr="008A397C">
        <w:t xml:space="preserve"> des lésions professionnelles</w:t>
      </w:r>
      <w:r w:rsidR="00221220">
        <w:t xml:space="preserve"> a considéré que cette situation ne met pas fin à une alternative de </w:t>
      </w:r>
      <w:r w:rsidR="00221220" w:rsidRPr="008A397C">
        <w:t>retour au travail</w:t>
      </w:r>
      <w:r w:rsidR="00221220">
        <w:t xml:space="preserve"> dans un emploi convenable chez l’ancien </w:t>
      </w:r>
      <w:r w:rsidR="00221220" w:rsidRPr="008A397C">
        <w:t>employeur</w:t>
      </w:r>
      <w:r w:rsidR="00C04218">
        <w:rPr>
          <w:vertAlign w:val="superscript"/>
        </w:rPr>
        <w:t>1</w:t>
      </w:r>
      <w:r w:rsidR="0047058A" w:rsidRPr="0047058A">
        <w:rPr>
          <w:vertAlign w:val="superscript"/>
        </w:rPr>
        <w:t>2</w:t>
      </w:r>
      <w:r w:rsidR="00221220">
        <w:t>.</w:t>
      </w:r>
    </w:p>
    <w:p w14:paraId="6231EE00" w14:textId="1E6FC1FB" w:rsidR="00221220" w:rsidRDefault="002833B1" w:rsidP="00E25236">
      <w:pPr>
        <w:pStyle w:val="citation"/>
        <w:spacing w:after="120"/>
      </w:pPr>
      <w:r w:rsidRPr="00C46D11">
        <w:t>[</w:t>
      </w:r>
      <w:r>
        <w:t>63</w:t>
      </w:r>
      <w:r w:rsidRPr="00C46D11">
        <w:t>]</w:t>
      </w:r>
      <w:r w:rsidR="007235E8">
        <w:tab/>
      </w:r>
      <w:r w:rsidR="00221220">
        <w:t xml:space="preserve">Lorsque la révision administrative de </w:t>
      </w:r>
      <w:smartTag w:uri="urn:schemas-microsoft-com:office:smarttags" w:element="PersonName">
        <w:smartTagPr>
          <w:attr w:name="ProductID" w:val="la CSST"/>
        </w:smartTagPr>
        <w:r w:rsidR="00221220">
          <w:t>la CSST</w:t>
        </w:r>
      </w:smartTag>
      <w:r w:rsidR="00221220">
        <w:t xml:space="preserve"> considère qu’elle n’a pas à se demander si le travailleur est capable d’exercer </w:t>
      </w:r>
      <w:r w:rsidR="00221220" w:rsidRPr="00437307">
        <w:rPr>
          <w:u w:val="single"/>
        </w:rPr>
        <w:t>son</w:t>
      </w:r>
      <w:r w:rsidR="00221220">
        <w:t xml:space="preserve"> emploi puisqu’il est à la retraite et qu’elle applique ensuite automatiquement l’article 53, elle ignore les conditions d’application de cette disposition pour lui en substituer une autre, soit celle de la fin du lien d’emploi.</w:t>
      </w:r>
    </w:p>
    <w:p w14:paraId="3084577C" w14:textId="4DCDF754" w:rsidR="00221220" w:rsidRDefault="002833B1" w:rsidP="00E25236">
      <w:pPr>
        <w:pStyle w:val="citation"/>
        <w:spacing w:after="120"/>
      </w:pPr>
      <w:r w:rsidRPr="00C46D11">
        <w:t>[</w:t>
      </w:r>
      <w:r>
        <w:t>64</w:t>
      </w:r>
      <w:r w:rsidRPr="00C46D11">
        <w:t>]</w:t>
      </w:r>
      <w:r w:rsidR="007235E8">
        <w:tab/>
      </w:r>
      <w:r w:rsidR="00221220">
        <w:t xml:space="preserve">En faisant ainsi, </w:t>
      </w:r>
      <w:smartTag w:uri="urn:schemas-microsoft-com:office:smarttags" w:element="PersonName">
        <w:smartTagPr>
          <w:attr w:name="ProductID" w:val="la CSST"/>
        </w:smartTagPr>
        <w:r w:rsidR="00221220">
          <w:t>la CSST</w:t>
        </w:r>
      </w:smartTag>
      <w:r w:rsidR="00221220">
        <w:t xml:space="preserve"> présume qu’un travailleur retraité ne puisse jamais occuper à nouveau son emploi, un nouvel emploi ou un emploi convenable chez un employeur.</w:t>
      </w:r>
    </w:p>
    <w:p w14:paraId="601CEF96" w14:textId="6218B47B" w:rsidR="00221220" w:rsidRDefault="002833B1" w:rsidP="00E25236">
      <w:pPr>
        <w:pStyle w:val="citation"/>
        <w:spacing w:after="120"/>
      </w:pPr>
      <w:r w:rsidRPr="00C46D11">
        <w:t>[</w:t>
      </w:r>
      <w:r>
        <w:t>65</w:t>
      </w:r>
      <w:r w:rsidRPr="00C46D11">
        <w:t>]</w:t>
      </w:r>
      <w:r w:rsidR="007235E8">
        <w:tab/>
      </w:r>
      <w:r w:rsidR="00221220">
        <w:t xml:space="preserve">La </w:t>
      </w:r>
      <w:r w:rsidR="00221220" w:rsidRPr="008A397C">
        <w:t>Commission des lésions professionnelles</w:t>
      </w:r>
      <w:r w:rsidR="00221220">
        <w:t xml:space="preserve"> est d’avis que le statut de retraité du </w:t>
      </w:r>
      <w:r w:rsidR="00221220" w:rsidRPr="008A397C">
        <w:t>travailleur</w:t>
      </w:r>
      <w:r w:rsidR="00221220">
        <w:t xml:space="preserve"> ne peut être opposé à l’</w:t>
      </w:r>
      <w:r w:rsidR="00221220" w:rsidRPr="008A397C">
        <w:t>employeur</w:t>
      </w:r>
      <w:r w:rsidR="00221220">
        <w:t xml:space="preserve"> afin d’empêcher l’analyse des conditions du droit aux </w:t>
      </w:r>
      <w:r w:rsidR="00221220" w:rsidRPr="008A397C">
        <w:t>indemnité</w:t>
      </w:r>
      <w:r w:rsidR="00221220">
        <w:t>s</w:t>
      </w:r>
      <w:r w:rsidR="00221220" w:rsidRPr="008A397C">
        <w:t xml:space="preserve"> de remplacement du revenu</w:t>
      </w:r>
      <w:r w:rsidR="00221220">
        <w:t xml:space="preserve"> en vertu de l’article 53.</w:t>
      </w:r>
    </w:p>
    <w:p w14:paraId="29AB21B6" w14:textId="77777777" w:rsidR="00221220" w:rsidRPr="000D63B8" w:rsidRDefault="00221220" w:rsidP="00E25236">
      <w:pPr>
        <w:pStyle w:val="citation"/>
        <w:spacing w:after="360"/>
        <w:rPr>
          <w:sz w:val="24"/>
          <w:szCs w:val="24"/>
        </w:rPr>
      </w:pPr>
      <w:r w:rsidRPr="000D63B8">
        <w:rPr>
          <w:sz w:val="24"/>
          <w:szCs w:val="24"/>
        </w:rPr>
        <w:t>[Notes omises]</w:t>
      </w:r>
    </w:p>
    <w:p w14:paraId="49766D29" w14:textId="714B0649" w:rsidR="0074779A" w:rsidRDefault="00131FBF" w:rsidP="0074779A">
      <w:pPr>
        <w:pStyle w:val="corpsdedcision"/>
      </w:pPr>
      <w:r>
        <w:t>En conséquence, l</w:t>
      </w:r>
      <w:r w:rsidR="0074779A">
        <w:t>e Tribunal retourne le dossier à la Commission afin qu’elle procède à l’é</w:t>
      </w:r>
      <w:r>
        <w:t>valuation</w:t>
      </w:r>
      <w:r w:rsidR="0074779A">
        <w:t xml:space="preserve"> de la capacité de </w:t>
      </w:r>
      <w:r w:rsidR="0074779A" w:rsidRPr="00D70E2C">
        <w:rPr>
          <w:rFonts w:cs="Arial"/>
        </w:rPr>
        <w:t>m</w:t>
      </w:r>
      <w:r w:rsidR="0074779A">
        <w:rPr>
          <w:rFonts w:cs="Arial"/>
        </w:rPr>
        <w:t>onsieur</w:t>
      </w:r>
      <w:r w:rsidR="0074779A" w:rsidRPr="00D70E2C">
        <w:rPr>
          <w:rFonts w:cs="Arial"/>
        </w:rPr>
        <w:t> </w:t>
      </w:r>
      <w:r w:rsidR="0074779A">
        <w:rPr>
          <w:rFonts w:cs="Arial"/>
        </w:rPr>
        <w:t>Poirier</w:t>
      </w:r>
      <w:r w:rsidR="0074779A" w:rsidRPr="006A3AFB">
        <w:t xml:space="preserve"> </w:t>
      </w:r>
      <w:r w:rsidR="0074779A">
        <w:t>de reprendre son emploi ou un emploi convenable en fonction de ses limitations fonctionnelles.</w:t>
      </w:r>
    </w:p>
    <w:p w14:paraId="75C0A37C" w14:textId="77777777" w:rsidR="00C74B6F" w:rsidRDefault="00C74B6F" w:rsidP="001E339B">
      <w:pPr>
        <w:pStyle w:val="Dispositif"/>
        <w:spacing w:before="600"/>
      </w:pPr>
      <w:r>
        <w:rPr>
          <w:b/>
        </w:rPr>
        <w:t>P</w:t>
      </w:r>
      <w:r w:rsidR="00401325">
        <w:rPr>
          <w:b/>
        </w:rPr>
        <w:t>AR</w:t>
      </w:r>
      <w:r w:rsidR="00D07FA6">
        <w:rPr>
          <w:b/>
        </w:rPr>
        <w:t xml:space="preserve"> CES MOTIFS, LE TRIBUNAL ADMINISTRATIF DU TRAVAIL</w:t>
      </w:r>
      <w:r>
        <w:rPr>
          <w:b/>
        </w:rPr>
        <w:t> :</w:t>
      </w:r>
    </w:p>
    <w:p w14:paraId="34A46400" w14:textId="35E316C5" w:rsidR="00E60E8D" w:rsidRDefault="00E60E8D" w:rsidP="001E339B">
      <w:pPr>
        <w:pStyle w:val="Dispositif"/>
      </w:pPr>
      <w:bookmarkStart w:id="15" w:name="dispositif"/>
      <w:r>
        <w:t xml:space="preserve">Dossier </w:t>
      </w:r>
      <w:r w:rsidR="003407C0">
        <w:t>1333336-62A-2308</w:t>
      </w:r>
    </w:p>
    <w:bookmarkEnd w:id="15"/>
    <w:p w14:paraId="26EDB5A8" w14:textId="09C6154D" w:rsidR="00712C9F" w:rsidRDefault="00712C9F" w:rsidP="00712C9F">
      <w:pPr>
        <w:pStyle w:val="Dispositif"/>
      </w:pPr>
      <w:r w:rsidRPr="0049337E">
        <w:rPr>
          <w:b/>
        </w:rPr>
        <w:t>ACCUEILLE</w:t>
      </w:r>
      <w:r>
        <w:rPr>
          <w:bCs/>
        </w:rPr>
        <w:t xml:space="preserve"> </w:t>
      </w:r>
      <w:r w:rsidRPr="0049337E">
        <w:rPr>
          <w:bCs/>
        </w:rPr>
        <w:t>la</w:t>
      </w:r>
      <w:r>
        <w:t xml:space="preserve"> contestation du travailleur,</w:t>
      </w:r>
      <w:r w:rsidR="00E2326D">
        <w:t xml:space="preserve"> monsieur</w:t>
      </w:r>
      <w:r>
        <w:t xml:space="preserve"> Richard Poirier;</w:t>
      </w:r>
    </w:p>
    <w:p w14:paraId="085EABA0" w14:textId="089CC515" w:rsidR="00712C9F" w:rsidRDefault="00712C9F" w:rsidP="00712C9F">
      <w:pPr>
        <w:pStyle w:val="Dispositif"/>
      </w:pPr>
      <w:r>
        <w:rPr>
          <w:b/>
        </w:rPr>
        <w:t>MODIFIE</w:t>
      </w:r>
      <w:r>
        <w:t xml:space="preserve"> la décision </w:t>
      </w:r>
      <w:r w:rsidRPr="00707794">
        <w:t xml:space="preserve">de la Commission des normes, de l’équité, de la santé et de la sécurité du travail rendue le </w:t>
      </w:r>
      <w:r>
        <w:t xml:space="preserve">16 août </w:t>
      </w:r>
      <w:r w:rsidRPr="00707794">
        <w:t>20</w:t>
      </w:r>
      <w:r>
        <w:t>23</w:t>
      </w:r>
      <w:r w:rsidRPr="00707794">
        <w:t>, à la suite d’une révision administrative</w:t>
      </w:r>
      <w:r>
        <w:t>;</w:t>
      </w:r>
    </w:p>
    <w:p w14:paraId="219D1D48" w14:textId="143EDC99" w:rsidR="00E60E8D" w:rsidRDefault="00712C9F" w:rsidP="00E60E8D">
      <w:pPr>
        <w:pStyle w:val="Dispositif"/>
      </w:pPr>
      <w:r>
        <w:rPr>
          <w:b/>
        </w:rPr>
        <w:t>DÉCLARE</w:t>
      </w:r>
      <w:r>
        <w:t xml:space="preserve"> que le travailleur a droit à l’indemnité de remplacement du revenu.</w:t>
      </w:r>
    </w:p>
    <w:p w14:paraId="23791F5C" w14:textId="597792AF" w:rsidR="00E60E8D" w:rsidRDefault="00E60E8D" w:rsidP="001E339B">
      <w:pPr>
        <w:pStyle w:val="Dispositif"/>
        <w:keepNext/>
      </w:pPr>
      <w:r>
        <w:t xml:space="preserve">Dossier </w:t>
      </w:r>
      <w:r w:rsidR="003407C0">
        <w:t>1342262-62A-2310</w:t>
      </w:r>
    </w:p>
    <w:p w14:paraId="5522FCF2" w14:textId="22279A8B" w:rsidR="00CE55A7" w:rsidRDefault="00CE55A7" w:rsidP="00CE55A7">
      <w:pPr>
        <w:pStyle w:val="Dispositif"/>
      </w:pPr>
      <w:r w:rsidRPr="0049337E">
        <w:rPr>
          <w:b/>
        </w:rPr>
        <w:t>ACCUEILLE</w:t>
      </w:r>
      <w:r>
        <w:rPr>
          <w:bCs/>
        </w:rPr>
        <w:t xml:space="preserve"> </w:t>
      </w:r>
      <w:r w:rsidRPr="0049337E">
        <w:rPr>
          <w:bCs/>
        </w:rPr>
        <w:t>la</w:t>
      </w:r>
      <w:r>
        <w:t xml:space="preserve"> contestation du travailleur, </w:t>
      </w:r>
      <w:r w:rsidR="00E2326D">
        <w:t xml:space="preserve">monsieur </w:t>
      </w:r>
      <w:r>
        <w:t>Richard Poirier;</w:t>
      </w:r>
    </w:p>
    <w:p w14:paraId="3A4EB13F" w14:textId="3CEC76CC" w:rsidR="00CE55A7" w:rsidRDefault="00CE55A7" w:rsidP="00CE55A7">
      <w:pPr>
        <w:pStyle w:val="Dispositif"/>
      </w:pPr>
      <w:r>
        <w:rPr>
          <w:b/>
        </w:rPr>
        <w:t>INFIRME</w:t>
      </w:r>
      <w:r>
        <w:t xml:space="preserve"> la décision </w:t>
      </w:r>
      <w:r w:rsidRPr="00707794">
        <w:t xml:space="preserve">de la Commission des normes, de l’équité, de la santé et de la sécurité du travail rendue le </w:t>
      </w:r>
      <w:r>
        <w:t xml:space="preserve">24 octobre </w:t>
      </w:r>
      <w:r w:rsidRPr="00707794">
        <w:t>20</w:t>
      </w:r>
      <w:r>
        <w:t>23</w:t>
      </w:r>
      <w:r w:rsidRPr="00707794">
        <w:t>, à la suite d’une révision administrative</w:t>
      </w:r>
      <w:r>
        <w:t>;</w:t>
      </w:r>
    </w:p>
    <w:p w14:paraId="78B4DBD8" w14:textId="0B4631CB" w:rsidR="00E60E8D" w:rsidRDefault="00CE55A7" w:rsidP="00255E0C">
      <w:pPr>
        <w:pStyle w:val="Dispositif"/>
        <w:keepNext/>
      </w:pPr>
      <w:r w:rsidRPr="004E3DF3">
        <w:rPr>
          <w:b/>
        </w:rPr>
        <w:t>RETOURNE</w:t>
      </w:r>
      <w:r w:rsidRPr="004E3DF3">
        <w:t xml:space="preserve"> le </w:t>
      </w:r>
      <w:r w:rsidRPr="00DD795B">
        <w:rPr>
          <w:rFonts w:cs="Arial"/>
          <w:color w:val="000000"/>
          <w:shd w:val="clear" w:color="auto" w:fill="FFFFFF"/>
        </w:rPr>
        <w:t>dossier</w:t>
      </w:r>
      <w:r w:rsidRPr="004E3DF3">
        <w:t xml:space="preserve"> à la Commission des normes, de l’équité, de la santé et de la sécurité du travail pour qu’elle se prononce sur la capacité d</w:t>
      </w:r>
      <w:r w:rsidR="00712C9F">
        <w:t>u travailleur</w:t>
      </w:r>
      <w:r w:rsidRPr="004E3DF3">
        <w:t xml:space="preserve"> à exercer son emploi</w:t>
      </w:r>
      <w:r>
        <w:t xml:space="preserve"> ou qu’elle détermine un emploi convenable.</w:t>
      </w:r>
    </w:p>
    <w:p w14:paraId="609D9476" w14:textId="77777777" w:rsidR="00C74B6F" w:rsidRDefault="00C74B6F" w:rsidP="00255E0C">
      <w:pPr>
        <w:pStyle w:val="Dispositif"/>
        <w:keepNext/>
        <w:spacing w:before="600"/>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4F8A3BB7" w14:textId="77777777">
        <w:tc>
          <w:tcPr>
            <w:tcW w:w="4795" w:type="dxa"/>
          </w:tcPr>
          <w:p w14:paraId="18555D58" w14:textId="77777777" w:rsidR="00C74B6F" w:rsidRDefault="00C74B6F"/>
        </w:tc>
        <w:tc>
          <w:tcPr>
            <w:tcW w:w="4795" w:type="dxa"/>
          </w:tcPr>
          <w:p w14:paraId="1DEAB0B8" w14:textId="77777777" w:rsidR="00C74B6F" w:rsidRDefault="00C74B6F">
            <w:bookmarkStart w:id="16" w:name="signature"/>
            <w:bookmarkEnd w:id="16"/>
            <w:r>
              <w:t>__________________________________</w:t>
            </w:r>
          </w:p>
        </w:tc>
      </w:tr>
      <w:tr w:rsidR="00C74B6F" w14:paraId="695CE9CC" w14:textId="77777777">
        <w:tc>
          <w:tcPr>
            <w:tcW w:w="4795" w:type="dxa"/>
          </w:tcPr>
          <w:p w14:paraId="0521B027" w14:textId="77777777" w:rsidR="00C74B6F" w:rsidRDefault="00C74B6F"/>
        </w:tc>
        <w:tc>
          <w:tcPr>
            <w:tcW w:w="4795" w:type="dxa"/>
          </w:tcPr>
          <w:p w14:paraId="786F8562" w14:textId="77777777" w:rsidR="00C74B6F" w:rsidRDefault="001617B7">
            <w:r>
              <w:t>Pierre St-Onge</w:t>
            </w:r>
          </w:p>
        </w:tc>
      </w:tr>
      <w:tr w:rsidR="00C74B6F" w14:paraId="1AB3482F" w14:textId="77777777">
        <w:trPr>
          <w:cantSplit/>
        </w:trPr>
        <w:tc>
          <w:tcPr>
            <w:tcW w:w="9590" w:type="dxa"/>
            <w:gridSpan w:val="2"/>
          </w:tcPr>
          <w:p w14:paraId="2C823836" w14:textId="77777777" w:rsidR="00C74B6F" w:rsidRDefault="00C74B6F"/>
        </w:tc>
      </w:tr>
      <w:tr w:rsidR="00C74B6F" w14:paraId="7FB30D04" w14:textId="77777777">
        <w:trPr>
          <w:cantSplit/>
        </w:trPr>
        <w:tc>
          <w:tcPr>
            <w:tcW w:w="9590" w:type="dxa"/>
            <w:gridSpan w:val="2"/>
          </w:tcPr>
          <w:p w14:paraId="3C6EBF70" w14:textId="77777777" w:rsidR="00C74B6F" w:rsidRDefault="00C74B6F"/>
        </w:tc>
      </w:tr>
      <w:tr w:rsidR="00E2326D" w14:paraId="67B6C821" w14:textId="77777777">
        <w:trPr>
          <w:cantSplit/>
        </w:trPr>
        <w:tc>
          <w:tcPr>
            <w:tcW w:w="9590" w:type="dxa"/>
            <w:gridSpan w:val="2"/>
          </w:tcPr>
          <w:p w14:paraId="72E57497" w14:textId="77777777" w:rsidR="00E2326D" w:rsidRDefault="00E2326D"/>
        </w:tc>
      </w:tr>
      <w:tr w:rsidR="00E2326D" w14:paraId="25A21B88" w14:textId="77777777">
        <w:trPr>
          <w:cantSplit/>
        </w:trPr>
        <w:tc>
          <w:tcPr>
            <w:tcW w:w="9590" w:type="dxa"/>
            <w:gridSpan w:val="2"/>
          </w:tcPr>
          <w:p w14:paraId="622AF912" w14:textId="77777777" w:rsidR="00E2326D" w:rsidRDefault="00E2326D"/>
        </w:tc>
      </w:tr>
      <w:tr w:rsidR="00C74B6F" w14:paraId="09AD6A6C" w14:textId="77777777">
        <w:trPr>
          <w:cantSplit/>
        </w:trPr>
        <w:tc>
          <w:tcPr>
            <w:tcW w:w="9590" w:type="dxa"/>
            <w:gridSpan w:val="2"/>
          </w:tcPr>
          <w:p w14:paraId="57C05C9A" w14:textId="051693DE" w:rsidR="00C74B6F" w:rsidRDefault="00E60E8D">
            <w:pPr>
              <w:pStyle w:val="zSoquijdatNomProcureurDem"/>
            </w:pPr>
            <w:r>
              <w:t>M</w:t>
            </w:r>
            <w:r w:rsidRPr="00E60E8D">
              <w:rPr>
                <w:vertAlign w:val="superscript"/>
              </w:rPr>
              <w:t>e</w:t>
            </w:r>
            <w:r w:rsidR="00F30267">
              <w:t xml:space="preserve"> </w:t>
            </w:r>
            <w:r>
              <w:t>Gabrielle Leblanc</w:t>
            </w:r>
          </w:p>
        </w:tc>
      </w:tr>
      <w:tr w:rsidR="00C74B6F" w14:paraId="7540446A" w14:textId="77777777">
        <w:trPr>
          <w:cantSplit/>
        </w:trPr>
        <w:tc>
          <w:tcPr>
            <w:tcW w:w="9590" w:type="dxa"/>
            <w:gridSpan w:val="2"/>
          </w:tcPr>
          <w:p w14:paraId="5CD868FB" w14:textId="7C7A238E" w:rsidR="00C74B6F" w:rsidRDefault="00E60E8D">
            <w:pPr>
              <w:pStyle w:val="zSoquijdatCabinetProcureurDem"/>
            </w:pPr>
            <w:r>
              <w:t>PHILION LEBLANC, AVOCATS S.A.</w:t>
            </w:r>
          </w:p>
        </w:tc>
      </w:tr>
      <w:tr w:rsidR="00C74B6F" w14:paraId="7B153EDC" w14:textId="77777777">
        <w:trPr>
          <w:cantSplit/>
        </w:trPr>
        <w:tc>
          <w:tcPr>
            <w:tcW w:w="9590" w:type="dxa"/>
            <w:gridSpan w:val="2"/>
          </w:tcPr>
          <w:p w14:paraId="3D8D918A" w14:textId="77777777" w:rsidR="00C74B6F" w:rsidRDefault="00CB05A7">
            <w:pPr>
              <w:pStyle w:val="zSoquijlblProcureurDem"/>
            </w:pPr>
            <w:r>
              <w:t>Pour la partie demanderesse</w:t>
            </w:r>
          </w:p>
        </w:tc>
      </w:tr>
      <w:tr w:rsidR="00C74B6F" w14:paraId="60AC9318" w14:textId="77777777">
        <w:trPr>
          <w:cantSplit/>
        </w:trPr>
        <w:tc>
          <w:tcPr>
            <w:tcW w:w="9590" w:type="dxa"/>
            <w:gridSpan w:val="2"/>
          </w:tcPr>
          <w:p w14:paraId="7919750E" w14:textId="77777777" w:rsidR="00C74B6F" w:rsidRDefault="00C74B6F"/>
        </w:tc>
      </w:tr>
      <w:tr w:rsidR="00C74B6F" w:rsidRPr="00E60E8D" w14:paraId="60137D57" w14:textId="77777777">
        <w:trPr>
          <w:cantSplit/>
        </w:trPr>
        <w:tc>
          <w:tcPr>
            <w:tcW w:w="9590" w:type="dxa"/>
            <w:gridSpan w:val="2"/>
          </w:tcPr>
          <w:p w14:paraId="5793E70B" w14:textId="4DE3B665" w:rsidR="00C74B6F" w:rsidRPr="00E60E8D" w:rsidRDefault="00E60E8D">
            <w:pPr>
              <w:pStyle w:val="zSoquijdatNomProcureurDef"/>
              <w:rPr>
                <w:lang w:val="en-CA"/>
              </w:rPr>
            </w:pPr>
            <w:r w:rsidRPr="00E60E8D">
              <w:rPr>
                <w:lang w:val="en-CA"/>
              </w:rPr>
              <w:t>M</w:t>
            </w:r>
            <w:r w:rsidRPr="00E60E8D">
              <w:rPr>
                <w:vertAlign w:val="superscript"/>
                <w:lang w:val="en-CA"/>
              </w:rPr>
              <w:t>e</w:t>
            </w:r>
            <w:r w:rsidR="00F30267" w:rsidRPr="00E60E8D">
              <w:rPr>
                <w:lang w:val="en-CA"/>
              </w:rPr>
              <w:t xml:space="preserve"> </w:t>
            </w:r>
            <w:r w:rsidRPr="00E60E8D">
              <w:rPr>
                <w:lang w:val="en-CA"/>
              </w:rPr>
              <w:t>Peter Andrew Ste-M</w:t>
            </w:r>
            <w:r>
              <w:rPr>
                <w:lang w:val="en-CA"/>
              </w:rPr>
              <w:t>arie</w:t>
            </w:r>
          </w:p>
        </w:tc>
      </w:tr>
      <w:tr w:rsidR="00C74B6F" w14:paraId="648D97E4" w14:textId="77777777">
        <w:trPr>
          <w:cantSplit/>
        </w:trPr>
        <w:tc>
          <w:tcPr>
            <w:tcW w:w="9590" w:type="dxa"/>
            <w:gridSpan w:val="2"/>
          </w:tcPr>
          <w:p w14:paraId="66BC6578" w14:textId="37484D53" w:rsidR="00C74B6F" w:rsidRDefault="00E60E8D">
            <w:pPr>
              <w:pStyle w:val="zSoquijdatCabinetProcureurDef"/>
            </w:pPr>
            <w:r>
              <w:t>VILLE DE MONTRÉAL</w:t>
            </w:r>
            <w:r w:rsidR="00E2326D">
              <w:t xml:space="preserve"> </w:t>
            </w:r>
            <w:r w:rsidR="00E2326D" w:rsidRPr="00E2326D">
              <w:t>- DIVISION GESTION DE L</w:t>
            </w:r>
            <w:r w:rsidR="00E25236">
              <w:t>’</w:t>
            </w:r>
            <w:r w:rsidR="00E2326D" w:rsidRPr="00E2326D">
              <w:t>INVALIDITÉ</w:t>
            </w:r>
          </w:p>
        </w:tc>
      </w:tr>
      <w:tr w:rsidR="00C74B6F" w14:paraId="1B1A6D8E" w14:textId="77777777">
        <w:trPr>
          <w:cantSplit/>
        </w:trPr>
        <w:tc>
          <w:tcPr>
            <w:tcW w:w="9590" w:type="dxa"/>
            <w:gridSpan w:val="2"/>
          </w:tcPr>
          <w:p w14:paraId="2708E3DD" w14:textId="3D9B37FA" w:rsidR="00C74B6F" w:rsidRDefault="00CB05A7">
            <w:pPr>
              <w:pStyle w:val="zSoquijlblProcureurDef"/>
            </w:pPr>
            <w:r>
              <w:t xml:space="preserve">Pour la partie </w:t>
            </w:r>
            <w:r w:rsidR="00E2326D">
              <w:t>mise en cause</w:t>
            </w:r>
          </w:p>
        </w:tc>
      </w:tr>
      <w:tr w:rsidR="007569DE" w14:paraId="1EB9BD4C" w14:textId="77777777">
        <w:trPr>
          <w:cantSplit/>
        </w:trPr>
        <w:tc>
          <w:tcPr>
            <w:tcW w:w="9590" w:type="dxa"/>
            <w:gridSpan w:val="2"/>
          </w:tcPr>
          <w:p w14:paraId="5FE99303" w14:textId="77777777" w:rsidR="007569DE" w:rsidRDefault="007569DE"/>
        </w:tc>
      </w:tr>
      <w:tr w:rsidR="00E2326D" w14:paraId="4D369018" w14:textId="77777777">
        <w:trPr>
          <w:cantSplit/>
        </w:trPr>
        <w:tc>
          <w:tcPr>
            <w:tcW w:w="9590" w:type="dxa"/>
            <w:gridSpan w:val="2"/>
          </w:tcPr>
          <w:p w14:paraId="6AD01EB2" w14:textId="77777777" w:rsidR="00E2326D" w:rsidRDefault="00E2326D"/>
        </w:tc>
      </w:tr>
      <w:tr w:rsidR="00C15A3F" w14:paraId="5E9C4E97" w14:textId="77777777">
        <w:trPr>
          <w:cantSplit/>
        </w:trPr>
        <w:tc>
          <w:tcPr>
            <w:tcW w:w="9590" w:type="dxa"/>
            <w:gridSpan w:val="2"/>
          </w:tcPr>
          <w:p w14:paraId="22F9A785" w14:textId="3903DDAD" w:rsidR="00C15A3F" w:rsidRDefault="00C15A3F" w:rsidP="000E56A6">
            <w:pPr>
              <w:pStyle w:val="zSoquijdatDateAudience"/>
            </w:pPr>
            <w:bookmarkStart w:id="17" w:name="Date_derniere_audience"/>
            <w:bookmarkEnd w:id="17"/>
            <w:r>
              <w:t xml:space="preserve">Date de la </w:t>
            </w:r>
            <w:r w:rsidR="00CC6338">
              <w:t>mise en délibéré</w:t>
            </w:r>
            <w:r>
              <w:t> :</w:t>
            </w:r>
            <w:r w:rsidR="00597016">
              <w:tab/>
            </w:r>
            <w:r w:rsidR="00E60E8D">
              <w:t>13 décembre 2024</w:t>
            </w:r>
          </w:p>
        </w:tc>
      </w:tr>
    </w:tbl>
    <w:p w14:paraId="1C4DA4A4" w14:textId="77777777" w:rsidR="002542E0" w:rsidRDefault="002542E0" w:rsidP="002542E0">
      <w:pPr>
        <w:pStyle w:val="corpsdedcision"/>
        <w:numPr>
          <w:ilvl w:val="0"/>
          <w:numId w:val="0"/>
        </w:numPr>
        <w:tabs>
          <w:tab w:val="clear" w:pos="720"/>
        </w:tabs>
      </w:pPr>
    </w:p>
    <w:sectPr w:rsidR="002542E0">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DFB961" w14:textId="77777777" w:rsidR="00695977" w:rsidRDefault="00695977">
      <w:r>
        <w:separator/>
      </w:r>
    </w:p>
  </w:endnote>
  <w:endnote w:type="continuationSeparator" w:id="0">
    <w:p w14:paraId="7E062807" w14:textId="77777777" w:rsidR="00695977" w:rsidRDefault="006959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5C2C17" w14:textId="77777777" w:rsidR="00695977" w:rsidRDefault="00695977">
      <w:r>
        <w:separator/>
      </w:r>
    </w:p>
  </w:footnote>
  <w:footnote w:type="continuationSeparator" w:id="0">
    <w:p w14:paraId="476879CB" w14:textId="77777777" w:rsidR="00695977" w:rsidRDefault="00695977">
      <w:r>
        <w:continuationSeparator/>
      </w:r>
    </w:p>
  </w:footnote>
  <w:footnote w:id="1">
    <w:p w14:paraId="4B418F74" w14:textId="343F5FE8" w:rsidR="0075058C" w:rsidRPr="00E7693C" w:rsidRDefault="0075058C" w:rsidP="0075058C">
      <w:pPr>
        <w:pStyle w:val="Notedebasdepage"/>
        <w:tabs>
          <w:tab w:val="left" w:pos="720"/>
        </w:tabs>
        <w:ind w:left="720" w:hanging="720"/>
        <w:jc w:val="both"/>
        <w:rPr>
          <w:rFonts w:cs="Arial"/>
          <w:sz w:val="20"/>
        </w:rPr>
      </w:pPr>
      <w:r w:rsidRPr="00E7693C">
        <w:rPr>
          <w:rStyle w:val="Appelnotedebasdep"/>
        </w:rPr>
        <w:footnoteRef/>
      </w:r>
      <w:r w:rsidRPr="00E7693C">
        <w:rPr>
          <w:rFonts w:cs="Arial"/>
          <w:sz w:val="20"/>
        </w:rPr>
        <w:tab/>
      </w:r>
      <w:r w:rsidRPr="00CA4E24">
        <w:rPr>
          <w:rFonts w:cs="Arial"/>
          <w:sz w:val="20"/>
        </w:rPr>
        <w:t xml:space="preserve">Décision du </w:t>
      </w:r>
      <w:r w:rsidR="00BB6D5E">
        <w:rPr>
          <w:rFonts w:cs="Arial"/>
          <w:sz w:val="20"/>
        </w:rPr>
        <w:t>16</w:t>
      </w:r>
      <w:r w:rsidRPr="00CA4E24">
        <w:rPr>
          <w:rFonts w:cs="Arial"/>
          <w:sz w:val="20"/>
        </w:rPr>
        <w:t xml:space="preserve"> </w:t>
      </w:r>
      <w:r w:rsidR="00BB6D5E">
        <w:rPr>
          <w:rFonts w:cs="Arial"/>
          <w:sz w:val="20"/>
        </w:rPr>
        <w:t xml:space="preserve">août </w:t>
      </w:r>
      <w:r w:rsidRPr="00CA4E24">
        <w:rPr>
          <w:rFonts w:cs="Arial"/>
          <w:sz w:val="20"/>
        </w:rPr>
        <w:t>202</w:t>
      </w:r>
      <w:r w:rsidR="00BB6D5E">
        <w:rPr>
          <w:rFonts w:cs="Arial"/>
          <w:sz w:val="20"/>
        </w:rPr>
        <w:t>3</w:t>
      </w:r>
      <w:r w:rsidRPr="00CA4E24">
        <w:rPr>
          <w:rFonts w:cs="Arial"/>
          <w:sz w:val="20"/>
        </w:rPr>
        <w:t>.</w:t>
      </w:r>
    </w:p>
  </w:footnote>
  <w:footnote w:id="2">
    <w:p w14:paraId="1DD821F6" w14:textId="67152AF0" w:rsidR="00BB6D5E" w:rsidRPr="00220CC5" w:rsidRDefault="00BB6D5E" w:rsidP="00BB6D5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Décision du 24 octobre 2023.</w:t>
      </w:r>
    </w:p>
  </w:footnote>
  <w:footnote w:id="3">
    <w:p w14:paraId="136B0493" w14:textId="0E9A1E6B" w:rsidR="00D925A8" w:rsidRPr="000A432F" w:rsidRDefault="00D925A8" w:rsidP="000A432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Précitée, note 1.</w:t>
      </w:r>
    </w:p>
  </w:footnote>
  <w:footnote w:id="4">
    <w:p w14:paraId="75AA0090" w14:textId="24D18117" w:rsidR="00DE62F9" w:rsidRDefault="00DE62F9" w:rsidP="0007644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r w:rsidR="00D7733C">
        <w:rPr>
          <w:rFonts w:cs="Arial"/>
          <w:sz w:val="20"/>
        </w:rPr>
        <w:t>, ci-après la Loi</w:t>
      </w:r>
      <w:r>
        <w:rPr>
          <w:rFonts w:cs="Arial"/>
          <w:sz w:val="20"/>
        </w:rPr>
        <w:t>.</w:t>
      </w:r>
    </w:p>
  </w:footnote>
  <w:footnote w:id="5">
    <w:p w14:paraId="3D11A26F" w14:textId="356E6AF3" w:rsidR="000C6AA9" w:rsidRPr="000C6AA9" w:rsidRDefault="000C6AA9" w:rsidP="000C6AA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bookmarkStart w:id="12" w:name="_Hlk189811530"/>
      <w:r w:rsidR="004228A0" w:rsidRPr="004228A0">
        <w:rPr>
          <w:rFonts w:cs="Arial"/>
          <w:sz w:val="20"/>
        </w:rPr>
        <w:t>QUÉBEC, ASSEMBLÉE NATIONALE, Journal des débats de la Commission de l’économie et du travail, 5</w:t>
      </w:r>
      <w:r w:rsidR="004228A0" w:rsidRPr="0035207D">
        <w:rPr>
          <w:rFonts w:cs="Arial"/>
          <w:sz w:val="20"/>
          <w:vertAlign w:val="superscript"/>
        </w:rPr>
        <w:t>e</w:t>
      </w:r>
      <w:r w:rsidR="004228A0" w:rsidRPr="004228A0">
        <w:rPr>
          <w:rFonts w:cs="Arial"/>
          <w:sz w:val="20"/>
        </w:rPr>
        <w:t xml:space="preserve"> sess., 32</w:t>
      </w:r>
      <w:r w:rsidR="004228A0" w:rsidRPr="0035207D">
        <w:rPr>
          <w:rFonts w:cs="Arial"/>
          <w:sz w:val="20"/>
          <w:vertAlign w:val="superscript"/>
        </w:rPr>
        <w:t>e</w:t>
      </w:r>
      <w:r w:rsidR="004228A0" w:rsidRPr="004228A0">
        <w:rPr>
          <w:rFonts w:cs="Arial"/>
          <w:sz w:val="20"/>
        </w:rPr>
        <w:t xml:space="preserve"> légis.,</w:t>
      </w:r>
      <w:r w:rsidR="004228A0" w:rsidRPr="004228A0">
        <w:t xml:space="preserve"> </w:t>
      </w:r>
      <w:r w:rsidR="004228A0" w:rsidRPr="004228A0">
        <w:rPr>
          <w:rFonts w:cs="Arial"/>
          <w:sz w:val="20"/>
        </w:rPr>
        <w:t xml:space="preserve">vol. 28 </w:t>
      </w:r>
      <w:r w:rsidR="0035207D">
        <w:rPr>
          <w:rFonts w:cs="Arial"/>
          <w:sz w:val="20"/>
        </w:rPr>
        <w:t>n</w:t>
      </w:r>
      <w:r w:rsidR="004228A0" w:rsidRPr="0035207D">
        <w:rPr>
          <w:rFonts w:cs="Arial"/>
          <w:sz w:val="20"/>
          <w:vertAlign w:val="superscript"/>
        </w:rPr>
        <w:t>o</w:t>
      </w:r>
      <w:r w:rsidR="004228A0" w:rsidRPr="004228A0">
        <w:rPr>
          <w:rFonts w:cs="Arial"/>
          <w:sz w:val="20"/>
        </w:rPr>
        <w:t xml:space="preserve"> 7</w:t>
      </w:r>
      <w:r w:rsidR="004228A0">
        <w:rPr>
          <w:rFonts w:cs="Arial"/>
          <w:sz w:val="20"/>
        </w:rPr>
        <w:t>,</w:t>
      </w:r>
      <w:r w:rsidR="004228A0" w:rsidRPr="004228A0">
        <w:rPr>
          <w:rFonts w:cs="Arial"/>
          <w:sz w:val="20"/>
        </w:rPr>
        <w:t xml:space="preserve"> 4 décembre 1984, « </w:t>
      </w:r>
      <w:r w:rsidR="004228A0" w:rsidRPr="0035207D">
        <w:rPr>
          <w:rFonts w:cs="Arial"/>
          <w:i/>
          <w:iCs/>
          <w:sz w:val="20"/>
        </w:rPr>
        <w:t>Étude détaillée du projet de loi 42 – Loi sur les accidents du travail et les maladies professionnelles</w:t>
      </w:r>
      <w:r w:rsidR="004228A0" w:rsidRPr="004228A0">
        <w:rPr>
          <w:rFonts w:cs="Arial"/>
          <w:sz w:val="20"/>
        </w:rPr>
        <w:t xml:space="preserve"> ».</w:t>
      </w:r>
      <w:bookmarkEnd w:id="12"/>
    </w:p>
  </w:footnote>
  <w:footnote w:id="6">
    <w:p w14:paraId="32695817" w14:textId="25D142B9" w:rsidR="00692C16" w:rsidRPr="00692C16" w:rsidRDefault="00692C16" w:rsidP="00692C1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454A8D" w:rsidRPr="00454A8D">
        <w:rPr>
          <w:rFonts w:cs="Arial"/>
          <w:i/>
          <w:iCs/>
          <w:sz w:val="20"/>
        </w:rPr>
        <w:t>Id</w:t>
      </w:r>
      <w:r>
        <w:rPr>
          <w:rFonts w:cs="Arial"/>
          <w:sz w:val="20"/>
        </w:rPr>
        <w:t>.</w:t>
      </w:r>
    </w:p>
  </w:footnote>
  <w:footnote w:id="7">
    <w:p w14:paraId="39599276" w14:textId="0D051A7E" w:rsidR="00692C16" w:rsidRPr="00692C16" w:rsidRDefault="00692C16" w:rsidP="00692C1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Précité, note </w:t>
      </w:r>
      <w:r w:rsidR="00221C41">
        <w:rPr>
          <w:rFonts w:cs="Arial"/>
          <w:sz w:val="20"/>
        </w:rPr>
        <w:t>5</w:t>
      </w:r>
      <w:r>
        <w:rPr>
          <w:rFonts w:cs="Arial"/>
          <w:sz w:val="20"/>
        </w:rPr>
        <w:t>.</w:t>
      </w:r>
    </w:p>
  </w:footnote>
  <w:footnote w:id="8">
    <w:p w14:paraId="03135126" w14:textId="3E11A4A8" w:rsidR="00F44376" w:rsidRPr="00E41B91" w:rsidRDefault="00F44376" w:rsidP="00F4437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bookmarkStart w:id="13" w:name="_Hlk189814821"/>
      <w:r w:rsidRPr="00F44376">
        <w:rPr>
          <w:i/>
          <w:iCs/>
          <w:sz w:val="20"/>
        </w:rPr>
        <w:t>Société Asbestos ltée</w:t>
      </w:r>
      <w:r w:rsidRPr="00F44376">
        <w:rPr>
          <w:sz w:val="20"/>
        </w:rPr>
        <w:t xml:space="preserve"> et </w:t>
      </w:r>
      <w:r w:rsidRPr="00F44376">
        <w:rPr>
          <w:i/>
          <w:iCs/>
          <w:sz w:val="20"/>
        </w:rPr>
        <w:t xml:space="preserve">Vachon, </w:t>
      </w:r>
      <w:r w:rsidR="00221C41">
        <w:rPr>
          <w:sz w:val="20"/>
        </w:rPr>
        <w:t>[</w:t>
      </w:r>
      <w:r w:rsidR="001F663F" w:rsidRPr="00766C2C">
        <w:rPr>
          <w:sz w:val="20"/>
        </w:rPr>
        <w:t>1990</w:t>
      </w:r>
      <w:r w:rsidR="00221C41">
        <w:rPr>
          <w:sz w:val="20"/>
        </w:rPr>
        <w:t>]</w:t>
      </w:r>
      <w:r w:rsidR="001F663F" w:rsidRPr="00766C2C">
        <w:rPr>
          <w:sz w:val="20"/>
        </w:rPr>
        <w:t xml:space="preserve"> C.A.L.</w:t>
      </w:r>
      <w:r w:rsidR="001F663F" w:rsidRPr="00B84D0A">
        <w:rPr>
          <w:sz w:val="20"/>
        </w:rPr>
        <w:t>P. 1177</w:t>
      </w:r>
      <w:bookmarkEnd w:id="13"/>
      <w:r w:rsidR="001F663F" w:rsidRPr="00B84D0A">
        <w:rPr>
          <w:sz w:val="20"/>
        </w:rPr>
        <w:t xml:space="preserve">. </w:t>
      </w:r>
      <w:r w:rsidR="00B84D0A" w:rsidRPr="00B84D0A">
        <w:rPr>
          <w:sz w:val="20"/>
        </w:rPr>
        <w:t xml:space="preserve">Voir également </w:t>
      </w:r>
      <w:r w:rsidR="00B84D0A" w:rsidRPr="00B84D0A">
        <w:rPr>
          <w:i/>
          <w:iCs/>
          <w:sz w:val="20"/>
        </w:rPr>
        <w:t>Campeau</w:t>
      </w:r>
      <w:r w:rsidR="00B84D0A" w:rsidRPr="00B84D0A">
        <w:rPr>
          <w:sz w:val="20"/>
        </w:rPr>
        <w:t xml:space="preserve"> et </w:t>
      </w:r>
      <w:r w:rsidR="00B84D0A" w:rsidRPr="00B84D0A">
        <w:rPr>
          <w:i/>
          <w:iCs/>
          <w:sz w:val="20"/>
        </w:rPr>
        <w:t>C.P. Fabien inc.</w:t>
      </w:r>
      <w:r w:rsidR="00B84D0A" w:rsidRPr="00B84D0A">
        <w:rPr>
          <w:sz w:val="20"/>
        </w:rPr>
        <w:t xml:space="preserve">, </w:t>
      </w:r>
      <w:r w:rsidR="00183E6D">
        <w:rPr>
          <w:sz w:val="20"/>
        </w:rPr>
        <w:t>[</w:t>
      </w:r>
      <w:r w:rsidR="00B84D0A" w:rsidRPr="00B84D0A">
        <w:rPr>
          <w:sz w:val="20"/>
        </w:rPr>
        <w:t>1994</w:t>
      </w:r>
      <w:r w:rsidR="00183E6D">
        <w:rPr>
          <w:sz w:val="20"/>
        </w:rPr>
        <w:t>]</w:t>
      </w:r>
      <w:r w:rsidR="00B84D0A" w:rsidRPr="00B84D0A">
        <w:rPr>
          <w:sz w:val="20"/>
        </w:rPr>
        <w:t xml:space="preserve"> C</w:t>
      </w:r>
      <w:r w:rsidR="00B84D0A" w:rsidRPr="00E41B91">
        <w:rPr>
          <w:sz w:val="20"/>
        </w:rPr>
        <w:t xml:space="preserve">.A.L.P. </w:t>
      </w:r>
      <w:r w:rsidR="00183E6D">
        <w:rPr>
          <w:sz w:val="20"/>
        </w:rPr>
        <w:t>1531</w:t>
      </w:r>
      <w:r w:rsidR="00FB46B4" w:rsidRPr="00E41B91">
        <w:rPr>
          <w:sz w:val="20"/>
        </w:rPr>
        <w:t xml:space="preserve">; </w:t>
      </w:r>
      <w:r w:rsidR="00FB46B4" w:rsidRPr="00E41B91">
        <w:rPr>
          <w:i/>
          <w:iCs/>
          <w:sz w:val="20"/>
        </w:rPr>
        <w:t>Croteau</w:t>
      </w:r>
      <w:r w:rsidR="00FB46B4" w:rsidRPr="00E41B91">
        <w:rPr>
          <w:sz w:val="20"/>
        </w:rPr>
        <w:t xml:space="preserve"> et </w:t>
      </w:r>
      <w:r w:rsidR="00FB46B4" w:rsidRPr="00E41B91">
        <w:rPr>
          <w:i/>
          <w:iCs/>
          <w:sz w:val="20"/>
        </w:rPr>
        <w:t>Commission scolaire de Chambly</w:t>
      </w:r>
      <w:r w:rsidR="00FB46B4" w:rsidRPr="00E41B91">
        <w:rPr>
          <w:sz w:val="20"/>
        </w:rPr>
        <w:t xml:space="preserve">, </w:t>
      </w:r>
      <w:r w:rsidR="003746CA">
        <w:rPr>
          <w:sz w:val="20"/>
        </w:rPr>
        <w:t>[</w:t>
      </w:r>
      <w:r w:rsidR="00FB46B4" w:rsidRPr="00E41B91">
        <w:rPr>
          <w:sz w:val="20"/>
        </w:rPr>
        <w:t>1995</w:t>
      </w:r>
      <w:r w:rsidR="003746CA">
        <w:rPr>
          <w:sz w:val="20"/>
        </w:rPr>
        <w:t>]</w:t>
      </w:r>
      <w:r w:rsidR="00FB46B4" w:rsidRPr="00E41B91">
        <w:rPr>
          <w:sz w:val="20"/>
        </w:rPr>
        <w:t xml:space="preserve"> C.A.L.P. 1331</w:t>
      </w:r>
      <w:r w:rsidR="00320805">
        <w:rPr>
          <w:sz w:val="20"/>
        </w:rPr>
        <w:t xml:space="preserve">, </w:t>
      </w:r>
      <w:bookmarkStart w:id="14" w:name="_Hlk189829541"/>
      <w:r w:rsidR="00FB46B4" w:rsidRPr="00E41B91">
        <w:rPr>
          <w:sz w:val="20"/>
        </w:rPr>
        <w:t>révision pour cause rejetée, 27 février 1996</w:t>
      </w:r>
      <w:r w:rsidR="00320805">
        <w:rPr>
          <w:sz w:val="20"/>
        </w:rPr>
        <w:t>, A. Suicco</w:t>
      </w:r>
      <w:r w:rsidR="003746CA">
        <w:rPr>
          <w:sz w:val="20"/>
        </w:rPr>
        <w:t>.</w:t>
      </w:r>
      <w:r w:rsidR="00FB46B4" w:rsidRPr="00E41B91">
        <w:rPr>
          <w:sz w:val="20"/>
        </w:rPr>
        <w:t xml:space="preserve"> </w:t>
      </w:r>
      <w:bookmarkEnd w:id="14"/>
    </w:p>
  </w:footnote>
  <w:footnote w:id="9">
    <w:p w14:paraId="59E26898" w14:textId="1E25D0AB" w:rsidR="00DD77C3" w:rsidRPr="00A3054C" w:rsidRDefault="00DD77C3" w:rsidP="00DD77C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712478" w:rsidRPr="00A62351">
        <w:rPr>
          <w:sz w:val="20"/>
        </w:rPr>
        <w:t>[</w:t>
      </w:r>
      <w:r w:rsidR="00A3054C" w:rsidRPr="00A62351">
        <w:rPr>
          <w:sz w:val="20"/>
        </w:rPr>
        <w:t>1997</w:t>
      </w:r>
      <w:r w:rsidR="00712478" w:rsidRPr="00A62351">
        <w:rPr>
          <w:sz w:val="20"/>
        </w:rPr>
        <w:t>]</w:t>
      </w:r>
      <w:r w:rsidR="00A3054C" w:rsidRPr="00A62351">
        <w:rPr>
          <w:sz w:val="20"/>
        </w:rPr>
        <w:t xml:space="preserve"> C.A.L.P. 1761</w:t>
      </w:r>
      <w:r w:rsidR="00933B1D">
        <w:rPr>
          <w:sz w:val="20"/>
        </w:rPr>
        <w:t>,</w:t>
      </w:r>
      <w:r w:rsidR="00AD5ECC" w:rsidRPr="00A62351">
        <w:rPr>
          <w:sz w:val="20"/>
        </w:rPr>
        <w:t xml:space="preserve"> </w:t>
      </w:r>
      <w:r w:rsidR="00A3054C" w:rsidRPr="00A62351">
        <w:rPr>
          <w:sz w:val="20"/>
        </w:rPr>
        <w:t>révision judiciaire rejetée</w:t>
      </w:r>
      <w:r w:rsidR="00AD5ECC" w:rsidRPr="00933B1D">
        <w:rPr>
          <w:sz w:val="20"/>
        </w:rPr>
        <w:t>,</w:t>
      </w:r>
      <w:r w:rsidR="00A3054C" w:rsidRPr="00933B1D">
        <w:rPr>
          <w:sz w:val="20"/>
        </w:rPr>
        <w:t xml:space="preserve"> </w:t>
      </w:r>
      <w:r w:rsidR="00AD5ECC" w:rsidRPr="00933B1D">
        <w:rPr>
          <w:sz w:val="20"/>
        </w:rPr>
        <w:t>[</w:t>
      </w:r>
      <w:r w:rsidR="00A3054C" w:rsidRPr="00933B1D">
        <w:rPr>
          <w:sz w:val="20"/>
        </w:rPr>
        <w:t>1998</w:t>
      </w:r>
      <w:r w:rsidR="00AD5ECC" w:rsidRPr="00933B1D">
        <w:rPr>
          <w:sz w:val="20"/>
        </w:rPr>
        <w:t>]</w:t>
      </w:r>
      <w:r w:rsidR="00A3054C" w:rsidRPr="00933B1D">
        <w:rPr>
          <w:sz w:val="20"/>
        </w:rPr>
        <w:t xml:space="preserve"> C.A.L.P. 515 (C.S.)</w:t>
      </w:r>
      <w:r w:rsidR="00933B1D" w:rsidRPr="00933B1D">
        <w:rPr>
          <w:sz w:val="20"/>
        </w:rPr>
        <w:t>,</w:t>
      </w:r>
      <w:r w:rsidR="00A3054C" w:rsidRPr="00933B1D">
        <w:rPr>
          <w:sz w:val="20"/>
        </w:rPr>
        <w:t xml:space="preserve"> appel accueilli pour d’autres motifs</w:t>
      </w:r>
      <w:r w:rsidR="00AD5ECC" w:rsidRPr="00933B1D">
        <w:rPr>
          <w:sz w:val="20"/>
        </w:rPr>
        <w:t>, [</w:t>
      </w:r>
      <w:r w:rsidR="00A3054C" w:rsidRPr="00933B1D">
        <w:rPr>
          <w:sz w:val="20"/>
        </w:rPr>
        <w:t>1999</w:t>
      </w:r>
      <w:r w:rsidR="00AD5ECC" w:rsidRPr="00933B1D">
        <w:rPr>
          <w:sz w:val="20"/>
        </w:rPr>
        <w:t>]</w:t>
      </w:r>
      <w:r w:rsidR="00A3054C" w:rsidRPr="00933B1D">
        <w:rPr>
          <w:sz w:val="20"/>
        </w:rPr>
        <w:t xml:space="preserve"> C.L.P. 449 (C.A.).</w:t>
      </w:r>
    </w:p>
  </w:footnote>
  <w:footnote w:id="10">
    <w:p w14:paraId="2D0DEED6" w14:textId="70AD488A" w:rsidR="003406EE" w:rsidRPr="00B3273E" w:rsidRDefault="003406EE" w:rsidP="003406E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B3273E">
        <w:rPr>
          <w:i/>
          <w:iCs/>
          <w:sz w:val="20"/>
        </w:rPr>
        <w:t>Parent</w:t>
      </w:r>
      <w:r w:rsidRPr="00B3273E">
        <w:rPr>
          <w:sz w:val="20"/>
        </w:rPr>
        <w:t xml:space="preserve"> c. </w:t>
      </w:r>
      <w:r w:rsidRPr="00302026">
        <w:rPr>
          <w:i/>
          <w:iCs/>
          <w:sz w:val="20"/>
        </w:rPr>
        <w:t>Viens</w:t>
      </w:r>
      <w:r w:rsidRPr="00302026">
        <w:rPr>
          <w:sz w:val="20"/>
        </w:rPr>
        <w:t xml:space="preserve">, </w:t>
      </w:r>
      <w:r w:rsidR="005B488D">
        <w:rPr>
          <w:sz w:val="20"/>
        </w:rPr>
        <w:t>[</w:t>
      </w:r>
      <w:r w:rsidRPr="00302026">
        <w:rPr>
          <w:sz w:val="20"/>
        </w:rPr>
        <w:t>2001</w:t>
      </w:r>
      <w:r w:rsidR="005B488D">
        <w:rPr>
          <w:sz w:val="20"/>
        </w:rPr>
        <w:t>]</w:t>
      </w:r>
      <w:r w:rsidRPr="00302026">
        <w:rPr>
          <w:sz w:val="20"/>
        </w:rPr>
        <w:t xml:space="preserve"> R.J.D.T. 1130 (C.A.)</w:t>
      </w:r>
      <w:r w:rsidR="00302026" w:rsidRPr="00302026">
        <w:rPr>
          <w:sz w:val="20"/>
        </w:rPr>
        <w:t xml:space="preserve">. Voir également </w:t>
      </w:r>
      <w:r w:rsidR="00302026" w:rsidRPr="00F810A0">
        <w:rPr>
          <w:i/>
          <w:iCs/>
          <w:sz w:val="20"/>
        </w:rPr>
        <w:t xml:space="preserve">Rivard </w:t>
      </w:r>
      <w:r w:rsidR="00302026" w:rsidRPr="005B488D">
        <w:rPr>
          <w:sz w:val="20"/>
        </w:rPr>
        <w:t>et</w:t>
      </w:r>
      <w:r w:rsidR="00302026" w:rsidRPr="00F810A0">
        <w:rPr>
          <w:i/>
          <w:iCs/>
          <w:sz w:val="20"/>
        </w:rPr>
        <w:t xml:space="preserve"> Gestion </w:t>
      </w:r>
      <w:r w:rsidR="005B488D">
        <w:rPr>
          <w:i/>
          <w:iCs/>
          <w:sz w:val="20"/>
        </w:rPr>
        <w:t xml:space="preserve">&amp; </w:t>
      </w:r>
      <w:r w:rsidR="00302026" w:rsidRPr="00F810A0">
        <w:rPr>
          <w:i/>
          <w:iCs/>
          <w:sz w:val="20"/>
        </w:rPr>
        <w:t>Construction Dinar inc.</w:t>
      </w:r>
      <w:r w:rsidR="00302026" w:rsidRPr="00302026">
        <w:rPr>
          <w:sz w:val="20"/>
        </w:rPr>
        <w:t xml:space="preserve"> (Fermé), </w:t>
      </w:r>
      <w:r w:rsidR="00D91656">
        <w:rPr>
          <w:sz w:val="20"/>
        </w:rPr>
        <w:t xml:space="preserve">C.L.P., </w:t>
      </w:r>
      <w:r w:rsidR="00A96E5E" w:rsidRPr="00A96E5E">
        <w:rPr>
          <w:sz w:val="20"/>
        </w:rPr>
        <w:t>327174-63-0709</w:t>
      </w:r>
      <w:r w:rsidR="00A96E5E">
        <w:rPr>
          <w:sz w:val="20"/>
        </w:rPr>
        <w:t xml:space="preserve">, 15 octobre 2008, </w:t>
      </w:r>
      <w:r w:rsidR="00D91656">
        <w:rPr>
          <w:sz w:val="20"/>
        </w:rPr>
        <w:t>M. Gauthier</w:t>
      </w:r>
      <w:r w:rsidR="003746CA">
        <w:t>.</w:t>
      </w:r>
    </w:p>
  </w:footnote>
  <w:footnote w:id="11">
    <w:p w14:paraId="7CD59B9F" w14:textId="57819E19" w:rsidR="00302026" w:rsidRPr="0025143E" w:rsidRDefault="00302026" w:rsidP="0030202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982BFA">
        <w:rPr>
          <w:rFonts w:cs="Arial"/>
          <w:sz w:val="20"/>
        </w:rPr>
        <w:t xml:space="preserve">C.L.P. </w:t>
      </w:r>
      <w:r w:rsidRPr="00302026">
        <w:rPr>
          <w:rFonts w:cs="Arial"/>
          <w:sz w:val="20"/>
        </w:rPr>
        <w:t xml:space="preserve">27698-62-9104, 3 décembre 1993, </w:t>
      </w:r>
      <w:r w:rsidR="000959D3" w:rsidRPr="00E41B91">
        <w:rPr>
          <w:rFonts w:cs="Arial"/>
          <w:sz w:val="20"/>
        </w:rPr>
        <w:t>G</w:t>
      </w:r>
      <w:r w:rsidR="000959D3">
        <w:rPr>
          <w:rFonts w:cs="Arial"/>
          <w:sz w:val="20"/>
        </w:rPr>
        <w:t>.</w:t>
      </w:r>
      <w:r w:rsidR="000959D3" w:rsidRPr="00E41B91">
        <w:rPr>
          <w:rFonts w:cs="Arial"/>
          <w:sz w:val="20"/>
        </w:rPr>
        <w:t xml:space="preserve"> </w:t>
      </w:r>
      <w:r w:rsidRPr="00E41B91">
        <w:rPr>
          <w:rFonts w:cs="Arial"/>
          <w:sz w:val="20"/>
        </w:rPr>
        <w:t>Robichaud. Voir également</w:t>
      </w:r>
      <w:r w:rsidR="00FB46B4" w:rsidRPr="00E41B91">
        <w:rPr>
          <w:rFonts w:cs="Arial"/>
          <w:sz w:val="20"/>
        </w:rPr>
        <w:t xml:space="preserve"> </w:t>
      </w:r>
      <w:r w:rsidR="00E41B91" w:rsidRPr="00E41B91">
        <w:rPr>
          <w:i/>
          <w:iCs/>
          <w:sz w:val="20"/>
        </w:rPr>
        <w:t>Québec-Téléphone inc</w:t>
      </w:r>
      <w:r w:rsidR="00E41B91" w:rsidRPr="00E41B91">
        <w:rPr>
          <w:sz w:val="20"/>
        </w:rPr>
        <w:t xml:space="preserve">. et </w:t>
      </w:r>
      <w:r w:rsidR="00E41B91" w:rsidRPr="00E41B91">
        <w:rPr>
          <w:i/>
          <w:iCs/>
          <w:sz w:val="20"/>
        </w:rPr>
        <w:t>Lechasseur</w:t>
      </w:r>
      <w:r w:rsidR="00E41B91" w:rsidRPr="00E41B91">
        <w:rPr>
          <w:sz w:val="20"/>
        </w:rPr>
        <w:t xml:space="preserve">, </w:t>
      </w:r>
      <w:r w:rsidR="000959D3">
        <w:rPr>
          <w:sz w:val="20"/>
        </w:rPr>
        <w:t>[</w:t>
      </w:r>
      <w:r w:rsidR="00E41B91" w:rsidRPr="00E41B91">
        <w:rPr>
          <w:sz w:val="20"/>
        </w:rPr>
        <w:t>1994</w:t>
      </w:r>
      <w:r w:rsidR="000959D3">
        <w:rPr>
          <w:sz w:val="20"/>
        </w:rPr>
        <w:t>]</w:t>
      </w:r>
      <w:r w:rsidR="00E41B91" w:rsidRPr="00E41B91">
        <w:rPr>
          <w:sz w:val="20"/>
        </w:rPr>
        <w:t xml:space="preserve"> C.A.L.P. 1250; </w:t>
      </w:r>
      <w:r w:rsidR="00FB46B4" w:rsidRPr="00611942">
        <w:rPr>
          <w:i/>
          <w:iCs/>
          <w:sz w:val="20"/>
        </w:rPr>
        <w:t>Croteau</w:t>
      </w:r>
      <w:r w:rsidR="00FB46B4" w:rsidRPr="00E41B91">
        <w:rPr>
          <w:sz w:val="20"/>
        </w:rPr>
        <w:t xml:space="preserve"> et </w:t>
      </w:r>
      <w:r w:rsidR="00FB46B4" w:rsidRPr="00611942">
        <w:rPr>
          <w:i/>
          <w:iCs/>
          <w:sz w:val="20"/>
        </w:rPr>
        <w:t>Commission scolaire de Chambly</w:t>
      </w:r>
      <w:r w:rsidR="00FB46B4" w:rsidRPr="00E41B91">
        <w:rPr>
          <w:sz w:val="20"/>
        </w:rPr>
        <w:t xml:space="preserve">, </w:t>
      </w:r>
      <w:r w:rsidR="000959D3">
        <w:rPr>
          <w:sz w:val="20"/>
        </w:rPr>
        <w:t>précitée, note 8</w:t>
      </w:r>
      <w:r w:rsidR="00E05331">
        <w:rPr>
          <w:sz w:val="20"/>
        </w:rPr>
        <w:t>,</w:t>
      </w:r>
      <w:r w:rsidR="00FB46B4" w:rsidRPr="00E41B91">
        <w:rPr>
          <w:sz w:val="20"/>
        </w:rPr>
        <w:t xml:space="preserve"> </w:t>
      </w:r>
      <w:r w:rsidR="00E05331" w:rsidRPr="00E05331">
        <w:rPr>
          <w:sz w:val="20"/>
        </w:rPr>
        <w:t>révision pour cause rejetée, 27 février 1996, A. Suicco</w:t>
      </w:r>
      <w:r w:rsidR="00E41B91" w:rsidRPr="006C4CF5">
        <w:rPr>
          <w:sz w:val="20"/>
        </w:rPr>
        <w:t>;</w:t>
      </w:r>
      <w:r w:rsidRPr="006C4CF5">
        <w:rPr>
          <w:rFonts w:cs="Arial"/>
          <w:sz w:val="20"/>
        </w:rPr>
        <w:t xml:space="preserve"> </w:t>
      </w:r>
      <w:r w:rsidRPr="006C4CF5">
        <w:rPr>
          <w:i/>
          <w:iCs/>
          <w:sz w:val="20"/>
        </w:rPr>
        <w:t>Russo</w:t>
      </w:r>
      <w:r w:rsidRPr="006C4CF5">
        <w:rPr>
          <w:sz w:val="20"/>
        </w:rPr>
        <w:t xml:space="preserve"> et </w:t>
      </w:r>
      <w:r w:rsidRPr="006C4CF5">
        <w:rPr>
          <w:i/>
          <w:iCs/>
          <w:sz w:val="20"/>
        </w:rPr>
        <w:t>Canadien Pacifique ltée</w:t>
      </w:r>
      <w:r w:rsidRPr="006C4CF5">
        <w:rPr>
          <w:rFonts w:cs="Arial"/>
          <w:sz w:val="20"/>
        </w:rPr>
        <w:t xml:space="preserve">, </w:t>
      </w:r>
      <w:r w:rsidR="001742A5" w:rsidRPr="001742A5">
        <w:rPr>
          <w:sz w:val="20"/>
        </w:rPr>
        <w:t>[1998]</w:t>
      </w:r>
      <w:r w:rsidR="001742A5">
        <w:rPr>
          <w:sz w:val="20"/>
        </w:rPr>
        <w:t> </w:t>
      </w:r>
      <w:r w:rsidR="001742A5" w:rsidRPr="001742A5">
        <w:rPr>
          <w:sz w:val="20"/>
        </w:rPr>
        <w:t>C</w:t>
      </w:r>
      <w:r w:rsidR="001742A5">
        <w:rPr>
          <w:sz w:val="20"/>
        </w:rPr>
        <w:t>.</w:t>
      </w:r>
      <w:r w:rsidR="001742A5" w:rsidRPr="001742A5">
        <w:rPr>
          <w:sz w:val="20"/>
        </w:rPr>
        <w:t>L</w:t>
      </w:r>
      <w:r w:rsidR="001742A5">
        <w:rPr>
          <w:sz w:val="20"/>
        </w:rPr>
        <w:t>.</w:t>
      </w:r>
      <w:r w:rsidR="001742A5" w:rsidRPr="001742A5">
        <w:rPr>
          <w:sz w:val="20"/>
        </w:rPr>
        <w:t>P</w:t>
      </w:r>
      <w:r w:rsidR="001742A5">
        <w:rPr>
          <w:sz w:val="20"/>
        </w:rPr>
        <w:t>.</w:t>
      </w:r>
      <w:r w:rsidR="001742A5" w:rsidRPr="001742A5">
        <w:rPr>
          <w:sz w:val="20"/>
        </w:rPr>
        <w:t xml:space="preserve"> 1166</w:t>
      </w:r>
      <w:r w:rsidRPr="006C4CF5">
        <w:rPr>
          <w:sz w:val="20"/>
        </w:rPr>
        <w:t>;</w:t>
      </w:r>
      <w:r w:rsidR="006C4CF5" w:rsidRPr="006C4CF5">
        <w:rPr>
          <w:sz w:val="20"/>
        </w:rPr>
        <w:t xml:space="preserve"> </w:t>
      </w:r>
      <w:r w:rsidR="006C4CF5" w:rsidRPr="00F810A0">
        <w:rPr>
          <w:i/>
          <w:iCs/>
          <w:sz w:val="20"/>
        </w:rPr>
        <w:t xml:space="preserve">Lauzer </w:t>
      </w:r>
      <w:r w:rsidR="006C4CF5" w:rsidRPr="001742A5">
        <w:rPr>
          <w:sz w:val="20"/>
        </w:rPr>
        <w:t>et</w:t>
      </w:r>
      <w:r w:rsidR="006C4CF5" w:rsidRPr="00F810A0">
        <w:rPr>
          <w:i/>
          <w:iCs/>
          <w:sz w:val="20"/>
        </w:rPr>
        <w:t xml:space="preserve"> Ville de Trois-Rivières</w:t>
      </w:r>
      <w:r w:rsidR="006C4CF5" w:rsidRPr="006C4CF5">
        <w:rPr>
          <w:sz w:val="20"/>
        </w:rPr>
        <w:t>, C.L.P. 216514-04-0309, 7 février 2006, D</w:t>
      </w:r>
      <w:r w:rsidR="001742A5" w:rsidRPr="006C4CF5">
        <w:rPr>
          <w:sz w:val="20"/>
        </w:rPr>
        <w:t>.</w:t>
      </w:r>
      <w:r w:rsidR="001742A5">
        <w:rPr>
          <w:sz w:val="20"/>
        </w:rPr>
        <w:t> </w:t>
      </w:r>
      <w:r w:rsidR="006C4CF5" w:rsidRPr="006C4CF5">
        <w:rPr>
          <w:sz w:val="20"/>
        </w:rPr>
        <w:t>Lajoie;</w:t>
      </w:r>
      <w:r w:rsidR="0025143E" w:rsidRPr="006C4CF5">
        <w:rPr>
          <w:sz w:val="20"/>
        </w:rPr>
        <w:t xml:space="preserve"> </w:t>
      </w:r>
      <w:r w:rsidR="0025143E" w:rsidRPr="006C4CF5">
        <w:rPr>
          <w:i/>
          <w:iCs/>
          <w:sz w:val="20"/>
        </w:rPr>
        <w:t>Commission scolaire des Grandes-Seigneuries</w:t>
      </w:r>
      <w:r w:rsidR="0025143E" w:rsidRPr="006C4CF5">
        <w:rPr>
          <w:sz w:val="20"/>
        </w:rPr>
        <w:t xml:space="preserve"> et </w:t>
      </w:r>
      <w:r w:rsidR="0025143E" w:rsidRPr="006C4CF5">
        <w:rPr>
          <w:i/>
          <w:iCs/>
          <w:sz w:val="20"/>
        </w:rPr>
        <w:t>Knezevic</w:t>
      </w:r>
      <w:r w:rsidR="0025143E" w:rsidRPr="006C4CF5">
        <w:rPr>
          <w:sz w:val="20"/>
        </w:rPr>
        <w:t xml:space="preserve">, C.L.P. 251054-62-0412, </w:t>
      </w:r>
      <w:r w:rsidR="001742A5" w:rsidRPr="006C4CF5">
        <w:rPr>
          <w:sz w:val="20"/>
        </w:rPr>
        <w:t>30</w:t>
      </w:r>
      <w:r w:rsidR="001742A5">
        <w:rPr>
          <w:sz w:val="20"/>
        </w:rPr>
        <w:t> </w:t>
      </w:r>
      <w:r w:rsidR="0025143E" w:rsidRPr="006C4CF5">
        <w:rPr>
          <w:sz w:val="20"/>
        </w:rPr>
        <w:t>août 2006, M.</w:t>
      </w:r>
      <w:r w:rsidR="0025143E">
        <w:rPr>
          <w:sz w:val="20"/>
        </w:rPr>
        <w:t xml:space="preserve"> Zigby;</w:t>
      </w:r>
      <w:r w:rsidR="006C4CF5">
        <w:rPr>
          <w:sz w:val="20"/>
        </w:rPr>
        <w:t xml:space="preserve"> </w:t>
      </w:r>
      <w:r w:rsidR="00921457" w:rsidRPr="0025143E">
        <w:rPr>
          <w:i/>
          <w:iCs/>
          <w:sz w:val="20"/>
        </w:rPr>
        <w:t>Société de transport</w:t>
      </w:r>
      <w:r w:rsidR="00921457" w:rsidRPr="00921457">
        <w:rPr>
          <w:i/>
          <w:iCs/>
          <w:sz w:val="20"/>
        </w:rPr>
        <w:t xml:space="preserve"> de Montréal (Réseau des autobus)</w:t>
      </w:r>
      <w:r w:rsidR="00921457" w:rsidRPr="00921457">
        <w:rPr>
          <w:sz w:val="20"/>
        </w:rPr>
        <w:t xml:space="preserve"> et </w:t>
      </w:r>
      <w:r w:rsidR="00921457" w:rsidRPr="00921457">
        <w:rPr>
          <w:i/>
          <w:iCs/>
          <w:sz w:val="20"/>
        </w:rPr>
        <w:t>Denis</w:t>
      </w:r>
      <w:r w:rsidR="00921457" w:rsidRPr="00921457">
        <w:rPr>
          <w:sz w:val="20"/>
        </w:rPr>
        <w:t xml:space="preserve">, C.L.P. </w:t>
      </w:r>
      <w:r w:rsidR="00982BFA" w:rsidRPr="00982BFA">
        <w:rPr>
          <w:sz w:val="20"/>
        </w:rPr>
        <w:t>303311-62B-0611</w:t>
      </w:r>
      <w:r w:rsidR="00982BFA">
        <w:rPr>
          <w:sz w:val="20"/>
        </w:rPr>
        <w:t>, 21 décembre 2007, J-F. Clément</w:t>
      </w:r>
      <w:r w:rsidR="00921457" w:rsidRPr="00921457">
        <w:rPr>
          <w:sz w:val="20"/>
        </w:rPr>
        <w:t xml:space="preserve">; </w:t>
      </w:r>
      <w:r w:rsidR="0025143E" w:rsidRPr="0025143E">
        <w:rPr>
          <w:i/>
          <w:iCs/>
          <w:sz w:val="20"/>
        </w:rPr>
        <w:t>Moreau</w:t>
      </w:r>
      <w:r w:rsidR="0025143E" w:rsidRPr="0025143E">
        <w:rPr>
          <w:sz w:val="20"/>
        </w:rPr>
        <w:t xml:space="preserve"> et </w:t>
      </w:r>
      <w:r w:rsidR="0025143E" w:rsidRPr="0025143E">
        <w:rPr>
          <w:i/>
          <w:iCs/>
          <w:sz w:val="20"/>
        </w:rPr>
        <w:t>CHUQ – Pavillon CHUL (SST)</w:t>
      </w:r>
      <w:r w:rsidR="0025143E" w:rsidRPr="0025143E">
        <w:rPr>
          <w:sz w:val="20"/>
        </w:rPr>
        <w:t>, 2012 QCCLP 150</w:t>
      </w:r>
      <w:r w:rsidR="00982BFA">
        <w:rPr>
          <w:sz w:val="20"/>
        </w:rPr>
        <w:t>.</w:t>
      </w:r>
    </w:p>
  </w:footnote>
  <w:footnote w:id="12">
    <w:p w14:paraId="1E69ADD3" w14:textId="32091AC1" w:rsidR="00611942" w:rsidRPr="00611942" w:rsidRDefault="00611942" w:rsidP="0061194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611942">
        <w:rPr>
          <w:i/>
          <w:iCs/>
          <w:sz w:val="20"/>
        </w:rPr>
        <w:t>Société Asbestos ltée</w:t>
      </w:r>
      <w:r w:rsidRPr="00611942">
        <w:rPr>
          <w:sz w:val="20"/>
        </w:rPr>
        <w:t xml:space="preserve"> et </w:t>
      </w:r>
      <w:r w:rsidRPr="00611942">
        <w:rPr>
          <w:i/>
          <w:iCs/>
          <w:sz w:val="20"/>
        </w:rPr>
        <w:t>Vachon</w:t>
      </w:r>
      <w:r w:rsidRPr="00611942">
        <w:rPr>
          <w:sz w:val="20"/>
        </w:rPr>
        <w:t xml:space="preserve">, </w:t>
      </w:r>
      <w:r w:rsidR="00715789">
        <w:rPr>
          <w:sz w:val="20"/>
        </w:rPr>
        <w:t>précitée, note 8</w:t>
      </w:r>
      <w:r w:rsidRPr="00611942">
        <w:rPr>
          <w:sz w:val="20"/>
        </w:rPr>
        <w:t xml:space="preserve">; </w:t>
      </w:r>
      <w:r w:rsidR="00715789" w:rsidRPr="00715789">
        <w:rPr>
          <w:sz w:val="20"/>
        </w:rPr>
        <w:t xml:space="preserve">Précitée, note 5. Voir également </w:t>
      </w:r>
      <w:r w:rsidR="00383F4D" w:rsidRPr="005924B7">
        <w:rPr>
          <w:i/>
          <w:iCs/>
          <w:sz w:val="20"/>
        </w:rPr>
        <w:t>Commission de la santé et de la sécurité du travail</w:t>
      </w:r>
      <w:r w:rsidR="00383F4D" w:rsidRPr="00383F4D">
        <w:rPr>
          <w:sz w:val="20"/>
        </w:rPr>
        <w:t xml:space="preserve"> </w:t>
      </w:r>
      <w:r w:rsidR="00715789" w:rsidRPr="00715789">
        <w:rPr>
          <w:sz w:val="20"/>
        </w:rPr>
        <w:t xml:space="preserve">et </w:t>
      </w:r>
      <w:r w:rsidR="00715789" w:rsidRPr="00F810A0">
        <w:rPr>
          <w:i/>
          <w:iCs/>
          <w:sz w:val="20"/>
        </w:rPr>
        <w:t>Ciment St-Laurent inc.,</w:t>
      </w:r>
      <w:r w:rsidR="00715789" w:rsidRPr="00715789">
        <w:rPr>
          <w:sz w:val="20"/>
        </w:rPr>
        <w:t xml:space="preserve"> </w:t>
      </w:r>
      <w:r w:rsidR="00715789">
        <w:rPr>
          <w:sz w:val="20"/>
        </w:rPr>
        <w:t>[</w:t>
      </w:r>
      <w:r w:rsidR="00715789" w:rsidRPr="00715789">
        <w:rPr>
          <w:sz w:val="20"/>
        </w:rPr>
        <w:t>1994</w:t>
      </w:r>
      <w:r w:rsidR="00715789">
        <w:rPr>
          <w:sz w:val="20"/>
        </w:rPr>
        <w:t>]</w:t>
      </w:r>
      <w:r w:rsidR="00715789" w:rsidRPr="00715789">
        <w:rPr>
          <w:sz w:val="20"/>
        </w:rPr>
        <w:t xml:space="preserve"> C.A.L.P. 279; </w:t>
      </w:r>
      <w:r w:rsidR="00383F4D" w:rsidRPr="00F810A0">
        <w:rPr>
          <w:i/>
          <w:iCs/>
          <w:sz w:val="20"/>
        </w:rPr>
        <w:t>Commission de la santé et de la sécurité du travail</w:t>
      </w:r>
      <w:r w:rsidR="00383F4D" w:rsidRPr="00383F4D">
        <w:rPr>
          <w:sz w:val="20"/>
        </w:rPr>
        <w:t xml:space="preserve"> et </w:t>
      </w:r>
      <w:r w:rsidR="00383F4D" w:rsidRPr="00F810A0">
        <w:rPr>
          <w:i/>
          <w:iCs/>
          <w:sz w:val="20"/>
        </w:rPr>
        <w:t>Roy</w:t>
      </w:r>
      <w:r w:rsidR="00383F4D" w:rsidRPr="00383F4D">
        <w:rPr>
          <w:sz w:val="20"/>
        </w:rPr>
        <w:t>,</w:t>
      </w:r>
      <w:r w:rsidRPr="00611942">
        <w:rPr>
          <w:sz w:val="20"/>
        </w:rPr>
        <w:t xml:space="preserve"> </w:t>
      </w:r>
      <w:r w:rsidR="00383F4D">
        <w:rPr>
          <w:sz w:val="20"/>
        </w:rPr>
        <w:t>[</w:t>
      </w:r>
      <w:r w:rsidRPr="00611942">
        <w:rPr>
          <w:sz w:val="20"/>
        </w:rPr>
        <w:t>1994</w:t>
      </w:r>
      <w:r w:rsidR="00383F4D">
        <w:rPr>
          <w:sz w:val="20"/>
        </w:rPr>
        <w:t>]</w:t>
      </w:r>
      <w:r w:rsidRPr="00611942">
        <w:rPr>
          <w:sz w:val="20"/>
        </w:rPr>
        <w:t xml:space="preserve"> C.A.L.P. 1038</w:t>
      </w:r>
      <w:r w:rsidRPr="009A72E8">
        <w:rPr>
          <w:sz w:val="20"/>
        </w:rPr>
        <w:t>; révision judiciaire rejetée</w:t>
      </w:r>
      <w:r w:rsidR="009A72E8" w:rsidRPr="009A72E8">
        <w:rPr>
          <w:sz w:val="20"/>
        </w:rPr>
        <w:t>,</w:t>
      </w:r>
      <w:r w:rsidRPr="009A72E8">
        <w:rPr>
          <w:sz w:val="20"/>
        </w:rPr>
        <w:t xml:space="preserve"> </w:t>
      </w:r>
      <w:r w:rsidR="009A72E8" w:rsidRPr="009A72E8">
        <w:rPr>
          <w:sz w:val="20"/>
        </w:rPr>
        <w:t>[</w:t>
      </w:r>
      <w:r w:rsidRPr="009A72E8">
        <w:rPr>
          <w:sz w:val="20"/>
        </w:rPr>
        <w:t>1994</w:t>
      </w:r>
      <w:r w:rsidR="009A72E8" w:rsidRPr="009A72E8">
        <w:rPr>
          <w:sz w:val="20"/>
        </w:rPr>
        <w:t>]</w:t>
      </w:r>
      <w:r w:rsidRPr="009A72E8">
        <w:rPr>
          <w:sz w:val="20"/>
        </w:rPr>
        <w:t xml:space="preserve"> C.A.L.P. 1307 (C.S.)</w:t>
      </w:r>
      <w:r w:rsidRPr="00611942">
        <w:rPr>
          <w:sz w:val="20"/>
        </w:rPr>
        <w:t xml:space="preserve">; </w:t>
      </w:r>
      <w:r w:rsidRPr="00611942">
        <w:rPr>
          <w:i/>
          <w:iCs/>
          <w:sz w:val="20"/>
        </w:rPr>
        <w:t>Québec-Téléphone inc</w:t>
      </w:r>
      <w:r w:rsidRPr="00611942">
        <w:rPr>
          <w:sz w:val="20"/>
        </w:rPr>
        <w:t xml:space="preserve">. et </w:t>
      </w:r>
      <w:r w:rsidRPr="00611942">
        <w:rPr>
          <w:i/>
          <w:iCs/>
          <w:sz w:val="20"/>
        </w:rPr>
        <w:t>Lechasseur</w:t>
      </w:r>
      <w:r w:rsidRPr="00611942">
        <w:rPr>
          <w:sz w:val="20"/>
        </w:rPr>
        <w:t xml:space="preserve">, </w:t>
      </w:r>
      <w:r w:rsidR="00F85F9D">
        <w:rPr>
          <w:sz w:val="20"/>
        </w:rPr>
        <w:t>[</w:t>
      </w:r>
      <w:r w:rsidRPr="00611942">
        <w:rPr>
          <w:sz w:val="20"/>
        </w:rPr>
        <w:t>1994</w:t>
      </w:r>
      <w:r w:rsidR="00F85F9D">
        <w:rPr>
          <w:sz w:val="20"/>
        </w:rPr>
        <w:t>]</w:t>
      </w:r>
      <w:r w:rsidRPr="00611942">
        <w:rPr>
          <w:sz w:val="20"/>
        </w:rPr>
        <w:t xml:space="preserve"> C.A.L.P. 1250;</w:t>
      </w:r>
      <w:r w:rsidRPr="006C4CF5">
        <w:rPr>
          <w:sz w:val="20"/>
        </w:rPr>
        <w:t xml:space="preserve"> </w:t>
      </w:r>
      <w:r w:rsidRPr="006C4CF5">
        <w:rPr>
          <w:i/>
          <w:iCs/>
          <w:sz w:val="20"/>
        </w:rPr>
        <w:t>Thibeault</w:t>
      </w:r>
      <w:r w:rsidRPr="006C4CF5">
        <w:rPr>
          <w:sz w:val="20"/>
        </w:rPr>
        <w:t xml:space="preserve"> et </w:t>
      </w:r>
      <w:r w:rsidRPr="006C4CF5">
        <w:rPr>
          <w:i/>
          <w:iCs/>
          <w:sz w:val="20"/>
        </w:rPr>
        <w:t>Ville de Trois-Rivières</w:t>
      </w:r>
      <w:r w:rsidRPr="006C4CF5">
        <w:rPr>
          <w:sz w:val="20"/>
        </w:rPr>
        <w:t xml:space="preserve">, C.L.P. 298890-04-0609, 25 octobre 2006, J.-F. Clément; </w:t>
      </w:r>
      <w:r w:rsidRPr="006C4CF5">
        <w:rPr>
          <w:i/>
          <w:iCs/>
          <w:sz w:val="20"/>
        </w:rPr>
        <w:t>Gauthier</w:t>
      </w:r>
      <w:r w:rsidRPr="00611942">
        <w:rPr>
          <w:sz w:val="20"/>
        </w:rPr>
        <w:t xml:space="preserve"> et </w:t>
      </w:r>
      <w:r w:rsidRPr="006C4CF5">
        <w:rPr>
          <w:i/>
          <w:iCs/>
          <w:sz w:val="20"/>
        </w:rPr>
        <w:t>Ville de Laval</w:t>
      </w:r>
      <w:r w:rsidRPr="00611942">
        <w:rPr>
          <w:sz w:val="20"/>
        </w:rPr>
        <w:t>, 2017 QCTAT 4171</w:t>
      </w:r>
      <w:r w:rsidR="006C4CF5">
        <w:rPr>
          <w:sz w:val="20"/>
        </w:rPr>
        <w:t>, r</w:t>
      </w:r>
      <w:r w:rsidR="006C4CF5" w:rsidRPr="006C4CF5">
        <w:rPr>
          <w:sz w:val="20"/>
        </w:rPr>
        <w:t>equête en révision rejetée</w:t>
      </w:r>
      <w:r w:rsidR="006C4CF5">
        <w:rPr>
          <w:sz w:val="20"/>
        </w:rPr>
        <w:t xml:space="preserve">, </w:t>
      </w:r>
      <w:r w:rsidR="006C4CF5" w:rsidRPr="006C4CF5">
        <w:rPr>
          <w:sz w:val="20"/>
        </w:rPr>
        <w:t>2018 QCTAT 3280</w:t>
      </w:r>
      <w:r w:rsidR="006C4CF5">
        <w:rPr>
          <w:sz w:val="20"/>
        </w:rPr>
        <w:t>.</w:t>
      </w:r>
    </w:p>
  </w:footnote>
  <w:footnote w:id="13">
    <w:p w14:paraId="408A0FE1" w14:textId="1A739354" w:rsidR="00766C2C" w:rsidRPr="00766C2C" w:rsidRDefault="00766C2C" w:rsidP="00766C2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517E26">
        <w:rPr>
          <w:rFonts w:cs="Arial"/>
          <w:sz w:val="20"/>
        </w:rPr>
        <w:t xml:space="preserve">Voir notamment </w:t>
      </w:r>
      <w:r w:rsidRPr="00766C2C">
        <w:rPr>
          <w:i/>
          <w:iCs/>
          <w:sz w:val="20"/>
        </w:rPr>
        <w:t>Québec-Téléphone inc</w:t>
      </w:r>
      <w:r w:rsidRPr="00766C2C">
        <w:rPr>
          <w:sz w:val="20"/>
        </w:rPr>
        <w:t xml:space="preserve">. et </w:t>
      </w:r>
      <w:r w:rsidRPr="00766C2C">
        <w:rPr>
          <w:i/>
          <w:iCs/>
          <w:sz w:val="20"/>
        </w:rPr>
        <w:t>Lechasseur</w:t>
      </w:r>
      <w:r w:rsidRPr="00766C2C">
        <w:rPr>
          <w:sz w:val="20"/>
        </w:rPr>
        <w:t xml:space="preserve">, </w:t>
      </w:r>
      <w:r w:rsidR="004657F6">
        <w:rPr>
          <w:sz w:val="20"/>
        </w:rPr>
        <w:t>précitée, note 12</w:t>
      </w:r>
      <w:r w:rsidR="00F14FD0" w:rsidRPr="00F14FD0">
        <w:rPr>
          <w:sz w:val="20"/>
        </w:rPr>
        <w:t xml:space="preserve">; </w:t>
      </w:r>
      <w:r w:rsidR="00F14FD0" w:rsidRPr="00F14FD0">
        <w:rPr>
          <w:i/>
          <w:iCs/>
          <w:sz w:val="20"/>
        </w:rPr>
        <w:t xml:space="preserve">Réalisations </w:t>
      </w:r>
      <w:r w:rsidR="004657F6" w:rsidRPr="00F14FD0">
        <w:rPr>
          <w:i/>
          <w:iCs/>
          <w:sz w:val="20"/>
        </w:rPr>
        <w:t>Newtech</w:t>
      </w:r>
      <w:r w:rsidR="004657F6">
        <w:rPr>
          <w:i/>
          <w:iCs/>
          <w:sz w:val="20"/>
        </w:rPr>
        <w:t> </w:t>
      </w:r>
      <w:r w:rsidR="00F14FD0" w:rsidRPr="00F14FD0">
        <w:rPr>
          <w:i/>
          <w:iCs/>
          <w:sz w:val="20"/>
        </w:rPr>
        <w:t>inc</w:t>
      </w:r>
      <w:r w:rsidR="00F14FD0" w:rsidRPr="00F14FD0">
        <w:rPr>
          <w:sz w:val="20"/>
        </w:rPr>
        <w:t xml:space="preserve">. </w:t>
      </w:r>
      <w:r w:rsidR="00F14FD0">
        <w:rPr>
          <w:sz w:val="20"/>
        </w:rPr>
        <w:t>e</w:t>
      </w:r>
      <w:r w:rsidR="00F14FD0" w:rsidRPr="00F14FD0">
        <w:rPr>
          <w:sz w:val="20"/>
        </w:rPr>
        <w:t xml:space="preserve">t </w:t>
      </w:r>
      <w:r w:rsidR="00F14FD0" w:rsidRPr="00F14FD0">
        <w:rPr>
          <w:i/>
          <w:iCs/>
          <w:sz w:val="20"/>
        </w:rPr>
        <w:t>Carbonneau</w:t>
      </w:r>
      <w:r w:rsidR="00F14FD0" w:rsidRPr="00F14FD0">
        <w:rPr>
          <w:sz w:val="20"/>
        </w:rPr>
        <w:t>, 2019 QCTAT 977</w:t>
      </w:r>
      <w:r w:rsidR="004657F6">
        <w:rPr>
          <w:sz w:val="20"/>
        </w:rPr>
        <w:t>.</w:t>
      </w:r>
    </w:p>
  </w:footnote>
  <w:footnote w:id="14">
    <w:p w14:paraId="0681FBF7" w14:textId="13725E3D" w:rsidR="001F3EC5" w:rsidRPr="001F3EC5" w:rsidRDefault="001F3EC5" w:rsidP="001F3EC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2024 QCCS 3969.</w:t>
      </w:r>
    </w:p>
  </w:footnote>
  <w:footnote w:id="15">
    <w:p w14:paraId="4D96BBDE" w14:textId="117EFA69" w:rsidR="00C156EB" w:rsidRPr="00C156EB" w:rsidRDefault="00C156EB" w:rsidP="00C156E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L.Q. 2021, c. 27.</w:t>
      </w:r>
    </w:p>
  </w:footnote>
  <w:footnote w:id="16">
    <w:p w14:paraId="1315EBF9" w14:textId="294ACD15" w:rsidR="00E27FC0" w:rsidRPr="00E27FC0" w:rsidRDefault="00E27FC0" w:rsidP="00E27FC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AF71E6" w:rsidRPr="00AF71E6">
        <w:rPr>
          <w:rFonts w:cs="Arial"/>
          <w:i/>
          <w:iCs/>
          <w:sz w:val="20"/>
        </w:rPr>
        <w:t>Avoine</w:t>
      </w:r>
      <w:r w:rsidR="00AF71E6" w:rsidRPr="00AF71E6">
        <w:rPr>
          <w:rFonts w:cs="Arial"/>
          <w:sz w:val="20"/>
        </w:rPr>
        <w:t xml:space="preserve"> et </w:t>
      </w:r>
      <w:r w:rsidR="000A63C9" w:rsidRPr="00AF71E6">
        <w:rPr>
          <w:rFonts w:cs="Arial"/>
          <w:i/>
          <w:iCs/>
          <w:sz w:val="20"/>
        </w:rPr>
        <w:t xml:space="preserve">Ville de </w:t>
      </w:r>
      <w:r w:rsidR="00AF71E6" w:rsidRPr="00AF71E6">
        <w:rPr>
          <w:rFonts w:cs="Arial"/>
          <w:i/>
          <w:iCs/>
          <w:sz w:val="20"/>
        </w:rPr>
        <w:t>Montréal (Arrondissement de Montréal-Nord)</w:t>
      </w:r>
      <w:r w:rsidR="00AF71E6">
        <w:rPr>
          <w:rFonts w:cs="Arial"/>
          <w:sz w:val="20"/>
        </w:rPr>
        <w:t>,</w:t>
      </w:r>
      <w:r w:rsidR="00AF71E6" w:rsidRPr="00AF71E6">
        <w:rPr>
          <w:rFonts w:cs="Arial"/>
          <w:sz w:val="20"/>
        </w:rPr>
        <w:t xml:space="preserve"> 2011 QCCLP 1681</w:t>
      </w:r>
      <w:r w:rsidR="00C23AE2">
        <w:rPr>
          <w:rFonts w:cs="Arial"/>
          <w:sz w:val="20"/>
        </w:rPr>
        <w:t xml:space="preserve">; </w:t>
      </w:r>
      <w:r w:rsidR="00C23AE2" w:rsidRPr="00C23AE2">
        <w:rPr>
          <w:rFonts w:cs="Arial"/>
          <w:i/>
          <w:iCs/>
          <w:sz w:val="20"/>
        </w:rPr>
        <w:t>Vitrerie Cowansville inc</w:t>
      </w:r>
      <w:r w:rsidR="00C23AE2" w:rsidRPr="00C23AE2">
        <w:rPr>
          <w:rFonts w:cs="Arial"/>
          <w:sz w:val="20"/>
        </w:rPr>
        <w:t xml:space="preserve">. et </w:t>
      </w:r>
      <w:r w:rsidR="00C23AE2" w:rsidRPr="00C23AE2">
        <w:rPr>
          <w:rFonts w:cs="Arial"/>
          <w:i/>
          <w:iCs/>
          <w:sz w:val="20"/>
        </w:rPr>
        <w:t>Chevarie</w:t>
      </w:r>
      <w:r w:rsidR="00C23AE2">
        <w:rPr>
          <w:rFonts w:cs="Arial"/>
          <w:sz w:val="20"/>
        </w:rPr>
        <w:t xml:space="preserve">, </w:t>
      </w:r>
      <w:r w:rsidR="00C23AE2" w:rsidRPr="00C23AE2">
        <w:rPr>
          <w:rFonts w:cs="Arial"/>
          <w:sz w:val="20"/>
        </w:rPr>
        <w:t>2018 QCTAT 1488</w:t>
      </w:r>
      <w:r w:rsidR="00C23AE2">
        <w:rPr>
          <w:rFonts w:cs="Arial"/>
          <w:sz w:val="20"/>
        </w:rPr>
        <w:t>.</w:t>
      </w:r>
    </w:p>
  </w:footnote>
  <w:footnote w:id="17">
    <w:p w14:paraId="32E728BC" w14:textId="38D2AA9C" w:rsidR="00832D6E" w:rsidRPr="00480B8C" w:rsidRDefault="00832D6E" w:rsidP="00832D6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21220">
        <w:rPr>
          <w:i/>
          <w:iCs/>
          <w:sz w:val="20"/>
        </w:rPr>
        <w:t>Croteau</w:t>
      </w:r>
      <w:r w:rsidRPr="00221220">
        <w:rPr>
          <w:sz w:val="20"/>
        </w:rPr>
        <w:t xml:space="preserve"> et </w:t>
      </w:r>
      <w:r w:rsidRPr="00221220">
        <w:rPr>
          <w:i/>
          <w:iCs/>
          <w:sz w:val="20"/>
        </w:rPr>
        <w:t>Commission scolaire de Chambly</w:t>
      </w:r>
      <w:r w:rsidRPr="00221220">
        <w:rPr>
          <w:sz w:val="20"/>
        </w:rPr>
        <w:t xml:space="preserve">, </w:t>
      </w:r>
      <w:r w:rsidR="004C5393" w:rsidRPr="004C5393">
        <w:rPr>
          <w:sz w:val="20"/>
        </w:rPr>
        <w:t>précitée, note 8</w:t>
      </w:r>
      <w:r w:rsidR="004C5393">
        <w:rPr>
          <w:sz w:val="20"/>
        </w:rPr>
        <w:t>,</w:t>
      </w:r>
      <w:r w:rsidRPr="00221220">
        <w:rPr>
          <w:sz w:val="20"/>
        </w:rPr>
        <w:t xml:space="preserve"> révision pour cause rejetée, </w:t>
      </w:r>
      <w:r w:rsidR="004C5393">
        <w:rPr>
          <w:sz w:val="20"/>
        </w:rPr>
        <w:t>C.A.L.P.</w:t>
      </w:r>
      <w:r w:rsidR="004C5393" w:rsidRPr="00221220">
        <w:rPr>
          <w:sz w:val="20"/>
        </w:rPr>
        <w:t xml:space="preserve"> </w:t>
      </w:r>
      <w:r w:rsidRPr="00221220">
        <w:rPr>
          <w:sz w:val="20"/>
        </w:rPr>
        <w:t>68339-62-9504, le 27 février 1996</w:t>
      </w:r>
      <w:r w:rsidR="004C5393">
        <w:rPr>
          <w:sz w:val="20"/>
        </w:rPr>
        <w:t>, A. Suicco</w:t>
      </w:r>
      <w:r w:rsidRPr="00221220">
        <w:rPr>
          <w:sz w:val="20"/>
        </w:rPr>
        <w:t xml:space="preserve">; </w:t>
      </w:r>
      <w:r w:rsidRPr="009A72E8">
        <w:rPr>
          <w:i/>
          <w:iCs/>
          <w:sz w:val="20"/>
        </w:rPr>
        <w:t>Brassard-Dubeau</w:t>
      </w:r>
      <w:r w:rsidRPr="009A72E8">
        <w:rPr>
          <w:sz w:val="20"/>
        </w:rPr>
        <w:t xml:space="preserve"> c. </w:t>
      </w:r>
      <w:r w:rsidRPr="009A72E8">
        <w:rPr>
          <w:i/>
          <w:iCs/>
          <w:sz w:val="20"/>
        </w:rPr>
        <w:t>Commission des lésions professionnelles</w:t>
      </w:r>
      <w:r w:rsidRPr="009A72E8">
        <w:rPr>
          <w:sz w:val="20"/>
        </w:rPr>
        <w:t>, C.S.</w:t>
      </w:r>
      <w:r w:rsidR="00162417">
        <w:rPr>
          <w:sz w:val="20"/>
        </w:rPr>
        <w:t xml:space="preserve"> Québec, </w:t>
      </w:r>
      <w:r w:rsidRPr="009A72E8">
        <w:rPr>
          <w:sz w:val="20"/>
        </w:rPr>
        <w:t>200-05-012468-992, 14 juillet 2000</w:t>
      </w:r>
      <w:r w:rsidR="001C69F3" w:rsidRPr="009A72E8">
        <w:rPr>
          <w:sz w:val="20"/>
        </w:rPr>
        <w:t xml:space="preserve"> </w:t>
      </w:r>
      <w:r w:rsidR="00DB6A09">
        <w:rPr>
          <w:sz w:val="20"/>
        </w:rPr>
        <w:t>(</w:t>
      </w:r>
      <w:r w:rsidR="001C69F3" w:rsidRPr="009A72E8">
        <w:rPr>
          <w:sz w:val="20"/>
        </w:rPr>
        <w:t>requête pour permission d’appeler rejetée</w:t>
      </w:r>
      <w:r w:rsidR="00DB6A09">
        <w:rPr>
          <w:sz w:val="20"/>
        </w:rPr>
        <w:t>)</w:t>
      </w:r>
      <w:r w:rsidR="001C69F3" w:rsidRPr="009A72E8">
        <w:rPr>
          <w:sz w:val="20"/>
        </w:rPr>
        <w:t xml:space="preserve">, C.A. </w:t>
      </w:r>
      <w:r w:rsidR="00DB6A09" w:rsidRPr="00DB6A09">
        <w:rPr>
          <w:sz w:val="20"/>
        </w:rPr>
        <w:t>Québec</w:t>
      </w:r>
      <w:r w:rsidR="00DB6A09">
        <w:rPr>
          <w:sz w:val="20"/>
        </w:rPr>
        <w:t xml:space="preserve">, </w:t>
      </w:r>
      <w:r w:rsidR="001C69F3" w:rsidRPr="009A72E8">
        <w:rPr>
          <w:sz w:val="20"/>
        </w:rPr>
        <w:t>200-09-003232-003, 6 octobre 2000</w:t>
      </w:r>
      <w:r w:rsidR="00DB6A09">
        <w:rPr>
          <w:sz w:val="20"/>
        </w:rPr>
        <w:t xml:space="preserve"> (</w:t>
      </w:r>
      <w:r w:rsidR="00DB6A09" w:rsidRPr="00DB6A09">
        <w:rPr>
          <w:sz w:val="20"/>
        </w:rPr>
        <w:t>requête en rejet d'appel rejetée</w:t>
      </w:r>
      <w:r w:rsidR="00DB6A09">
        <w:rPr>
          <w:sz w:val="20"/>
        </w:rPr>
        <w:t>)</w:t>
      </w:r>
      <w:r w:rsidRPr="009A72E8">
        <w:rPr>
          <w:sz w:val="20"/>
        </w:rPr>
        <w:t>;</w:t>
      </w:r>
      <w:r w:rsidRPr="00E74EA3">
        <w:rPr>
          <w:sz w:val="20"/>
        </w:rPr>
        <w:t xml:space="preserve"> </w:t>
      </w:r>
      <w:r w:rsidRPr="00E74EA3">
        <w:rPr>
          <w:i/>
          <w:iCs/>
          <w:sz w:val="20"/>
        </w:rPr>
        <w:t>Société canadienne des postes</w:t>
      </w:r>
      <w:r w:rsidRPr="00E74EA3">
        <w:rPr>
          <w:sz w:val="20"/>
        </w:rPr>
        <w:t xml:space="preserve"> et </w:t>
      </w:r>
      <w:r w:rsidRPr="00E74EA3">
        <w:rPr>
          <w:i/>
          <w:iCs/>
          <w:sz w:val="20"/>
        </w:rPr>
        <w:t>Brouillet</w:t>
      </w:r>
      <w:r w:rsidRPr="00E74EA3">
        <w:rPr>
          <w:sz w:val="20"/>
        </w:rPr>
        <w:t xml:space="preserve">, 2012 QCCLP 337; </w:t>
      </w:r>
      <w:r w:rsidRPr="00E74EA3">
        <w:rPr>
          <w:rFonts w:cs="Arial"/>
          <w:i/>
          <w:iCs/>
          <w:sz w:val="20"/>
        </w:rPr>
        <w:t>Rhéaume</w:t>
      </w:r>
      <w:r w:rsidRPr="00E74EA3">
        <w:rPr>
          <w:rFonts w:cs="Arial"/>
          <w:sz w:val="20"/>
        </w:rPr>
        <w:t xml:space="preserve"> et </w:t>
      </w:r>
      <w:r w:rsidRPr="00E74EA3">
        <w:rPr>
          <w:rFonts w:cs="Arial"/>
          <w:i/>
          <w:iCs/>
          <w:sz w:val="20"/>
        </w:rPr>
        <w:t>Experts Acoustique 2007 inc</w:t>
      </w:r>
      <w:r>
        <w:rPr>
          <w:rFonts w:cs="Arial"/>
          <w:sz w:val="20"/>
        </w:rPr>
        <w:t xml:space="preserve">., </w:t>
      </w:r>
      <w:r w:rsidRPr="00480B8C">
        <w:rPr>
          <w:rFonts w:cs="Arial"/>
          <w:sz w:val="20"/>
        </w:rPr>
        <w:t>2015</w:t>
      </w:r>
      <w:r>
        <w:rPr>
          <w:rFonts w:cs="Arial"/>
          <w:sz w:val="20"/>
        </w:rPr>
        <w:t xml:space="preserve"> </w:t>
      </w:r>
      <w:r w:rsidRPr="00480B8C">
        <w:rPr>
          <w:rFonts w:cs="Arial"/>
          <w:sz w:val="20"/>
        </w:rPr>
        <w:t>QCCLP</w:t>
      </w:r>
      <w:r>
        <w:rPr>
          <w:rFonts w:cs="Arial"/>
          <w:sz w:val="20"/>
        </w:rPr>
        <w:t xml:space="preserve"> </w:t>
      </w:r>
      <w:r w:rsidRPr="00480B8C">
        <w:rPr>
          <w:rFonts w:cs="Arial"/>
          <w:sz w:val="20"/>
        </w:rPr>
        <w:t>4984</w:t>
      </w:r>
      <w:r>
        <w:rPr>
          <w:rFonts w:cs="Arial"/>
          <w:sz w:val="20"/>
        </w:rPr>
        <w:t>.</w:t>
      </w:r>
    </w:p>
  </w:footnote>
  <w:footnote w:id="18">
    <w:p w14:paraId="0EC3CC4E" w14:textId="61C4145E" w:rsidR="0047058A" w:rsidRPr="0047058A" w:rsidRDefault="0047058A" w:rsidP="0047058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Voir notamment </w:t>
      </w:r>
      <w:r w:rsidRPr="0025143E">
        <w:rPr>
          <w:i/>
          <w:iCs/>
          <w:sz w:val="20"/>
        </w:rPr>
        <w:t>Emballages Smurfit-Stone Canada inc</w:t>
      </w:r>
      <w:r w:rsidRPr="0025143E">
        <w:rPr>
          <w:sz w:val="20"/>
        </w:rPr>
        <w:t xml:space="preserve">. et </w:t>
      </w:r>
      <w:r w:rsidRPr="0025143E">
        <w:rPr>
          <w:i/>
          <w:iCs/>
          <w:sz w:val="20"/>
        </w:rPr>
        <w:t>Lavoie</w:t>
      </w:r>
      <w:r w:rsidRPr="0025143E">
        <w:rPr>
          <w:sz w:val="20"/>
        </w:rPr>
        <w:t>, C</w:t>
      </w:r>
      <w:r w:rsidR="007F014F">
        <w:rPr>
          <w:sz w:val="20"/>
        </w:rPr>
        <w:t>.</w:t>
      </w:r>
      <w:r w:rsidRPr="0025143E">
        <w:rPr>
          <w:sz w:val="20"/>
        </w:rPr>
        <w:t>L</w:t>
      </w:r>
      <w:r w:rsidR="007F014F">
        <w:rPr>
          <w:sz w:val="20"/>
        </w:rPr>
        <w:t>.</w:t>
      </w:r>
      <w:r w:rsidRPr="0025143E">
        <w:rPr>
          <w:sz w:val="20"/>
        </w:rPr>
        <w:t>P</w:t>
      </w:r>
      <w:r w:rsidR="007F014F">
        <w:rPr>
          <w:sz w:val="20"/>
        </w:rPr>
        <w:t>.</w:t>
      </w:r>
      <w:r w:rsidRPr="0025143E">
        <w:rPr>
          <w:sz w:val="20"/>
        </w:rPr>
        <w:t xml:space="preserve"> </w:t>
      </w:r>
      <w:r w:rsidR="007F014F" w:rsidRPr="007F014F">
        <w:rPr>
          <w:sz w:val="20"/>
        </w:rPr>
        <w:t>319435-01A-0706</w:t>
      </w:r>
      <w:r w:rsidR="007F014F">
        <w:rPr>
          <w:sz w:val="20"/>
        </w:rPr>
        <w:t>, 20 février 2009, M. Normand</w:t>
      </w:r>
      <w:r w:rsidRPr="0025143E">
        <w:rPr>
          <w:sz w:val="20"/>
        </w:rPr>
        <w:t xml:space="preserve">; </w:t>
      </w:r>
      <w:r w:rsidRPr="0025143E">
        <w:rPr>
          <w:i/>
          <w:iCs/>
          <w:sz w:val="20"/>
        </w:rPr>
        <w:t>Moreau</w:t>
      </w:r>
      <w:r w:rsidRPr="0025143E">
        <w:rPr>
          <w:sz w:val="20"/>
        </w:rPr>
        <w:t xml:space="preserve"> et </w:t>
      </w:r>
      <w:r w:rsidRPr="0025143E">
        <w:rPr>
          <w:i/>
          <w:iCs/>
          <w:sz w:val="20"/>
        </w:rPr>
        <w:t>CHUQ – Pavillon CHUL (SST)</w:t>
      </w:r>
      <w:r w:rsidRPr="0025143E">
        <w:rPr>
          <w:sz w:val="20"/>
        </w:rPr>
        <w:t xml:space="preserve">, </w:t>
      </w:r>
      <w:r w:rsidR="007F014F">
        <w:rPr>
          <w:sz w:val="20"/>
        </w:rPr>
        <w:t>précitée, note 11</w:t>
      </w:r>
      <w:r>
        <w:rPr>
          <w:sz w:val="20"/>
        </w:rPr>
        <w:t xml:space="preserve">; </w:t>
      </w:r>
      <w:r w:rsidRPr="0047058A">
        <w:rPr>
          <w:i/>
          <w:iCs/>
          <w:sz w:val="20"/>
        </w:rPr>
        <w:t>Gauthier</w:t>
      </w:r>
      <w:r w:rsidRPr="0047058A">
        <w:rPr>
          <w:sz w:val="20"/>
        </w:rPr>
        <w:t xml:space="preserve"> et </w:t>
      </w:r>
      <w:r w:rsidRPr="0047058A">
        <w:rPr>
          <w:i/>
          <w:iCs/>
          <w:sz w:val="20"/>
        </w:rPr>
        <w:t>Ville de Laval</w:t>
      </w:r>
      <w:r w:rsidRPr="0047058A">
        <w:rPr>
          <w:sz w:val="20"/>
        </w:rPr>
        <w:t>, précitée</w:t>
      </w:r>
      <w:r>
        <w:rPr>
          <w:sz w:val="20"/>
        </w:rPr>
        <w:t xml:space="preserve">, note </w:t>
      </w:r>
      <w:r w:rsidR="007F014F">
        <w:rPr>
          <w:sz w:val="20"/>
        </w:rPr>
        <w:t>12</w:t>
      </w:r>
      <w:r>
        <w:rPr>
          <w:sz w:val="20"/>
        </w:rPr>
        <w:t xml:space="preserve">; </w:t>
      </w:r>
      <w:r w:rsidRPr="006C4CF5">
        <w:rPr>
          <w:i/>
          <w:iCs/>
          <w:sz w:val="20"/>
        </w:rPr>
        <w:t>Glencore Canada Corporation, division CCR</w:t>
      </w:r>
      <w:r w:rsidRPr="006C4CF5">
        <w:rPr>
          <w:sz w:val="20"/>
        </w:rPr>
        <w:t xml:space="preserve"> et </w:t>
      </w:r>
      <w:r w:rsidRPr="006C4CF5">
        <w:rPr>
          <w:i/>
          <w:iCs/>
          <w:sz w:val="20"/>
        </w:rPr>
        <w:t>Drouin</w:t>
      </w:r>
      <w:r>
        <w:rPr>
          <w:sz w:val="20"/>
        </w:rPr>
        <w:t xml:space="preserve">, </w:t>
      </w:r>
      <w:r w:rsidR="007F014F" w:rsidRPr="006C4CF5">
        <w:rPr>
          <w:sz w:val="20"/>
        </w:rPr>
        <w:t>2017</w:t>
      </w:r>
      <w:r w:rsidR="007F014F">
        <w:rPr>
          <w:sz w:val="20"/>
        </w:rPr>
        <w:t> </w:t>
      </w:r>
      <w:r w:rsidRPr="006C4CF5">
        <w:rPr>
          <w:sz w:val="20"/>
        </w:rPr>
        <w:t>QCTAT 5016</w:t>
      </w:r>
      <w:r>
        <w:rPr>
          <w:sz w:val="20"/>
        </w:rPr>
        <w:t>.</w:t>
      </w:r>
    </w:p>
  </w:footnote>
  <w:footnote w:id="19">
    <w:p w14:paraId="361D9B35" w14:textId="6487ADD0" w:rsidR="0047058A" w:rsidRPr="0047058A" w:rsidRDefault="0047058A" w:rsidP="0047058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w:t>
      </w:r>
      <w:r>
        <w:rPr>
          <w:sz w:val="20"/>
        </w:rPr>
        <w:t xml:space="preserve">récitée, note </w:t>
      </w:r>
      <w:r w:rsidR="007F014F">
        <w:rPr>
          <w:sz w:val="20"/>
        </w:rPr>
        <w:t>17</w:t>
      </w:r>
      <w:r>
        <w:rPr>
          <w:sz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0D34A825" w14:textId="77777777" w:rsidTr="00E60E8D">
      <w:tc>
        <w:tcPr>
          <w:tcW w:w="8730" w:type="dxa"/>
        </w:tcPr>
        <w:p w14:paraId="4F13A5DF" w14:textId="77777777" w:rsidR="00D330B6" w:rsidRDefault="00D330B6">
          <w:pPr>
            <w:pStyle w:val="En-tte"/>
            <w:ind w:left="-90"/>
          </w:pPr>
        </w:p>
      </w:tc>
      <w:tc>
        <w:tcPr>
          <w:tcW w:w="860" w:type="dxa"/>
        </w:tcPr>
        <w:p w14:paraId="3FCF4270" w14:textId="77777777" w:rsidR="00D330B6" w:rsidRDefault="00D330B6">
          <w:pPr>
            <w:pStyle w:val="En-tte"/>
            <w:ind w:left="-90"/>
          </w:pPr>
        </w:p>
      </w:tc>
    </w:tr>
    <w:tr w:rsidR="00E60E8D" w14:paraId="08F751AB" w14:textId="77777777" w:rsidTr="00E60E8D">
      <w:tc>
        <w:tcPr>
          <w:tcW w:w="8730" w:type="dxa"/>
        </w:tcPr>
        <w:p w14:paraId="382344AC" w14:textId="75413194" w:rsidR="00E60E8D" w:rsidRDefault="00E60E8D" w:rsidP="00E60E8D">
          <w:r>
            <w:t>1333336-62A-2308   1342262-62A-2310</w:t>
          </w:r>
        </w:p>
      </w:tc>
      <w:tc>
        <w:tcPr>
          <w:tcW w:w="860" w:type="dxa"/>
        </w:tcPr>
        <w:p w14:paraId="3C0E3AEC" w14:textId="77777777" w:rsidR="00E60E8D" w:rsidRDefault="00E60E8D" w:rsidP="00E60E8D">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60129D">
            <w:rPr>
              <w:rStyle w:val="Numrodepage"/>
              <w:noProof/>
            </w:rPr>
            <w:t>2</w:t>
          </w:r>
          <w:r>
            <w:rPr>
              <w:rStyle w:val="Numrodepage"/>
            </w:rPr>
            <w:fldChar w:fldCharType="end"/>
          </w:r>
        </w:p>
      </w:tc>
    </w:tr>
    <w:tr w:rsidR="00E60E8D" w14:paraId="20D7595F" w14:textId="77777777" w:rsidTr="00E60E8D">
      <w:tc>
        <w:tcPr>
          <w:tcW w:w="8730" w:type="dxa"/>
        </w:tcPr>
        <w:p w14:paraId="1304D01C" w14:textId="77777777" w:rsidR="00E60E8D" w:rsidRDefault="00E60E8D" w:rsidP="00E60E8D"/>
      </w:tc>
      <w:tc>
        <w:tcPr>
          <w:tcW w:w="860" w:type="dxa"/>
        </w:tcPr>
        <w:p w14:paraId="3AB0847C" w14:textId="77777777" w:rsidR="00E60E8D" w:rsidRDefault="00E60E8D" w:rsidP="00E60E8D">
          <w:pPr>
            <w:pStyle w:val="En-tte"/>
            <w:ind w:left="-90"/>
            <w:jc w:val="right"/>
          </w:pPr>
        </w:p>
      </w:tc>
    </w:tr>
    <w:tr w:rsidR="003A45BE" w14:paraId="7635013B" w14:textId="77777777" w:rsidTr="00E60E8D">
      <w:tc>
        <w:tcPr>
          <w:tcW w:w="8730" w:type="dxa"/>
        </w:tcPr>
        <w:p w14:paraId="0396C666" w14:textId="77777777" w:rsidR="003A45BE" w:rsidRDefault="003A45BE" w:rsidP="00E60E8D"/>
      </w:tc>
      <w:tc>
        <w:tcPr>
          <w:tcW w:w="860" w:type="dxa"/>
        </w:tcPr>
        <w:p w14:paraId="4A45E37D" w14:textId="77777777" w:rsidR="003A45BE" w:rsidRDefault="003A45BE" w:rsidP="00E60E8D">
          <w:pPr>
            <w:pStyle w:val="En-tte"/>
            <w:ind w:left="-90"/>
            <w:jc w:val="right"/>
          </w:pPr>
        </w:p>
      </w:tc>
    </w:tr>
  </w:tbl>
  <w:p w14:paraId="008C6091"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33C36C89"/>
    <w:multiLevelType w:val="hybridMultilevel"/>
    <w:tmpl w:val="048E0A5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609C0DCC"/>
    <w:multiLevelType w:val="multilevel"/>
    <w:tmpl w:val="923A22E8"/>
    <w:lvl w:ilvl="0">
      <w:start w:val="1"/>
      <w:numFmt w:val="decimal"/>
      <w:pStyle w:val="Paragrdouble"/>
      <w:lvlText w:val="[%1]"/>
      <w:lvlJc w:val="left"/>
      <w:pPr>
        <w:tabs>
          <w:tab w:val="num" w:pos="2204"/>
        </w:tabs>
        <w:ind w:left="1844" w:firstLine="0"/>
      </w:pPr>
      <w:rPr>
        <w:rFonts w:ascii="Arial" w:hAnsi="Arial" w:hint="default"/>
        <w:b w:val="0"/>
        <w:i w:val="0"/>
        <w:sz w:val="24"/>
      </w:rPr>
    </w:lvl>
    <w:lvl w:ilvl="1">
      <w:start w:val="1"/>
      <w:numFmt w:val="decimal"/>
      <w:lvlText w:val="%1.%2."/>
      <w:lvlJc w:val="left"/>
      <w:pPr>
        <w:tabs>
          <w:tab w:val="num" w:pos="1000"/>
        </w:tabs>
        <w:ind w:left="1000"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5"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7"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9"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0"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1"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9"/>
  </w:num>
  <w:num w:numId="2">
    <w:abstractNumId w:val="8"/>
  </w:num>
  <w:num w:numId="3">
    <w:abstractNumId w:val="7"/>
  </w:num>
  <w:num w:numId="4">
    <w:abstractNumId w:val="5"/>
  </w:num>
  <w:num w:numId="5">
    <w:abstractNumId w:val="11"/>
  </w:num>
  <w:num w:numId="6">
    <w:abstractNumId w:val="11"/>
  </w:num>
  <w:num w:numId="7">
    <w:abstractNumId w:val="0"/>
  </w:num>
  <w:num w:numId="8">
    <w:abstractNumId w:val="4"/>
  </w:num>
  <w:num w:numId="9">
    <w:abstractNumId w:val="1"/>
  </w:num>
  <w:num w:numId="10">
    <w:abstractNumId w:val="10"/>
  </w:num>
  <w:num w:numId="11">
    <w:abstractNumId w:val="6"/>
  </w:num>
  <w:num w:numId="12">
    <w:abstractNumId w:val="2"/>
  </w:num>
  <w:num w:numId="13">
    <w:abstractNumId w:val="9"/>
  </w:num>
  <w:num w:numId="14">
    <w:abstractNumId w:val="9"/>
  </w:num>
  <w:num w:numId="15">
    <w:abstractNumId w:val="9"/>
  </w:num>
  <w:num w:numId="16">
    <w:abstractNumId w:val="9"/>
  </w:num>
  <w:num w:numId="17">
    <w:abstractNumId w:val="9"/>
  </w:num>
  <w:num w:numId="18">
    <w:abstractNumId w:val="9"/>
  </w:num>
  <w:num w:numId="19">
    <w:abstractNumId w:val="9"/>
  </w:num>
  <w:num w:numId="20">
    <w:abstractNumId w:val="9"/>
  </w:num>
  <w:num w:numId="21">
    <w:abstractNumId w:val="9"/>
  </w:num>
  <w:num w:numId="22">
    <w:abstractNumId w:val="9"/>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9"/>
  </w:num>
  <w:num w:numId="31">
    <w:abstractNumId w:val="9"/>
  </w:num>
  <w:num w:numId="32">
    <w:abstractNumId w:val="9"/>
  </w:num>
  <w:num w:numId="33">
    <w:abstractNumId w:val="9"/>
  </w:num>
  <w:num w:numId="34">
    <w:abstractNumId w:val="9"/>
  </w:num>
  <w:num w:numId="35">
    <w:abstractNumId w:val="9"/>
  </w:num>
  <w:num w:numId="36">
    <w:abstractNumId w:val="9"/>
  </w:num>
  <w:num w:numId="37">
    <w:abstractNumId w:val="9"/>
  </w:num>
  <w:num w:numId="38">
    <w:abstractNumId w:val="9"/>
  </w:num>
  <w:num w:numId="39">
    <w:abstractNumId w:val="9"/>
  </w:num>
  <w:num w:numId="40">
    <w:abstractNumId w:val="9"/>
  </w:num>
  <w:num w:numId="41">
    <w:abstractNumId w:val="3"/>
  </w:num>
  <w:num w:numId="42">
    <w:abstractNumId w:val="9"/>
  </w:num>
  <w:num w:numId="43">
    <w:abstractNumId w:val="9"/>
  </w:num>
  <w:num w:numId="44">
    <w:abstractNumId w:val="9"/>
  </w:num>
  <w:num w:numId="4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45A"/>
    <w:rsid w:val="000034B0"/>
    <w:rsid w:val="000041A1"/>
    <w:rsid w:val="00006DD2"/>
    <w:rsid w:val="00012230"/>
    <w:rsid w:val="0001305E"/>
    <w:rsid w:val="00016D99"/>
    <w:rsid w:val="00021B30"/>
    <w:rsid w:val="00021E4C"/>
    <w:rsid w:val="00022556"/>
    <w:rsid w:val="000232E2"/>
    <w:rsid w:val="00023794"/>
    <w:rsid w:val="00023858"/>
    <w:rsid w:val="0003179B"/>
    <w:rsid w:val="000352CA"/>
    <w:rsid w:val="000366EC"/>
    <w:rsid w:val="00036794"/>
    <w:rsid w:val="00043E4D"/>
    <w:rsid w:val="000461E8"/>
    <w:rsid w:val="00047988"/>
    <w:rsid w:val="000536CC"/>
    <w:rsid w:val="000559A8"/>
    <w:rsid w:val="00055A3E"/>
    <w:rsid w:val="00056393"/>
    <w:rsid w:val="00057739"/>
    <w:rsid w:val="00067990"/>
    <w:rsid w:val="0007225E"/>
    <w:rsid w:val="00074ABE"/>
    <w:rsid w:val="00074EAE"/>
    <w:rsid w:val="00076D81"/>
    <w:rsid w:val="00080885"/>
    <w:rsid w:val="00082A97"/>
    <w:rsid w:val="00082D8A"/>
    <w:rsid w:val="0008378A"/>
    <w:rsid w:val="0008784D"/>
    <w:rsid w:val="00090018"/>
    <w:rsid w:val="00090306"/>
    <w:rsid w:val="00090F69"/>
    <w:rsid w:val="00093ACD"/>
    <w:rsid w:val="00095814"/>
    <w:rsid w:val="000959D3"/>
    <w:rsid w:val="00096763"/>
    <w:rsid w:val="00097D81"/>
    <w:rsid w:val="00097FCE"/>
    <w:rsid w:val="000A1DAC"/>
    <w:rsid w:val="000A432F"/>
    <w:rsid w:val="000A4AD0"/>
    <w:rsid w:val="000A5AD1"/>
    <w:rsid w:val="000A63C9"/>
    <w:rsid w:val="000A63DF"/>
    <w:rsid w:val="000A77C5"/>
    <w:rsid w:val="000B6091"/>
    <w:rsid w:val="000B6275"/>
    <w:rsid w:val="000B7F1B"/>
    <w:rsid w:val="000C6AA9"/>
    <w:rsid w:val="000C710F"/>
    <w:rsid w:val="000D3948"/>
    <w:rsid w:val="000D63B8"/>
    <w:rsid w:val="000E0C28"/>
    <w:rsid w:val="000E0C3A"/>
    <w:rsid w:val="000E1320"/>
    <w:rsid w:val="000E16FA"/>
    <w:rsid w:val="000E3FF6"/>
    <w:rsid w:val="000E56A6"/>
    <w:rsid w:val="000F20A5"/>
    <w:rsid w:val="000F3423"/>
    <w:rsid w:val="000F3A86"/>
    <w:rsid w:val="000F5651"/>
    <w:rsid w:val="000F5F81"/>
    <w:rsid w:val="00100AB8"/>
    <w:rsid w:val="00104550"/>
    <w:rsid w:val="00104C3D"/>
    <w:rsid w:val="001050B4"/>
    <w:rsid w:val="001144AB"/>
    <w:rsid w:val="0012224D"/>
    <w:rsid w:val="001225BC"/>
    <w:rsid w:val="00122A9E"/>
    <w:rsid w:val="00122F94"/>
    <w:rsid w:val="0012326A"/>
    <w:rsid w:val="00126783"/>
    <w:rsid w:val="001268DD"/>
    <w:rsid w:val="00131FBF"/>
    <w:rsid w:val="00132622"/>
    <w:rsid w:val="00137E7E"/>
    <w:rsid w:val="001407FC"/>
    <w:rsid w:val="00144572"/>
    <w:rsid w:val="00146116"/>
    <w:rsid w:val="00147A49"/>
    <w:rsid w:val="00147B8B"/>
    <w:rsid w:val="0015125A"/>
    <w:rsid w:val="00152464"/>
    <w:rsid w:val="0015539F"/>
    <w:rsid w:val="00160597"/>
    <w:rsid w:val="001617B7"/>
    <w:rsid w:val="00162417"/>
    <w:rsid w:val="00162ECC"/>
    <w:rsid w:val="001664C8"/>
    <w:rsid w:val="00166A3B"/>
    <w:rsid w:val="00167AD0"/>
    <w:rsid w:val="00167DEF"/>
    <w:rsid w:val="00167E9D"/>
    <w:rsid w:val="00173184"/>
    <w:rsid w:val="00173BAC"/>
    <w:rsid w:val="001742A5"/>
    <w:rsid w:val="00175079"/>
    <w:rsid w:val="001761B9"/>
    <w:rsid w:val="00183515"/>
    <w:rsid w:val="00183E6D"/>
    <w:rsid w:val="001846FC"/>
    <w:rsid w:val="00185C47"/>
    <w:rsid w:val="001924FE"/>
    <w:rsid w:val="001965E1"/>
    <w:rsid w:val="001A03BE"/>
    <w:rsid w:val="001A067E"/>
    <w:rsid w:val="001A1391"/>
    <w:rsid w:val="001A2900"/>
    <w:rsid w:val="001A4081"/>
    <w:rsid w:val="001A65F1"/>
    <w:rsid w:val="001B2B40"/>
    <w:rsid w:val="001B3E9D"/>
    <w:rsid w:val="001B4A40"/>
    <w:rsid w:val="001B5524"/>
    <w:rsid w:val="001B6D8A"/>
    <w:rsid w:val="001B6E00"/>
    <w:rsid w:val="001C19D4"/>
    <w:rsid w:val="001C2B0B"/>
    <w:rsid w:val="001C436D"/>
    <w:rsid w:val="001C57AB"/>
    <w:rsid w:val="001C69F3"/>
    <w:rsid w:val="001D63C8"/>
    <w:rsid w:val="001D65D8"/>
    <w:rsid w:val="001E339B"/>
    <w:rsid w:val="001E3DFD"/>
    <w:rsid w:val="001E42F0"/>
    <w:rsid w:val="001E497A"/>
    <w:rsid w:val="001E5E3B"/>
    <w:rsid w:val="001F3EC5"/>
    <w:rsid w:val="001F663F"/>
    <w:rsid w:val="00221220"/>
    <w:rsid w:val="00221C41"/>
    <w:rsid w:val="00225C46"/>
    <w:rsid w:val="00226493"/>
    <w:rsid w:val="00227040"/>
    <w:rsid w:val="00230CFC"/>
    <w:rsid w:val="0023162A"/>
    <w:rsid w:val="00231C1D"/>
    <w:rsid w:val="00233532"/>
    <w:rsid w:val="00234BC8"/>
    <w:rsid w:val="00241CED"/>
    <w:rsid w:val="00242FB4"/>
    <w:rsid w:val="0024445A"/>
    <w:rsid w:val="00245605"/>
    <w:rsid w:val="0025143E"/>
    <w:rsid w:val="002519D6"/>
    <w:rsid w:val="002542E0"/>
    <w:rsid w:val="00255E0C"/>
    <w:rsid w:val="002563F0"/>
    <w:rsid w:val="00256DBB"/>
    <w:rsid w:val="00260119"/>
    <w:rsid w:val="00266064"/>
    <w:rsid w:val="00266834"/>
    <w:rsid w:val="00267C8D"/>
    <w:rsid w:val="002701DD"/>
    <w:rsid w:val="002710FD"/>
    <w:rsid w:val="00273F49"/>
    <w:rsid w:val="002769B5"/>
    <w:rsid w:val="00276B59"/>
    <w:rsid w:val="00281319"/>
    <w:rsid w:val="002833B1"/>
    <w:rsid w:val="00286149"/>
    <w:rsid w:val="0028668D"/>
    <w:rsid w:val="00290289"/>
    <w:rsid w:val="00292188"/>
    <w:rsid w:val="002923D9"/>
    <w:rsid w:val="00296645"/>
    <w:rsid w:val="00296A4B"/>
    <w:rsid w:val="00297284"/>
    <w:rsid w:val="002A0077"/>
    <w:rsid w:val="002A07DC"/>
    <w:rsid w:val="002A3573"/>
    <w:rsid w:val="002A374B"/>
    <w:rsid w:val="002A3E05"/>
    <w:rsid w:val="002A73E9"/>
    <w:rsid w:val="002B132B"/>
    <w:rsid w:val="002B2FC3"/>
    <w:rsid w:val="002B35F0"/>
    <w:rsid w:val="002B58AF"/>
    <w:rsid w:val="002C3748"/>
    <w:rsid w:val="002C5E89"/>
    <w:rsid w:val="002D42BC"/>
    <w:rsid w:val="002D71A9"/>
    <w:rsid w:val="002D7846"/>
    <w:rsid w:val="002D7FCB"/>
    <w:rsid w:val="002E05AE"/>
    <w:rsid w:val="002F2898"/>
    <w:rsid w:val="002F7163"/>
    <w:rsid w:val="002F7507"/>
    <w:rsid w:val="0030059B"/>
    <w:rsid w:val="00302026"/>
    <w:rsid w:val="00302FB4"/>
    <w:rsid w:val="00305273"/>
    <w:rsid w:val="003057FC"/>
    <w:rsid w:val="00305AFB"/>
    <w:rsid w:val="00307C85"/>
    <w:rsid w:val="00312983"/>
    <w:rsid w:val="00320805"/>
    <w:rsid w:val="00323DC5"/>
    <w:rsid w:val="003248CB"/>
    <w:rsid w:val="00331EA7"/>
    <w:rsid w:val="003332B8"/>
    <w:rsid w:val="00337555"/>
    <w:rsid w:val="003406EE"/>
    <w:rsid w:val="003407C0"/>
    <w:rsid w:val="00343B46"/>
    <w:rsid w:val="00344465"/>
    <w:rsid w:val="0034740A"/>
    <w:rsid w:val="0035207D"/>
    <w:rsid w:val="0035375B"/>
    <w:rsid w:val="00362D74"/>
    <w:rsid w:val="003664E9"/>
    <w:rsid w:val="00366D1E"/>
    <w:rsid w:val="003703A5"/>
    <w:rsid w:val="0037112C"/>
    <w:rsid w:val="00373EE5"/>
    <w:rsid w:val="003746CA"/>
    <w:rsid w:val="00374B9B"/>
    <w:rsid w:val="003817E7"/>
    <w:rsid w:val="00382E55"/>
    <w:rsid w:val="00383DDB"/>
    <w:rsid w:val="00383F4D"/>
    <w:rsid w:val="00390B55"/>
    <w:rsid w:val="003961B2"/>
    <w:rsid w:val="003A0051"/>
    <w:rsid w:val="003A41AD"/>
    <w:rsid w:val="003A45BE"/>
    <w:rsid w:val="003B05EF"/>
    <w:rsid w:val="003B0C41"/>
    <w:rsid w:val="003B152B"/>
    <w:rsid w:val="003B1734"/>
    <w:rsid w:val="003B1735"/>
    <w:rsid w:val="003B2D2E"/>
    <w:rsid w:val="003B6CBF"/>
    <w:rsid w:val="003C47A7"/>
    <w:rsid w:val="003D0826"/>
    <w:rsid w:val="003D18FC"/>
    <w:rsid w:val="003D3C93"/>
    <w:rsid w:val="003D4740"/>
    <w:rsid w:val="003D71BB"/>
    <w:rsid w:val="003E00D5"/>
    <w:rsid w:val="003E02BA"/>
    <w:rsid w:val="003E08BB"/>
    <w:rsid w:val="003F0578"/>
    <w:rsid w:val="003F45AD"/>
    <w:rsid w:val="003F7F38"/>
    <w:rsid w:val="00401325"/>
    <w:rsid w:val="004019AA"/>
    <w:rsid w:val="0040399B"/>
    <w:rsid w:val="00406F0C"/>
    <w:rsid w:val="004106DB"/>
    <w:rsid w:val="00410A9A"/>
    <w:rsid w:val="00411251"/>
    <w:rsid w:val="00412585"/>
    <w:rsid w:val="0041363B"/>
    <w:rsid w:val="00414FA8"/>
    <w:rsid w:val="00415D5D"/>
    <w:rsid w:val="0041643A"/>
    <w:rsid w:val="004228A0"/>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5E7C"/>
    <w:rsid w:val="0044627E"/>
    <w:rsid w:val="0045114F"/>
    <w:rsid w:val="004529D3"/>
    <w:rsid w:val="00453F31"/>
    <w:rsid w:val="00454A8D"/>
    <w:rsid w:val="00456B0C"/>
    <w:rsid w:val="00460101"/>
    <w:rsid w:val="0046538B"/>
    <w:rsid w:val="004657F6"/>
    <w:rsid w:val="0047058A"/>
    <w:rsid w:val="00471C92"/>
    <w:rsid w:val="004739AC"/>
    <w:rsid w:val="00474489"/>
    <w:rsid w:val="00475FEF"/>
    <w:rsid w:val="0047680F"/>
    <w:rsid w:val="00477536"/>
    <w:rsid w:val="0047776F"/>
    <w:rsid w:val="00480B8C"/>
    <w:rsid w:val="00482D5B"/>
    <w:rsid w:val="004832E2"/>
    <w:rsid w:val="004870EA"/>
    <w:rsid w:val="004873EC"/>
    <w:rsid w:val="00487F13"/>
    <w:rsid w:val="0049013C"/>
    <w:rsid w:val="0049595F"/>
    <w:rsid w:val="00496193"/>
    <w:rsid w:val="004A02AF"/>
    <w:rsid w:val="004A2D66"/>
    <w:rsid w:val="004A4449"/>
    <w:rsid w:val="004A679B"/>
    <w:rsid w:val="004A78B3"/>
    <w:rsid w:val="004C0FB4"/>
    <w:rsid w:val="004C1811"/>
    <w:rsid w:val="004C2944"/>
    <w:rsid w:val="004C4555"/>
    <w:rsid w:val="004C5393"/>
    <w:rsid w:val="004D16D6"/>
    <w:rsid w:val="004D6CEA"/>
    <w:rsid w:val="004E0E02"/>
    <w:rsid w:val="004E3564"/>
    <w:rsid w:val="004E3D9F"/>
    <w:rsid w:val="004E51C0"/>
    <w:rsid w:val="004E64BE"/>
    <w:rsid w:val="004F342B"/>
    <w:rsid w:val="004F6293"/>
    <w:rsid w:val="00503B8D"/>
    <w:rsid w:val="00503EE3"/>
    <w:rsid w:val="00505811"/>
    <w:rsid w:val="00507029"/>
    <w:rsid w:val="0051261C"/>
    <w:rsid w:val="00515DE7"/>
    <w:rsid w:val="00517E26"/>
    <w:rsid w:val="00517EB0"/>
    <w:rsid w:val="005205CB"/>
    <w:rsid w:val="0052430C"/>
    <w:rsid w:val="005348E4"/>
    <w:rsid w:val="00534D8F"/>
    <w:rsid w:val="005352F1"/>
    <w:rsid w:val="00540094"/>
    <w:rsid w:val="00545CFF"/>
    <w:rsid w:val="00547A9C"/>
    <w:rsid w:val="0055294A"/>
    <w:rsid w:val="00555800"/>
    <w:rsid w:val="00556DBB"/>
    <w:rsid w:val="00560781"/>
    <w:rsid w:val="0056268F"/>
    <w:rsid w:val="00564944"/>
    <w:rsid w:val="005662E9"/>
    <w:rsid w:val="005700F8"/>
    <w:rsid w:val="00572AAF"/>
    <w:rsid w:val="005801AE"/>
    <w:rsid w:val="00580248"/>
    <w:rsid w:val="00582868"/>
    <w:rsid w:val="00582ECC"/>
    <w:rsid w:val="0058399B"/>
    <w:rsid w:val="0058692F"/>
    <w:rsid w:val="00587045"/>
    <w:rsid w:val="00587C22"/>
    <w:rsid w:val="005907BE"/>
    <w:rsid w:val="0059436D"/>
    <w:rsid w:val="005945C0"/>
    <w:rsid w:val="00596AB2"/>
    <w:rsid w:val="00597016"/>
    <w:rsid w:val="005974B7"/>
    <w:rsid w:val="005A06C8"/>
    <w:rsid w:val="005A0D51"/>
    <w:rsid w:val="005A181B"/>
    <w:rsid w:val="005A1CB3"/>
    <w:rsid w:val="005A3073"/>
    <w:rsid w:val="005A33A5"/>
    <w:rsid w:val="005A37D7"/>
    <w:rsid w:val="005A5437"/>
    <w:rsid w:val="005A6969"/>
    <w:rsid w:val="005A70A0"/>
    <w:rsid w:val="005B0612"/>
    <w:rsid w:val="005B13F0"/>
    <w:rsid w:val="005B1C9F"/>
    <w:rsid w:val="005B2E0C"/>
    <w:rsid w:val="005B30F6"/>
    <w:rsid w:val="005B45BA"/>
    <w:rsid w:val="005B488D"/>
    <w:rsid w:val="005B4F18"/>
    <w:rsid w:val="005B5689"/>
    <w:rsid w:val="005B6680"/>
    <w:rsid w:val="005B6774"/>
    <w:rsid w:val="005C0A89"/>
    <w:rsid w:val="005C3BC4"/>
    <w:rsid w:val="005D0400"/>
    <w:rsid w:val="005D26CC"/>
    <w:rsid w:val="005D4711"/>
    <w:rsid w:val="005D59B1"/>
    <w:rsid w:val="005D764B"/>
    <w:rsid w:val="005E2367"/>
    <w:rsid w:val="005E34D2"/>
    <w:rsid w:val="005E5E90"/>
    <w:rsid w:val="005E654C"/>
    <w:rsid w:val="005F0451"/>
    <w:rsid w:val="005F05F6"/>
    <w:rsid w:val="005F0D07"/>
    <w:rsid w:val="005F2480"/>
    <w:rsid w:val="00600C83"/>
    <w:rsid w:val="0060129D"/>
    <w:rsid w:val="00605734"/>
    <w:rsid w:val="00611942"/>
    <w:rsid w:val="0061228D"/>
    <w:rsid w:val="00612369"/>
    <w:rsid w:val="0061488E"/>
    <w:rsid w:val="0061574B"/>
    <w:rsid w:val="00616406"/>
    <w:rsid w:val="00622670"/>
    <w:rsid w:val="00623328"/>
    <w:rsid w:val="00623A1A"/>
    <w:rsid w:val="00626E8D"/>
    <w:rsid w:val="0063156B"/>
    <w:rsid w:val="006326A9"/>
    <w:rsid w:val="00632DA8"/>
    <w:rsid w:val="00634C4B"/>
    <w:rsid w:val="00634E6E"/>
    <w:rsid w:val="0063651F"/>
    <w:rsid w:val="0064342A"/>
    <w:rsid w:val="00643A28"/>
    <w:rsid w:val="006452FA"/>
    <w:rsid w:val="0065093D"/>
    <w:rsid w:val="00652A16"/>
    <w:rsid w:val="00655193"/>
    <w:rsid w:val="00655459"/>
    <w:rsid w:val="00656FB2"/>
    <w:rsid w:val="00657A70"/>
    <w:rsid w:val="00660160"/>
    <w:rsid w:val="00661454"/>
    <w:rsid w:val="006620AA"/>
    <w:rsid w:val="006626AF"/>
    <w:rsid w:val="0066642D"/>
    <w:rsid w:val="006722E2"/>
    <w:rsid w:val="00675E85"/>
    <w:rsid w:val="00676D95"/>
    <w:rsid w:val="0067750F"/>
    <w:rsid w:val="00681251"/>
    <w:rsid w:val="00681396"/>
    <w:rsid w:val="0068171F"/>
    <w:rsid w:val="0068401E"/>
    <w:rsid w:val="006841A4"/>
    <w:rsid w:val="0068643F"/>
    <w:rsid w:val="006877A1"/>
    <w:rsid w:val="00692150"/>
    <w:rsid w:val="00692C16"/>
    <w:rsid w:val="00692F0C"/>
    <w:rsid w:val="006944B0"/>
    <w:rsid w:val="00695977"/>
    <w:rsid w:val="00696766"/>
    <w:rsid w:val="00696E7C"/>
    <w:rsid w:val="00696EF2"/>
    <w:rsid w:val="006A0C54"/>
    <w:rsid w:val="006A3E54"/>
    <w:rsid w:val="006A7C53"/>
    <w:rsid w:val="006A7E30"/>
    <w:rsid w:val="006B140A"/>
    <w:rsid w:val="006B309C"/>
    <w:rsid w:val="006B4316"/>
    <w:rsid w:val="006B727F"/>
    <w:rsid w:val="006C1B57"/>
    <w:rsid w:val="006C4CF5"/>
    <w:rsid w:val="006C6D3A"/>
    <w:rsid w:val="006C7B36"/>
    <w:rsid w:val="006C7B7F"/>
    <w:rsid w:val="006D0715"/>
    <w:rsid w:val="006D19E8"/>
    <w:rsid w:val="006D7768"/>
    <w:rsid w:val="006E04B5"/>
    <w:rsid w:val="006E330C"/>
    <w:rsid w:val="006E3DD8"/>
    <w:rsid w:val="006E793F"/>
    <w:rsid w:val="006F0154"/>
    <w:rsid w:val="006F608D"/>
    <w:rsid w:val="006F7944"/>
    <w:rsid w:val="00704121"/>
    <w:rsid w:val="00705BB5"/>
    <w:rsid w:val="00712478"/>
    <w:rsid w:val="00712C9F"/>
    <w:rsid w:val="0071326F"/>
    <w:rsid w:val="007153D7"/>
    <w:rsid w:val="00715789"/>
    <w:rsid w:val="00720ED4"/>
    <w:rsid w:val="00722736"/>
    <w:rsid w:val="007228F3"/>
    <w:rsid w:val="007235E8"/>
    <w:rsid w:val="007305BA"/>
    <w:rsid w:val="0074488F"/>
    <w:rsid w:val="00745AA8"/>
    <w:rsid w:val="0074779A"/>
    <w:rsid w:val="007503E0"/>
    <w:rsid w:val="0075058C"/>
    <w:rsid w:val="007510EC"/>
    <w:rsid w:val="0075233C"/>
    <w:rsid w:val="0075256A"/>
    <w:rsid w:val="00752DCD"/>
    <w:rsid w:val="007548D3"/>
    <w:rsid w:val="007569DE"/>
    <w:rsid w:val="0075723C"/>
    <w:rsid w:val="0076146A"/>
    <w:rsid w:val="00761ADF"/>
    <w:rsid w:val="0076350E"/>
    <w:rsid w:val="00763F36"/>
    <w:rsid w:val="00766C2C"/>
    <w:rsid w:val="00775BDF"/>
    <w:rsid w:val="0077614D"/>
    <w:rsid w:val="00782C8F"/>
    <w:rsid w:val="00782D19"/>
    <w:rsid w:val="00784C38"/>
    <w:rsid w:val="00785F78"/>
    <w:rsid w:val="0078659D"/>
    <w:rsid w:val="007869EC"/>
    <w:rsid w:val="00790F19"/>
    <w:rsid w:val="00791ED8"/>
    <w:rsid w:val="007A1E58"/>
    <w:rsid w:val="007A5C7E"/>
    <w:rsid w:val="007A63F9"/>
    <w:rsid w:val="007A69A9"/>
    <w:rsid w:val="007A6E2F"/>
    <w:rsid w:val="007B0DF2"/>
    <w:rsid w:val="007B3BC5"/>
    <w:rsid w:val="007B6F8D"/>
    <w:rsid w:val="007C1832"/>
    <w:rsid w:val="007D03DF"/>
    <w:rsid w:val="007D4953"/>
    <w:rsid w:val="007D50F4"/>
    <w:rsid w:val="007D7173"/>
    <w:rsid w:val="007D731F"/>
    <w:rsid w:val="007E0AD0"/>
    <w:rsid w:val="007E1216"/>
    <w:rsid w:val="007E4CD4"/>
    <w:rsid w:val="007E530C"/>
    <w:rsid w:val="007F014F"/>
    <w:rsid w:val="007F0E8E"/>
    <w:rsid w:val="007F2149"/>
    <w:rsid w:val="007F4E00"/>
    <w:rsid w:val="008048CF"/>
    <w:rsid w:val="008079DD"/>
    <w:rsid w:val="0081130F"/>
    <w:rsid w:val="00813095"/>
    <w:rsid w:val="008145AD"/>
    <w:rsid w:val="008146B2"/>
    <w:rsid w:val="00824430"/>
    <w:rsid w:val="00825B1F"/>
    <w:rsid w:val="00827D55"/>
    <w:rsid w:val="00827FFB"/>
    <w:rsid w:val="00831A07"/>
    <w:rsid w:val="00832C84"/>
    <w:rsid w:val="00832CC7"/>
    <w:rsid w:val="00832D6E"/>
    <w:rsid w:val="00840EDD"/>
    <w:rsid w:val="0084255F"/>
    <w:rsid w:val="00846FB1"/>
    <w:rsid w:val="00854FB3"/>
    <w:rsid w:val="00857FCA"/>
    <w:rsid w:val="00860F13"/>
    <w:rsid w:val="0086199C"/>
    <w:rsid w:val="00861F8B"/>
    <w:rsid w:val="00862642"/>
    <w:rsid w:val="0086561F"/>
    <w:rsid w:val="00865A7A"/>
    <w:rsid w:val="00865FE1"/>
    <w:rsid w:val="0087069B"/>
    <w:rsid w:val="00874542"/>
    <w:rsid w:val="008748C7"/>
    <w:rsid w:val="0087521A"/>
    <w:rsid w:val="008808C0"/>
    <w:rsid w:val="00882255"/>
    <w:rsid w:val="00884746"/>
    <w:rsid w:val="00890BDE"/>
    <w:rsid w:val="00892AD3"/>
    <w:rsid w:val="00894155"/>
    <w:rsid w:val="008962E7"/>
    <w:rsid w:val="008A1118"/>
    <w:rsid w:val="008A281F"/>
    <w:rsid w:val="008A48D2"/>
    <w:rsid w:val="008A4AF6"/>
    <w:rsid w:val="008A4FF8"/>
    <w:rsid w:val="008A5ED1"/>
    <w:rsid w:val="008A73CE"/>
    <w:rsid w:val="008A7FD1"/>
    <w:rsid w:val="008B042E"/>
    <w:rsid w:val="008B211E"/>
    <w:rsid w:val="008B6D48"/>
    <w:rsid w:val="008C7660"/>
    <w:rsid w:val="008C79A7"/>
    <w:rsid w:val="008D5521"/>
    <w:rsid w:val="008D555F"/>
    <w:rsid w:val="008D625D"/>
    <w:rsid w:val="008D650E"/>
    <w:rsid w:val="008D66B8"/>
    <w:rsid w:val="008D6F9F"/>
    <w:rsid w:val="008E095E"/>
    <w:rsid w:val="008E673E"/>
    <w:rsid w:val="008E67D1"/>
    <w:rsid w:val="008E6A41"/>
    <w:rsid w:val="008E6FC1"/>
    <w:rsid w:val="008F15D5"/>
    <w:rsid w:val="008F20EA"/>
    <w:rsid w:val="008F79C4"/>
    <w:rsid w:val="00903990"/>
    <w:rsid w:val="009042A8"/>
    <w:rsid w:val="00904950"/>
    <w:rsid w:val="0091442E"/>
    <w:rsid w:val="00915E5E"/>
    <w:rsid w:val="009166B8"/>
    <w:rsid w:val="00916FA5"/>
    <w:rsid w:val="00917915"/>
    <w:rsid w:val="00920684"/>
    <w:rsid w:val="00921457"/>
    <w:rsid w:val="009216E6"/>
    <w:rsid w:val="009224EC"/>
    <w:rsid w:val="00922DB7"/>
    <w:rsid w:val="0092684A"/>
    <w:rsid w:val="00927654"/>
    <w:rsid w:val="00933B1D"/>
    <w:rsid w:val="00937FAB"/>
    <w:rsid w:val="0094094D"/>
    <w:rsid w:val="00942AB8"/>
    <w:rsid w:val="0094548C"/>
    <w:rsid w:val="00945CAF"/>
    <w:rsid w:val="00946AC9"/>
    <w:rsid w:val="00947448"/>
    <w:rsid w:val="00952B38"/>
    <w:rsid w:val="00952C99"/>
    <w:rsid w:val="009619EB"/>
    <w:rsid w:val="00965333"/>
    <w:rsid w:val="009712EF"/>
    <w:rsid w:val="009727BF"/>
    <w:rsid w:val="00973321"/>
    <w:rsid w:val="00975C2E"/>
    <w:rsid w:val="009770EB"/>
    <w:rsid w:val="00977270"/>
    <w:rsid w:val="009824F2"/>
    <w:rsid w:val="00982BFA"/>
    <w:rsid w:val="00983080"/>
    <w:rsid w:val="009830C2"/>
    <w:rsid w:val="00986AA3"/>
    <w:rsid w:val="00993B24"/>
    <w:rsid w:val="0099611F"/>
    <w:rsid w:val="009A083F"/>
    <w:rsid w:val="009A135C"/>
    <w:rsid w:val="009A67E7"/>
    <w:rsid w:val="009A72E8"/>
    <w:rsid w:val="009B22FF"/>
    <w:rsid w:val="009C603A"/>
    <w:rsid w:val="009C74CD"/>
    <w:rsid w:val="009D048F"/>
    <w:rsid w:val="009D162F"/>
    <w:rsid w:val="009D23FF"/>
    <w:rsid w:val="009D357B"/>
    <w:rsid w:val="009D401F"/>
    <w:rsid w:val="009D516A"/>
    <w:rsid w:val="009D5B42"/>
    <w:rsid w:val="009D68FA"/>
    <w:rsid w:val="009E1E4F"/>
    <w:rsid w:val="009E32CF"/>
    <w:rsid w:val="009E4261"/>
    <w:rsid w:val="009E4FC2"/>
    <w:rsid w:val="009F44AE"/>
    <w:rsid w:val="009F548E"/>
    <w:rsid w:val="009F59B9"/>
    <w:rsid w:val="00A02529"/>
    <w:rsid w:val="00A02EF2"/>
    <w:rsid w:val="00A04D5E"/>
    <w:rsid w:val="00A10DDF"/>
    <w:rsid w:val="00A11172"/>
    <w:rsid w:val="00A11F7D"/>
    <w:rsid w:val="00A1219E"/>
    <w:rsid w:val="00A12E55"/>
    <w:rsid w:val="00A13B00"/>
    <w:rsid w:val="00A168D7"/>
    <w:rsid w:val="00A174A7"/>
    <w:rsid w:val="00A20F81"/>
    <w:rsid w:val="00A2411A"/>
    <w:rsid w:val="00A242E4"/>
    <w:rsid w:val="00A24437"/>
    <w:rsid w:val="00A24CA0"/>
    <w:rsid w:val="00A25418"/>
    <w:rsid w:val="00A25D4B"/>
    <w:rsid w:val="00A3054C"/>
    <w:rsid w:val="00A33601"/>
    <w:rsid w:val="00A3362A"/>
    <w:rsid w:val="00A34251"/>
    <w:rsid w:val="00A35278"/>
    <w:rsid w:val="00A36257"/>
    <w:rsid w:val="00A37045"/>
    <w:rsid w:val="00A37B70"/>
    <w:rsid w:val="00A40AC7"/>
    <w:rsid w:val="00A435C7"/>
    <w:rsid w:val="00A55607"/>
    <w:rsid w:val="00A569B2"/>
    <w:rsid w:val="00A60CDA"/>
    <w:rsid w:val="00A611A4"/>
    <w:rsid w:val="00A61F09"/>
    <w:rsid w:val="00A62351"/>
    <w:rsid w:val="00A637ED"/>
    <w:rsid w:val="00A637FA"/>
    <w:rsid w:val="00A63E1A"/>
    <w:rsid w:val="00A643DC"/>
    <w:rsid w:val="00A6695B"/>
    <w:rsid w:val="00A72703"/>
    <w:rsid w:val="00A727F6"/>
    <w:rsid w:val="00A72E71"/>
    <w:rsid w:val="00A76432"/>
    <w:rsid w:val="00A770C0"/>
    <w:rsid w:val="00A84FC6"/>
    <w:rsid w:val="00A8528E"/>
    <w:rsid w:val="00A90BD9"/>
    <w:rsid w:val="00A9101B"/>
    <w:rsid w:val="00A94A49"/>
    <w:rsid w:val="00A95C5E"/>
    <w:rsid w:val="00A96E5E"/>
    <w:rsid w:val="00AA1815"/>
    <w:rsid w:val="00AA1D3E"/>
    <w:rsid w:val="00AA20E7"/>
    <w:rsid w:val="00AA2CCA"/>
    <w:rsid w:val="00AA39F9"/>
    <w:rsid w:val="00AA79D3"/>
    <w:rsid w:val="00AB0931"/>
    <w:rsid w:val="00AB4DC4"/>
    <w:rsid w:val="00AB5C9B"/>
    <w:rsid w:val="00AB632E"/>
    <w:rsid w:val="00AC0159"/>
    <w:rsid w:val="00AC0276"/>
    <w:rsid w:val="00AC0312"/>
    <w:rsid w:val="00AC0449"/>
    <w:rsid w:val="00AC0DC3"/>
    <w:rsid w:val="00AD035F"/>
    <w:rsid w:val="00AD2497"/>
    <w:rsid w:val="00AD5C04"/>
    <w:rsid w:val="00AD5EB4"/>
    <w:rsid w:val="00AD5ECC"/>
    <w:rsid w:val="00AD5FC5"/>
    <w:rsid w:val="00AD667B"/>
    <w:rsid w:val="00AE63E2"/>
    <w:rsid w:val="00AE7976"/>
    <w:rsid w:val="00AF04C9"/>
    <w:rsid w:val="00AF19A2"/>
    <w:rsid w:val="00AF1DC4"/>
    <w:rsid w:val="00AF26B6"/>
    <w:rsid w:val="00AF2979"/>
    <w:rsid w:val="00AF3189"/>
    <w:rsid w:val="00AF5BF8"/>
    <w:rsid w:val="00AF71E6"/>
    <w:rsid w:val="00B01732"/>
    <w:rsid w:val="00B0375C"/>
    <w:rsid w:val="00B052CB"/>
    <w:rsid w:val="00B06E64"/>
    <w:rsid w:val="00B156C3"/>
    <w:rsid w:val="00B15F67"/>
    <w:rsid w:val="00B1624F"/>
    <w:rsid w:val="00B20F5D"/>
    <w:rsid w:val="00B21184"/>
    <w:rsid w:val="00B224C5"/>
    <w:rsid w:val="00B26009"/>
    <w:rsid w:val="00B325CD"/>
    <w:rsid w:val="00B3273E"/>
    <w:rsid w:val="00B36C0F"/>
    <w:rsid w:val="00B37793"/>
    <w:rsid w:val="00B41203"/>
    <w:rsid w:val="00B4561E"/>
    <w:rsid w:val="00B4768D"/>
    <w:rsid w:val="00B518E5"/>
    <w:rsid w:val="00B51E1F"/>
    <w:rsid w:val="00B52601"/>
    <w:rsid w:val="00B52F91"/>
    <w:rsid w:val="00B57032"/>
    <w:rsid w:val="00B60222"/>
    <w:rsid w:val="00B62CFB"/>
    <w:rsid w:val="00B662F5"/>
    <w:rsid w:val="00B664E6"/>
    <w:rsid w:val="00B7000C"/>
    <w:rsid w:val="00B760D5"/>
    <w:rsid w:val="00B77495"/>
    <w:rsid w:val="00B83B2C"/>
    <w:rsid w:val="00B84D0A"/>
    <w:rsid w:val="00B92049"/>
    <w:rsid w:val="00B94740"/>
    <w:rsid w:val="00B95002"/>
    <w:rsid w:val="00B97F75"/>
    <w:rsid w:val="00BA0A4F"/>
    <w:rsid w:val="00BA0AF4"/>
    <w:rsid w:val="00BA166A"/>
    <w:rsid w:val="00BA1CAE"/>
    <w:rsid w:val="00BA33BB"/>
    <w:rsid w:val="00BA4830"/>
    <w:rsid w:val="00BA6E22"/>
    <w:rsid w:val="00BB1460"/>
    <w:rsid w:val="00BB362C"/>
    <w:rsid w:val="00BB5942"/>
    <w:rsid w:val="00BB6D5E"/>
    <w:rsid w:val="00BC0A03"/>
    <w:rsid w:val="00BC4A42"/>
    <w:rsid w:val="00BC5BB4"/>
    <w:rsid w:val="00BC7A44"/>
    <w:rsid w:val="00BD4139"/>
    <w:rsid w:val="00BE059A"/>
    <w:rsid w:val="00BE1981"/>
    <w:rsid w:val="00BE2DA6"/>
    <w:rsid w:val="00BE2E86"/>
    <w:rsid w:val="00BE320B"/>
    <w:rsid w:val="00BE56E9"/>
    <w:rsid w:val="00BE63CF"/>
    <w:rsid w:val="00BE7014"/>
    <w:rsid w:val="00BE7991"/>
    <w:rsid w:val="00BF25C7"/>
    <w:rsid w:val="00C009B7"/>
    <w:rsid w:val="00C02B8F"/>
    <w:rsid w:val="00C04218"/>
    <w:rsid w:val="00C04E32"/>
    <w:rsid w:val="00C116B1"/>
    <w:rsid w:val="00C156EB"/>
    <w:rsid w:val="00C15A3F"/>
    <w:rsid w:val="00C20630"/>
    <w:rsid w:val="00C224A4"/>
    <w:rsid w:val="00C22F7A"/>
    <w:rsid w:val="00C23AE2"/>
    <w:rsid w:val="00C2666F"/>
    <w:rsid w:val="00C32020"/>
    <w:rsid w:val="00C32D02"/>
    <w:rsid w:val="00C3334A"/>
    <w:rsid w:val="00C33F16"/>
    <w:rsid w:val="00C3408C"/>
    <w:rsid w:val="00C343DA"/>
    <w:rsid w:val="00C3484D"/>
    <w:rsid w:val="00C351CC"/>
    <w:rsid w:val="00C35435"/>
    <w:rsid w:val="00C432FD"/>
    <w:rsid w:val="00C43CDF"/>
    <w:rsid w:val="00C4608E"/>
    <w:rsid w:val="00C46D11"/>
    <w:rsid w:val="00C5017E"/>
    <w:rsid w:val="00C512B2"/>
    <w:rsid w:val="00C53B5D"/>
    <w:rsid w:val="00C571FB"/>
    <w:rsid w:val="00C57381"/>
    <w:rsid w:val="00C61D56"/>
    <w:rsid w:val="00C62B69"/>
    <w:rsid w:val="00C644B7"/>
    <w:rsid w:val="00C64564"/>
    <w:rsid w:val="00C66D6F"/>
    <w:rsid w:val="00C71377"/>
    <w:rsid w:val="00C73C87"/>
    <w:rsid w:val="00C74B6F"/>
    <w:rsid w:val="00C86902"/>
    <w:rsid w:val="00C87EF3"/>
    <w:rsid w:val="00C9015F"/>
    <w:rsid w:val="00C912F9"/>
    <w:rsid w:val="00C91B22"/>
    <w:rsid w:val="00C9241B"/>
    <w:rsid w:val="00C9370B"/>
    <w:rsid w:val="00C96DDF"/>
    <w:rsid w:val="00C97569"/>
    <w:rsid w:val="00CA199D"/>
    <w:rsid w:val="00CA4D9C"/>
    <w:rsid w:val="00CB05A7"/>
    <w:rsid w:val="00CB06A4"/>
    <w:rsid w:val="00CB325B"/>
    <w:rsid w:val="00CB3EFF"/>
    <w:rsid w:val="00CB64FF"/>
    <w:rsid w:val="00CB7078"/>
    <w:rsid w:val="00CB711D"/>
    <w:rsid w:val="00CB7902"/>
    <w:rsid w:val="00CC014B"/>
    <w:rsid w:val="00CC0E81"/>
    <w:rsid w:val="00CC21D8"/>
    <w:rsid w:val="00CC3369"/>
    <w:rsid w:val="00CC5343"/>
    <w:rsid w:val="00CC59D7"/>
    <w:rsid w:val="00CC6338"/>
    <w:rsid w:val="00CC78DE"/>
    <w:rsid w:val="00CD04D9"/>
    <w:rsid w:val="00CD0F93"/>
    <w:rsid w:val="00CD1BF4"/>
    <w:rsid w:val="00CD2578"/>
    <w:rsid w:val="00CD6D6E"/>
    <w:rsid w:val="00CD6F23"/>
    <w:rsid w:val="00CE55A7"/>
    <w:rsid w:val="00CF640B"/>
    <w:rsid w:val="00CF6B5A"/>
    <w:rsid w:val="00D027AF"/>
    <w:rsid w:val="00D0323E"/>
    <w:rsid w:val="00D06652"/>
    <w:rsid w:val="00D07FA6"/>
    <w:rsid w:val="00D16ADF"/>
    <w:rsid w:val="00D17C53"/>
    <w:rsid w:val="00D17D57"/>
    <w:rsid w:val="00D2341D"/>
    <w:rsid w:val="00D252DA"/>
    <w:rsid w:val="00D25E0E"/>
    <w:rsid w:val="00D302EB"/>
    <w:rsid w:val="00D31679"/>
    <w:rsid w:val="00D320C8"/>
    <w:rsid w:val="00D330B6"/>
    <w:rsid w:val="00D3672F"/>
    <w:rsid w:val="00D40ABA"/>
    <w:rsid w:val="00D40FE2"/>
    <w:rsid w:val="00D440FA"/>
    <w:rsid w:val="00D44BCF"/>
    <w:rsid w:val="00D46E73"/>
    <w:rsid w:val="00D52777"/>
    <w:rsid w:val="00D5548D"/>
    <w:rsid w:val="00D56572"/>
    <w:rsid w:val="00D60F81"/>
    <w:rsid w:val="00D63951"/>
    <w:rsid w:val="00D63BF2"/>
    <w:rsid w:val="00D67348"/>
    <w:rsid w:val="00D70A26"/>
    <w:rsid w:val="00D70BB1"/>
    <w:rsid w:val="00D73BB4"/>
    <w:rsid w:val="00D74EBF"/>
    <w:rsid w:val="00D75FEC"/>
    <w:rsid w:val="00D76B98"/>
    <w:rsid w:val="00D7733C"/>
    <w:rsid w:val="00D82E63"/>
    <w:rsid w:val="00D835A0"/>
    <w:rsid w:val="00D86905"/>
    <w:rsid w:val="00D86F2C"/>
    <w:rsid w:val="00D91656"/>
    <w:rsid w:val="00D925A8"/>
    <w:rsid w:val="00D94301"/>
    <w:rsid w:val="00D96248"/>
    <w:rsid w:val="00DA0680"/>
    <w:rsid w:val="00DA36F6"/>
    <w:rsid w:val="00DA48F0"/>
    <w:rsid w:val="00DA7E73"/>
    <w:rsid w:val="00DB0C8D"/>
    <w:rsid w:val="00DB6A09"/>
    <w:rsid w:val="00DB6AF2"/>
    <w:rsid w:val="00DC1599"/>
    <w:rsid w:val="00DC1611"/>
    <w:rsid w:val="00DC2FD9"/>
    <w:rsid w:val="00DD3C53"/>
    <w:rsid w:val="00DD6B73"/>
    <w:rsid w:val="00DD77C3"/>
    <w:rsid w:val="00DE62F9"/>
    <w:rsid w:val="00DE745D"/>
    <w:rsid w:val="00DF0774"/>
    <w:rsid w:val="00DF1036"/>
    <w:rsid w:val="00DF36D7"/>
    <w:rsid w:val="00DF4644"/>
    <w:rsid w:val="00DF68F6"/>
    <w:rsid w:val="00DF7A83"/>
    <w:rsid w:val="00E012B4"/>
    <w:rsid w:val="00E05331"/>
    <w:rsid w:val="00E05451"/>
    <w:rsid w:val="00E05651"/>
    <w:rsid w:val="00E100F6"/>
    <w:rsid w:val="00E11BA5"/>
    <w:rsid w:val="00E17CBD"/>
    <w:rsid w:val="00E20425"/>
    <w:rsid w:val="00E21768"/>
    <w:rsid w:val="00E2326D"/>
    <w:rsid w:val="00E25236"/>
    <w:rsid w:val="00E25DCB"/>
    <w:rsid w:val="00E2613B"/>
    <w:rsid w:val="00E27FC0"/>
    <w:rsid w:val="00E313DF"/>
    <w:rsid w:val="00E330E0"/>
    <w:rsid w:val="00E34095"/>
    <w:rsid w:val="00E343B1"/>
    <w:rsid w:val="00E36C70"/>
    <w:rsid w:val="00E4156E"/>
    <w:rsid w:val="00E41B91"/>
    <w:rsid w:val="00E44D61"/>
    <w:rsid w:val="00E453F2"/>
    <w:rsid w:val="00E460AD"/>
    <w:rsid w:val="00E60E8D"/>
    <w:rsid w:val="00E61925"/>
    <w:rsid w:val="00E6363B"/>
    <w:rsid w:val="00E65C0E"/>
    <w:rsid w:val="00E65FB9"/>
    <w:rsid w:val="00E730FC"/>
    <w:rsid w:val="00E746F0"/>
    <w:rsid w:val="00E74EA3"/>
    <w:rsid w:val="00E809B9"/>
    <w:rsid w:val="00E82A15"/>
    <w:rsid w:val="00E85445"/>
    <w:rsid w:val="00E87589"/>
    <w:rsid w:val="00E938FF"/>
    <w:rsid w:val="00E93DFE"/>
    <w:rsid w:val="00EA0CC6"/>
    <w:rsid w:val="00EA2124"/>
    <w:rsid w:val="00EA2B12"/>
    <w:rsid w:val="00EA34DC"/>
    <w:rsid w:val="00EA456C"/>
    <w:rsid w:val="00EA5017"/>
    <w:rsid w:val="00EA6BED"/>
    <w:rsid w:val="00EB11FB"/>
    <w:rsid w:val="00EB14F0"/>
    <w:rsid w:val="00EB3844"/>
    <w:rsid w:val="00EB5A9F"/>
    <w:rsid w:val="00EC573F"/>
    <w:rsid w:val="00EC5C8D"/>
    <w:rsid w:val="00ED106C"/>
    <w:rsid w:val="00ED2D34"/>
    <w:rsid w:val="00ED4805"/>
    <w:rsid w:val="00ED57F6"/>
    <w:rsid w:val="00ED6C51"/>
    <w:rsid w:val="00ED6DA1"/>
    <w:rsid w:val="00EF0AF8"/>
    <w:rsid w:val="00EF207D"/>
    <w:rsid w:val="00EF4258"/>
    <w:rsid w:val="00EF44AF"/>
    <w:rsid w:val="00EF6D31"/>
    <w:rsid w:val="00F02237"/>
    <w:rsid w:val="00F045FD"/>
    <w:rsid w:val="00F046F1"/>
    <w:rsid w:val="00F072E2"/>
    <w:rsid w:val="00F079A6"/>
    <w:rsid w:val="00F10236"/>
    <w:rsid w:val="00F14E46"/>
    <w:rsid w:val="00F14FD0"/>
    <w:rsid w:val="00F15811"/>
    <w:rsid w:val="00F22423"/>
    <w:rsid w:val="00F24C72"/>
    <w:rsid w:val="00F30267"/>
    <w:rsid w:val="00F31D22"/>
    <w:rsid w:val="00F348B2"/>
    <w:rsid w:val="00F34BF0"/>
    <w:rsid w:val="00F34ED8"/>
    <w:rsid w:val="00F4095A"/>
    <w:rsid w:val="00F44376"/>
    <w:rsid w:val="00F452CC"/>
    <w:rsid w:val="00F45845"/>
    <w:rsid w:val="00F4694F"/>
    <w:rsid w:val="00F50189"/>
    <w:rsid w:val="00F508FC"/>
    <w:rsid w:val="00F510B7"/>
    <w:rsid w:val="00F53571"/>
    <w:rsid w:val="00F54044"/>
    <w:rsid w:val="00F576E7"/>
    <w:rsid w:val="00F73D1C"/>
    <w:rsid w:val="00F763FC"/>
    <w:rsid w:val="00F76B4A"/>
    <w:rsid w:val="00F772C1"/>
    <w:rsid w:val="00F8026D"/>
    <w:rsid w:val="00F810A0"/>
    <w:rsid w:val="00F8245F"/>
    <w:rsid w:val="00F82E40"/>
    <w:rsid w:val="00F85F9D"/>
    <w:rsid w:val="00F91629"/>
    <w:rsid w:val="00F91E2A"/>
    <w:rsid w:val="00F96C39"/>
    <w:rsid w:val="00F96E41"/>
    <w:rsid w:val="00FA153F"/>
    <w:rsid w:val="00FA1D78"/>
    <w:rsid w:val="00FA1F7E"/>
    <w:rsid w:val="00FA280F"/>
    <w:rsid w:val="00FA5289"/>
    <w:rsid w:val="00FA6213"/>
    <w:rsid w:val="00FB2186"/>
    <w:rsid w:val="00FB46B4"/>
    <w:rsid w:val="00FB7E03"/>
    <w:rsid w:val="00FD0133"/>
    <w:rsid w:val="00FD25FE"/>
    <w:rsid w:val="00FD6206"/>
    <w:rsid w:val="00FE1318"/>
    <w:rsid w:val="00FE208F"/>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61A94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aliases w:val="Char Char6 Char Char Char Char Char Char Char Char Char Char Char Char,Char6 Char Char Char Char Char Char Char Char Char Char Char Char Char,Footnote,Ref,de nota al pie,fr"/>
    <w:basedOn w:val="Policepardfaut"/>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 10pt,Note de bas de page art 65,Car,Car Car Car Car Car,Car Car Car Car,Car Car Car,Car Car Car Car Car Car Car Car Car,Car Car, Car, Car Car Car Car Car, Car Car Car Car, Car Car Car"/>
    <w:basedOn w:val="Normal"/>
    <w:link w:val="NotedebasdepageCar"/>
    <w:qFormat/>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 10pt Car,Note de bas de page art 65 Car,Car Car4,Car Car Car Car Car Car,Car Car Car Car Car1,Car Car Car Car1,Car Car Car Car Car Car Car Car Car Car,Car Car Car1, Car Car, Car Car Car Car Car Car"/>
    <w:basedOn w:val="Policepardfaut"/>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uiPriority w:val="34"/>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basedOn w:val="Policepardfaut"/>
    <w:locked/>
    <w:rsid w:val="00ED57F6"/>
    <w:rPr>
      <w:rFonts w:ascii="Arial" w:hAnsi="Arial" w:cs="Times New Roman"/>
      <w:sz w:val="24"/>
    </w:rPr>
  </w:style>
  <w:style w:type="character" w:customStyle="1" w:styleId="CitationenretraitCar">
    <w:name w:val="Citation en retrait Car"/>
    <w:basedOn w:val="Policepardfaut"/>
    <w:link w:val="Citationenretrait"/>
    <w:rsid w:val="00DB6AF2"/>
    <w:rPr>
      <w:rFonts w:ascii="Arial" w:hAnsi="Arial"/>
      <w:kern w:val="24"/>
      <w:sz w:val="22"/>
      <w:lang w:val="fr-CA" w:eastAsia="fr-FR" w:bidi="ar-SA"/>
    </w:rPr>
  </w:style>
  <w:style w:type="character" w:customStyle="1" w:styleId="CitationendoubleretraitCar">
    <w:name w:val="Citation en double retrait Car"/>
    <w:basedOn w:val="Citationenretrait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locked/>
    <w:rsid w:val="0075058C"/>
    <w:rPr>
      <w:rFonts w:ascii="Arial" w:hAnsi="Arial"/>
      <w:sz w:val="24"/>
    </w:rPr>
  </w:style>
  <w:style w:type="paragraph" w:styleId="NormalWeb">
    <w:name w:val="Normal (Web)"/>
    <w:basedOn w:val="Normal"/>
    <w:uiPriority w:val="99"/>
    <w:unhideWhenUsed/>
    <w:rsid w:val="000F3A86"/>
    <w:pPr>
      <w:spacing w:before="100" w:beforeAutospacing="1" w:after="100" w:afterAutospacing="1"/>
    </w:pPr>
    <w:rPr>
      <w:rFonts w:ascii="Times New Roman" w:hAnsi="Times New Roman"/>
      <w:szCs w:val="24"/>
    </w:rPr>
  </w:style>
  <w:style w:type="paragraph" w:customStyle="1" w:styleId="Paragrdouble">
    <w:name w:val="Paragr. double"/>
    <w:basedOn w:val="Normal"/>
    <w:rsid w:val="000F5651"/>
    <w:pPr>
      <w:numPr>
        <w:numId w:val="41"/>
      </w:numPr>
      <w:tabs>
        <w:tab w:val="clear" w:pos="2204"/>
        <w:tab w:val="left" w:pos="357"/>
      </w:tabs>
      <w:spacing w:before="120" w:after="120" w:line="500" w:lineRule="exact"/>
      <w:ind w:left="0"/>
      <w:jc w:val="both"/>
    </w:pPr>
    <w:rPr>
      <w:kern w:val="28"/>
      <w:lang w:eastAsia="fr-FR"/>
    </w:rPr>
  </w:style>
  <w:style w:type="paragraph" w:customStyle="1" w:styleId="Paragrsimple">
    <w:name w:val="Paragr. simple"/>
    <w:basedOn w:val="Paragrdouble"/>
    <w:next w:val="Paragrdouble"/>
    <w:qFormat/>
    <w:rsid w:val="000F5651"/>
    <w:pPr>
      <w:spacing w:line="240" w:lineRule="auto"/>
    </w:pPr>
  </w:style>
  <w:style w:type="paragraph" w:styleId="Citation0">
    <w:name w:val="Quote"/>
    <w:basedOn w:val="Normal"/>
    <w:next w:val="Normal"/>
    <w:link w:val="CitationCar"/>
    <w:uiPriority w:val="29"/>
    <w:qFormat/>
    <w:rsid w:val="000F5651"/>
    <w:pPr>
      <w:spacing w:before="200" w:after="160"/>
      <w:ind w:left="864" w:right="864"/>
      <w:jc w:val="center"/>
    </w:pPr>
    <w:rPr>
      <w:i/>
      <w:iCs/>
      <w:color w:val="404040" w:themeColor="text1" w:themeTint="BF"/>
      <w:lang w:eastAsia="fr-FR"/>
    </w:rPr>
  </w:style>
  <w:style w:type="character" w:customStyle="1" w:styleId="CitationCar">
    <w:name w:val="Citation Car"/>
    <w:basedOn w:val="Policepardfaut"/>
    <w:link w:val="Citation0"/>
    <w:uiPriority w:val="29"/>
    <w:rsid w:val="000F5651"/>
    <w:rPr>
      <w:rFonts w:ascii="Arial" w:hAnsi="Arial"/>
      <w:i/>
      <w:iCs/>
      <w:color w:val="404040" w:themeColor="text1" w:themeTint="BF"/>
      <w:sz w:val="24"/>
      <w:lang w:eastAsia="fr-FR"/>
    </w:rPr>
  </w:style>
  <w:style w:type="paragraph" w:customStyle="1" w:styleId="articlesdeloi">
    <w:name w:val="articlesdeloi"/>
    <w:basedOn w:val="Normal"/>
    <w:rsid w:val="00DD77C3"/>
    <w:pPr>
      <w:spacing w:before="100" w:beforeAutospacing="1" w:after="100" w:afterAutospacing="1"/>
    </w:pPr>
    <w:rPr>
      <w:rFonts w:ascii="Times New Roman" w:hAnsi="Times New Roman"/>
      <w:szCs w:val="24"/>
    </w:rPr>
  </w:style>
  <w:style w:type="paragraph" w:styleId="Rvision">
    <w:name w:val="Revision"/>
    <w:hidden/>
    <w:uiPriority w:val="99"/>
    <w:semiHidden/>
    <w:rsid w:val="008D66B8"/>
    <w:rPr>
      <w:rFonts w:ascii="Arial" w:hAnsi="Arial"/>
      <w:sz w:val="24"/>
    </w:rPr>
  </w:style>
  <w:style w:type="character" w:styleId="Marquedecommentaire">
    <w:name w:val="annotation reference"/>
    <w:basedOn w:val="Policepardfaut"/>
    <w:rsid w:val="008D66B8"/>
    <w:rPr>
      <w:sz w:val="16"/>
      <w:szCs w:val="16"/>
    </w:rPr>
  </w:style>
  <w:style w:type="paragraph" w:styleId="Commentaire">
    <w:name w:val="annotation text"/>
    <w:basedOn w:val="Normal"/>
    <w:link w:val="CommentaireCar"/>
    <w:rsid w:val="008D66B8"/>
    <w:rPr>
      <w:sz w:val="20"/>
    </w:rPr>
  </w:style>
  <w:style w:type="character" w:customStyle="1" w:styleId="CommentaireCar">
    <w:name w:val="Commentaire Car"/>
    <w:basedOn w:val="Policepardfaut"/>
    <w:link w:val="Commentaire"/>
    <w:rsid w:val="008D66B8"/>
    <w:rPr>
      <w:rFonts w:ascii="Arial" w:hAnsi="Arial"/>
    </w:rPr>
  </w:style>
  <w:style w:type="paragraph" w:styleId="Objetducommentaire">
    <w:name w:val="annotation subject"/>
    <w:basedOn w:val="Commentaire"/>
    <w:next w:val="Commentaire"/>
    <w:link w:val="ObjetducommentaireCar"/>
    <w:rsid w:val="008D66B8"/>
    <w:rPr>
      <w:b/>
      <w:bCs/>
    </w:rPr>
  </w:style>
  <w:style w:type="character" w:customStyle="1" w:styleId="ObjetducommentaireCar">
    <w:name w:val="Objet du commentaire Car"/>
    <w:basedOn w:val="CommentaireCar"/>
    <w:link w:val="Objetducommentaire"/>
    <w:rsid w:val="008D66B8"/>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864827011">
      <w:bodyDiv w:val="1"/>
      <w:marLeft w:val="0"/>
      <w:marRight w:val="0"/>
      <w:marTop w:val="0"/>
      <w:marBottom w:val="0"/>
      <w:divBdr>
        <w:top w:val="none" w:sz="0" w:space="0" w:color="auto"/>
        <w:left w:val="none" w:sz="0" w:space="0" w:color="auto"/>
        <w:bottom w:val="none" w:sz="0" w:space="0" w:color="auto"/>
        <w:right w:val="none" w:sz="0" w:space="0" w:color="auto"/>
      </w:divBdr>
    </w:div>
    <w:div w:id="1023362371">
      <w:bodyDiv w:val="1"/>
      <w:marLeft w:val="0"/>
      <w:marRight w:val="0"/>
      <w:marTop w:val="0"/>
      <w:marBottom w:val="0"/>
      <w:divBdr>
        <w:top w:val="none" w:sz="0" w:space="0" w:color="auto"/>
        <w:left w:val="none" w:sz="0" w:space="0" w:color="auto"/>
        <w:bottom w:val="none" w:sz="0" w:space="0" w:color="auto"/>
        <w:right w:val="none" w:sz="0" w:space="0" w:color="auto"/>
      </w:divBdr>
    </w:div>
    <w:div w:id="1076323724">
      <w:bodyDiv w:val="1"/>
      <w:marLeft w:val="0"/>
      <w:marRight w:val="0"/>
      <w:marTop w:val="0"/>
      <w:marBottom w:val="0"/>
      <w:divBdr>
        <w:top w:val="none" w:sz="0" w:space="0" w:color="auto"/>
        <w:left w:val="none" w:sz="0" w:space="0" w:color="auto"/>
        <w:bottom w:val="none" w:sz="0" w:space="0" w:color="auto"/>
        <w:right w:val="none" w:sz="0" w:space="0" w:color="auto"/>
      </w:divBdr>
    </w:div>
    <w:div w:id="1336036849">
      <w:bodyDiv w:val="1"/>
      <w:marLeft w:val="0"/>
      <w:marRight w:val="0"/>
      <w:marTop w:val="0"/>
      <w:marBottom w:val="0"/>
      <w:divBdr>
        <w:top w:val="none" w:sz="0" w:space="0" w:color="auto"/>
        <w:left w:val="none" w:sz="0" w:space="0" w:color="auto"/>
        <w:bottom w:val="none" w:sz="0" w:space="0" w:color="auto"/>
        <w:right w:val="none" w:sz="0" w:space="0" w:color="auto"/>
      </w:divBdr>
    </w:div>
    <w:div w:id="1529219077">
      <w:bodyDiv w:val="1"/>
      <w:marLeft w:val="0"/>
      <w:marRight w:val="0"/>
      <w:marTop w:val="0"/>
      <w:marBottom w:val="0"/>
      <w:divBdr>
        <w:top w:val="none" w:sz="0" w:space="0" w:color="auto"/>
        <w:left w:val="none" w:sz="0" w:space="0" w:color="auto"/>
        <w:bottom w:val="none" w:sz="0" w:space="0" w:color="auto"/>
        <w:right w:val="none" w:sz="0" w:space="0" w:color="auto"/>
      </w:divBdr>
    </w:div>
    <w:div w:id="1636376656">
      <w:bodyDiv w:val="1"/>
      <w:marLeft w:val="0"/>
      <w:marRight w:val="0"/>
      <w:marTop w:val="0"/>
      <w:marBottom w:val="0"/>
      <w:divBdr>
        <w:top w:val="none" w:sz="0" w:space="0" w:color="auto"/>
        <w:left w:val="none" w:sz="0" w:space="0" w:color="auto"/>
        <w:bottom w:val="none" w:sz="0" w:space="0" w:color="auto"/>
        <w:right w:val="none" w:sz="0" w:space="0" w:color="auto"/>
      </w:divBdr>
    </w:div>
    <w:div w:id="1712344019">
      <w:bodyDiv w:val="1"/>
      <w:marLeft w:val="0"/>
      <w:marRight w:val="0"/>
      <w:marTop w:val="0"/>
      <w:marBottom w:val="0"/>
      <w:divBdr>
        <w:top w:val="none" w:sz="0" w:space="0" w:color="auto"/>
        <w:left w:val="none" w:sz="0" w:space="0" w:color="auto"/>
        <w:bottom w:val="none" w:sz="0" w:space="0" w:color="auto"/>
        <w:right w:val="none" w:sz="0" w:space="0" w:color="auto"/>
      </w:divBdr>
    </w:div>
    <w:div w:id="1825314215">
      <w:bodyDiv w:val="1"/>
      <w:marLeft w:val="0"/>
      <w:marRight w:val="0"/>
      <w:marTop w:val="0"/>
      <w:marBottom w:val="0"/>
      <w:divBdr>
        <w:top w:val="none" w:sz="0" w:space="0" w:color="auto"/>
        <w:left w:val="none" w:sz="0" w:space="0" w:color="auto"/>
        <w:bottom w:val="none" w:sz="0" w:space="0" w:color="auto"/>
        <w:right w:val="none" w:sz="0" w:space="0" w:color="auto"/>
      </w:divBdr>
    </w:div>
    <w:div w:id="1916629291">
      <w:bodyDiv w:val="1"/>
      <w:marLeft w:val="0"/>
      <w:marRight w:val="0"/>
      <w:marTop w:val="0"/>
      <w:marBottom w:val="0"/>
      <w:divBdr>
        <w:top w:val="none" w:sz="0" w:space="0" w:color="auto"/>
        <w:left w:val="none" w:sz="0" w:space="0" w:color="auto"/>
        <w:bottom w:val="none" w:sz="0" w:space="0" w:color="auto"/>
        <w:right w:val="none" w:sz="0" w:space="0" w:color="auto"/>
      </w:divBdr>
    </w:div>
    <w:div w:id="2135320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1DC4BA-57C2-44B9-95A7-B7C36C73AB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3694</Words>
  <Characters>20318</Characters>
  <Application>Microsoft Office Word</Application>
  <DocSecurity>0</DocSecurity>
  <Lines>169</Lines>
  <Paragraphs>47</Paragraphs>
  <ScaleCrop>false</ScaleCrop>
  <Company/>
  <LinksUpToDate>false</LinksUpToDate>
  <CharactersWithSpaces>23965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2025-02-18T14:08:00Z</dcterms:created>
  <dcterms:modified xsi:type="dcterms:W3CDTF">2025-02-18T14:08:00Z</dcterms:modified>
</cp:coreProperties>
</file>