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50" w:type="dxa"/>
        <w:tblLayout w:type="fixed"/>
        <w:tblCellMar>
          <w:left w:w="70" w:type="dxa"/>
          <w:right w:w="70" w:type="dxa"/>
        </w:tblCellMar>
        <w:tblLook w:val="0000" w:firstRow="0" w:lastRow="0" w:firstColumn="0" w:lastColumn="0" w:noHBand="0" w:noVBand="0"/>
      </w:tblPr>
      <w:tblGrid>
        <w:gridCol w:w="2480"/>
        <w:gridCol w:w="992"/>
        <w:gridCol w:w="1843"/>
        <w:gridCol w:w="4235"/>
      </w:tblGrid>
      <w:tr w:rsidR="007F48ED" w14:paraId="4F5B58B6" w14:textId="77777777" w:rsidTr="004F51AD">
        <w:trPr>
          <w:trHeight w:val="443"/>
        </w:trPr>
        <w:tc>
          <w:tcPr>
            <w:tcW w:w="5315" w:type="dxa"/>
            <w:gridSpan w:val="3"/>
          </w:tcPr>
          <w:p w14:paraId="20057465" w14:textId="4B54F3A1" w:rsidR="007F48ED" w:rsidRPr="00741B70" w:rsidRDefault="00741B70" w:rsidP="00741B70">
            <w:pPr>
              <w:pStyle w:val="zSoquijdatRepertorie"/>
              <w:rPr>
                <w:rFonts w:cs="Arial"/>
              </w:rPr>
            </w:pPr>
            <w:bookmarkStart w:id="0" w:name="_GoBack"/>
            <w:bookmarkEnd w:id="0"/>
            <w:r>
              <w:rPr>
                <w:rFonts w:cs="Arial"/>
              </w:rPr>
              <w:t>Giret et Sobeys Capital incorporée</w:t>
            </w:r>
          </w:p>
        </w:tc>
        <w:tc>
          <w:tcPr>
            <w:tcW w:w="4235" w:type="dxa"/>
          </w:tcPr>
          <w:p w14:paraId="0C4F0ABB" w14:textId="797CBE77" w:rsidR="007F48ED" w:rsidRPr="00D404F7" w:rsidRDefault="00D404F7" w:rsidP="00D404F7">
            <w:pPr>
              <w:pStyle w:val="zSoquijdatRefNeutre"/>
              <w:jc w:val="right"/>
              <w:rPr>
                <w:rFonts w:cs="Arial"/>
              </w:rPr>
            </w:pPr>
            <w:r w:rsidRPr="00D404F7">
              <w:rPr>
                <w:rFonts w:cs="Arial"/>
              </w:rPr>
              <w:t>2025 QCCNESST 101</w:t>
            </w:r>
          </w:p>
        </w:tc>
      </w:tr>
      <w:tr w:rsidR="007F48ED" w14:paraId="0F2FC56E" w14:textId="77777777">
        <w:trPr>
          <w:trHeight w:val="900"/>
        </w:trPr>
        <w:tc>
          <w:tcPr>
            <w:tcW w:w="9550" w:type="dxa"/>
            <w:gridSpan w:val="4"/>
            <w:vAlign w:val="bottom"/>
          </w:tcPr>
          <w:p w14:paraId="7E672178" w14:textId="77777777" w:rsidR="006F460A" w:rsidRDefault="007F48ED" w:rsidP="000E4A80">
            <w:pPr>
              <w:pStyle w:val="zSoquijlblCour"/>
              <w:rPr>
                <w:sz w:val="32"/>
                <w:szCs w:val="32"/>
              </w:rPr>
            </w:pPr>
            <w:r>
              <w:rPr>
                <w:sz w:val="32"/>
                <w:szCs w:val="32"/>
              </w:rPr>
              <w:t>COMMISSION DE</w:t>
            </w:r>
            <w:r w:rsidR="006F460A">
              <w:rPr>
                <w:sz w:val="32"/>
                <w:szCs w:val="32"/>
              </w:rPr>
              <w:t>S NORMES, DE L’ÉQUITÉ,</w:t>
            </w:r>
          </w:p>
          <w:p w14:paraId="557BF340" w14:textId="77777777" w:rsidR="007F48ED" w:rsidRDefault="006F460A" w:rsidP="006F460A">
            <w:pPr>
              <w:pStyle w:val="zSoquijlblCour"/>
              <w:rPr>
                <w:sz w:val="32"/>
                <w:szCs w:val="32"/>
              </w:rPr>
            </w:pPr>
            <w:r>
              <w:rPr>
                <w:sz w:val="32"/>
                <w:szCs w:val="32"/>
              </w:rPr>
              <w:t>DE</w:t>
            </w:r>
            <w:r w:rsidR="007F48ED">
              <w:rPr>
                <w:sz w:val="32"/>
                <w:szCs w:val="32"/>
              </w:rPr>
              <w:t xml:space="preserve"> LA SANTÉ</w:t>
            </w:r>
            <w:r>
              <w:rPr>
                <w:sz w:val="32"/>
                <w:szCs w:val="32"/>
              </w:rPr>
              <w:t xml:space="preserve"> </w:t>
            </w:r>
            <w:r w:rsidR="007F48ED">
              <w:rPr>
                <w:sz w:val="32"/>
                <w:szCs w:val="32"/>
              </w:rPr>
              <w:t xml:space="preserve">ET DE </w:t>
            </w:r>
            <w:smartTag w:uri="urn:schemas-microsoft-com:office:smarttags" w:element="PersonName">
              <w:smartTagPr>
                <w:attr w:name="ProductID" w:val="LA S￉CURIT￉ DU"/>
              </w:smartTagPr>
              <w:r w:rsidR="007F48ED">
                <w:rPr>
                  <w:sz w:val="32"/>
                  <w:szCs w:val="32"/>
                </w:rPr>
                <w:t>LA SÉCURITÉ DU</w:t>
              </w:r>
            </w:smartTag>
            <w:r w:rsidR="007F48ED">
              <w:rPr>
                <w:sz w:val="32"/>
                <w:szCs w:val="32"/>
              </w:rPr>
              <w:t xml:space="preserve"> TRAVAIL</w:t>
            </w:r>
          </w:p>
        </w:tc>
      </w:tr>
      <w:tr w:rsidR="007F48ED" w14:paraId="03F29025" w14:textId="77777777">
        <w:trPr>
          <w:trHeight w:val="540"/>
        </w:trPr>
        <w:tc>
          <w:tcPr>
            <w:tcW w:w="9550" w:type="dxa"/>
            <w:gridSpan w:val="4"/>
            <w:vAlign w:val="center"/>
          </w:tcPr>
          <w:p w14:paraId="36B5C502" w14:textId="77777777" w:rsidR="00AB7B73" w:rsidRPr="00AB7B73" w:rsidRDefault="00AB7B73" w:rsidP="00DA5777">
            <w:pPr>
              <w:pStyle w:val="zSoquijdatDivision"/>
              <w:rPr>
                <w:b/>
                <w:color w:val="4472C4"/>
                <w:sz w:val="16"/>
                <w:szCs w:val="16"/>
              </w:rPr>
            </w:pPr>
          </w:p>
          <w:p w14:paraId="0D96B246" w14:textId="77777777" w:rsidR="00696BF8" w:rsidRDefault="00402B52" w:rsidP="0053760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3277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Loi </w:t>
            </w:r>
            <w:r w:rsidR="002B7FA6">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sur les accidents du travail et les maladies professionnelles</w:t>
            </w:r>
            <w:r w:rsidR="00696BF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7653B278" w14:textId="65591EEC" w:rsidR="007F48ED" w:rsidRPr="00EF2B5B" w:rsidRDefault="00696BF8" w:rsidP="00537601">
            <w:pPr>
              <w:jc w:val="center"/>
              <w:rPr>
                <w:b/>
                <w:color w:val="4472C4"/>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RLRQ, Chapitre A-3.001</w:t>
            </w:r>
          </w:p>
        </w:tc>
      </w:tr>
      <w:tr w:rsidR="00AB7B73" w14:paraId="4576CBA5" w14:textId="77777777" w:rsidTr="00AB7B73">
        <w:trPr>
          <w:trHeight w:val="247"/>
        </w:trPr>
        <w:tc>
          <w:tcPr>
            <w:tcW w:w="9550" w:type="dxa"/>
            <w:gridSpan w:val="4"/>
            <w:vAlign w:val="center"/>
          </w:tcPr>
          <w:p w14:paraId="0B909A29" w14:textId="77777777" w:rsidR="00AB7B73" w:rsidRPr="00AB7B73" w:rsidRDefault="00AB7B73" w:rsidP="003D23DE">
            <w:pPr>
              <w:pStyle w:val="zSoquijdatDivision"/>
              <w:rPr>
                <w:b/>
                <w:sz w:val="16"/>
                <w:szCs w:val="16"/>
              </w:rPr>
            </w:pPr>
          </w:p>
        </w:tc>
      </w:tr>
      <w:tr w:rsidR="007F48ED" w14:paraId="75CA0C87" w14:textId="77777777" w:rsidTr="003D23DE">
        <w:trPr>
          <w:trHeight w:val="295"/>
        </w:trPr>
        <w:tc>
          <w:tcPr>
            <w:tcW w:w="9550" w:type="dxa"/>
            <w:gridSpan w:val="4"/>
          </w:tcPr>
          <w:p w14:paraId="77F7BAE6" w14:textId="77777777" w:rsidR="007F48ED" w:rsidRDefault="007F48ED">
            <w:pPr>
              <w:pStyle w:val="zSoquijlblNomChambre"/>
            </w:pPr>
          </w:p>
        </w:tc>
      </w:tr>
      <w:tr w:rsidR="00872D3B" w14:paraId="282FAB2A" w14:textId="77777777" w:rsidTr="0005207A">
        <w:tc>
          <w:tcPr>
            <w:tcW w:w="2480" w:type="dxa"/>
          </w:tcPr>
          <w:p w14:paraId="0BE55AE0" w14:textId="501802A2" w:rsidR="00872D3B" w:rsidRDefault="00872D3B" w:rsidP="0005207A">
            <w:pPr>
              <w:pStyle w:val="zSoquijlblNoDossier"/>
            </w:pPr>
            <w:r>
              <w:t>Région :</w:t>
            </w:r>
          </w:p>
        </w:tc>
        <w:tc>
          <w:tcPr>
            <w:tcW w:w="7070" w:type="dxa"/>
            <w:gridSpan w:val="3"/>
          </w:tcPr>
          <w:p w14:paraId="78DBED68" w14:textId="1D3C84D1" w:rsidR="00872D3B" w:rsidRPr="003F1654" w:rsidRDefault="00696BF8" w:rsidP="0005207A">
            <w:pPr>
              <w:pStyle w:val="zSoquijdatNoDossier"/>
              <w:rPr>
                <w:color w:val="4472C4"/>
              </w:rPr>
            </w:pPr>
            <w:r>
              <w:t>Lanaudière</w:t>
            </w:r>
          </w:p>
        </w:tc>
      </w:tr>
      <w:tr w:rsidR="00872D3B" w14:paraId="1971E450" w14:textId="77777777" w:rsidTr="0005207A">
        <w:tc>
          <w:tcPr>
            <w:tcW w:w="9550" w:type="dxa"/>
            <w:gridSpan w:val="4"/>
          </w:tcPr>
          <w:p w14:paraId="47C631D0" w14:textId="77777777" w:rsidR="00872D3B" w:rsidRDefault="00872D3B" w:rsidP="0005207A"/>
        </w:tc>
      </w:tr>
      <w:tr w:rsidR="007F48ED" w14:paraId="17AF73C4" w14:textId="77777777" w:rsidTr="0056425C">
        <w:tc>
          <w:tcPr>
            <w:tcW w:w="2480" w:type="dxa"/>
          </w:tcPr>
          <w:p w14:paraId="634F845D" w14:textId="77777777" w:rsidR="007F48ED" w:rsidRDefault="007F48ED" w:rsidP="00B11E4C">
            <w:pPr>
              <w:pStyle w:val="zSoquijlblNoDossier"/>
            </w:pPr>
            <w:r>
              <w:t>N</w:t>
            </w:r>
            <w:r>
              <w:rPr>
                <w:vertAlign w:val="superscript"/>
              </w:rPr>
              <w:t>o</w:t>
            </w:r>
            <w:r>
              <w:t xml:space="preserve"> Dossier</w:t>
            </w:r>
            <w:r w:rsidR="00B11E4C">
              <w:t xml:space="preserve"> </w:t>
            </w:r>
            <w:r>
              <w:t>:</w:t>
            </w:r>
          </w:p>
        </w:tc>
        <w:tc>
          <w:tcPr>
            <w:tcW w:w="7070" w:type="dxa"/>
            <w:gridSpan w:val="3"/>
          </w:tcPr>
          <w:p w14:paraId="7C95BE38" w14:textId="31BA6D96" w:rsidR="007F48ED" w:rsidRPr="003F1654" w:rsidRDefault="00411104" w:rsidP="00EF2B5B">
            <w:pPr>
              <w:pStyle w:val="zSoquijdatNoDossier"/>
              <w:rPr>
                <w:color w:val="4472C4"/>
              </w:rPr>
            </w:pPr>
            <w:r w:rsidRPr="00411104">
              <w:t>513378893</w:t>
            </w:r>
          </w:p>
        </w:tc>
      </w:tr>
      <w:tr w:rsidR="007F48ED" w14:paraId="26817159" w14:textId="77777777">
        <w:tc>
          <w:tcPr>
            <w:tcW w:w="9550" w:type="dxa"/>
            <w:gridSpan w:val="4"/>
          </w:tcPr>
          <w:p w14:paraId="40F8DEA0" w14:textId="77777777" w:rsidR="007F48ED" w:rsidRDefault="007F48ED"/>
        </w:tc>
      </w:tr>
      <w:tr w:rsidR="007F48ED" w14:paraId="5D4A8E1B" w14:textId="77777777" w:rsidTr="0056425C">
        <w:tc>
          <w:tcPr>
            <w:tcW w:w="2480" w:type="dxa"/>
          </w:tcPr>
          <w:p w14:paraId="4EE63946" w14:textId="77777777" w:rsidR="007F48ED" w:rsidRDefault="007F48ED">
            <w:pPr>
              <w:pStyle w:val="zSoquijlblCas"/>
            </w:pPr>
            <w:r>
              <w:t>N</w:t>
            </w:r>
            <w:r>
              <w:rPr>
                <w:vertAlign w:val="superscript"/>
              </w:rPr>
              <w:t>o</w:t>
            </w:r>
            <w:r>
              <w:t xml:space="preserve"> Plainte :</w:t>
            </w:r>
          </w:p>
        </w:tc>
        <w:tc>
          <w:tcPr>
            <w:tcW w:w="7070" w:type="dxa"/>
            <w:gridSpan w:val="3"/>
          </w:tcPr>
          <w:p w14:paraId="71301961" w14:textId="247BC32C" w:rsidR="007F48ED" w:rsidRDefault="00B67DCA" w:rsidP="00EF2B5B">
            <w:pPr>
              <w:pStyle w:val="zSoquijdatNoCas"/>
            </w:pPr>
            <w:r>
              <w:t>LAN24-033</w:t>
            </w:r>
          </w:p>
        </w:tc>
      </w:tr>
      <w:tr w:rsidR="007F48ED" w14:paraId="2FC0144E" w14:textId="77777777">
        <w:trPr>
          <w:cantSplit/>
          <w:trHeight w:val="235"/>
        </w:trPr>
        <w:tc>
          <w:tcPr>
            <w:tcW w:w="9550" w:type="dxa"/>
            <w:gridSpan w:val="4"/>
          </w:tcPr>
          <w:p w14:paraId="103A82FE" w14:textId="77777777" w:rsidR="007F48ED" w:rsidRDefault="007F48ED"/>
        </w:tc>
      </w:tr>
      <w:tr w:rsidR="007F48ED" w14:paraId="49257D62" w14:textId="77777777" w:rsidTr="00DA5777">
        <w:tc>
          <w:tcPr>
            <w:tcW w:w="2480" w:type="dxa"/>
          </w:tcPr>
          <w:p w14:paraId="76D7B97E" w14:textId="77777777" w:rsidR="007F48ED" w:rsidRDefault="007F48ED">
            <w:pPr>
              <w:pStyle w:val="zSoquijlblDateJugement"/>
            </w:pPr>
            <w:r>
              <w:t>Décision rendue le :</w:t>
            </w:r>
          </w:p>
        </w:tc>
        <w:tc>
          <w:tcPr>
            <w:tcW w:w="7070" w:type="dxa"/>
            <w:gridSpan w:val="3"/>
          </w:tcPr>
          <w:p w14:paraId="4CF409B7" w14:textId="3973742C" w:rsidR="007F48ED" w:rsidRDefault="0087636C" w:rsidP="00EF2B5B">
            <w:pPr>
              <w:pStyle w:val="zSoquijdatDateJugement"/>
            </w:pPr>
            <w:r>
              <w:t>17 février 2025</w:t>
            </w:r>
          </w:p>
        </w:tc>
      </w:tr>
      <w:tr w:rsidR="007F48ED" w14:paraId="692F8A97" w14:textId="77777777">
        <w:tc>
          <w:tcPr>
            <w:tcW w:w="9550" w:type="dxa"/>
            <w:gridSpan w:val="4"/>
          </w:tcPr>
          <w:p w14:paraId="3E47F284" w14:textId="77777777" w:rsidR="007F48ED" w:rsidRDefault="007F48ED">
            <w:pPr>
              <w:ind w:left="14" w:right="-67"/>
            </w:pPr>
            <w:r>
              <w:t>______________________________________________________________________</w:t>
            </w:r>
          </w:p>
        </w:tc>
      </w:tr>
      <w:tr w:rsidR="007F48ED" w14:paraId="656C9002" w14:textId="77777777">
        <w:tc>
          <w:tcPr>
            <w:tcW w:w="9550" w:type="dxa"/>
            <w:gridSpan w:val="4"/>
          </w:tcPr>
          <w:p w14:paraId="5FE4BE7C" w14:textId="77777777" w:rsidR="007F48ED" w:rsidRPr="003F1654" w:rsidRDefault="007F48ED">
            <w:pPr>
              <w:rPr>
                <w:b/>
                <w:color w:val="2F5496"/>
              </w:rPr>
            </w:pPr>
          </w:p>
        </w:tc>
      </w:tr>
      <w:tr w:rsidR="007F48ED" w14:paraId="319F4570" w14:textId="77777777" w:rsidTr="00351678">
        <w:tblPrEx>
          <w:tblCellMar>
            <w:left w:w="0" w:type="dxa"/>
            <w:right w:w="0" w:type="dxa"/>
          </w:tblCellMar>
        </w:tblPrEx>
        <w:trPr>
          <w:cantSplit/>
        </w:trPr>
        <w:tc>
          <w:tcPr>
            <w:tcW w:w="3472" w:type="dxa"/>
            <w:gridSpan w:val="2"/>
          </w:tcPr>
          <w:p w14:paraId="10DD8B53" w14:textId="3F7C137C" w:rsidR="007F48ED" w:rsidRDefault="00ED68E0">
            <w:pPr>
              <w:pStyle w:val="zSoquijlblJuge"/>
            </w:pPr>
            <w:r>
              <w:t>MÉDIATEUR</w:t>
            </w:r>
            <w:r w:rsidR="007F48ED">
              <w:t>-DÉCIDEUR :</w:t>
            </w:r>
          </w:p>
        </w:tc>
        <w:tc>
          <w:tcPr>
            <w:tcW w:w="6078" w:type="dxa"/>
            <w:gridSpan w:val="2"/>
          </w:tcPr>
          <w:p w14:paraId="1E36A687" w14:textId="24DA5295" w:rsidR="007F48ED" w:rsidRDefault="00A63221" w:rsidP="001A7067">
            <w:pPr>
              <w:pStyle w:val="zSoquijdatJuge"/>
            </w:pPr>
            <w:r>
              <w:t>Karine O’Driscoll</w:t>
            </w:r>
          </w:p>
        </w:tc>
      </w:tr>
      <w:tr w:rsidR="007F48ED" w14:paraId="5E7F7B49" w14:textId="77777777">
        <w:tc>
          <w:tcPr>
            <w:tcW w:w="9550" w:type="dxa"/>
            <w:gridSpan w:val="4"/>
          </w:tcPr>
          <w:p w14:paraId="46379C99" w14:textId="118DC3B5" w:rsidR="007F48ED" w:rsidRDefault="007F48ED" w:rsidP="000E4A80">
            <w:pPr>
              <w:ind w:left="14" w:right="-67"/>
            </w:pPr>
            <w:r>
              <w:t>______________________________________________________________________</w:t>
            </w:r>
          </w:p>
        </w:tc>
      </w:tr>
      <w:tr w:rsidR="007F48ED" w14:paraId="14925731" w14:textId="77777777">
        <w:tc>
          <w:tcPr>
            <w:tcW w:w="9550" w:type="dxa"/>
            <w:gridSpan w:val="4"/>
          </w:tcPr>
          <w:p w14:paraId="5BA99A53" w14:textId="77777777" w:rsidR="007F48ED" w:rsidRDefault="007F48ED">
            <w:pPr>
              <w:pStyle w:val="zSoquijlblTitrePartie"/>
            </w:pPr>
          </w:p>
        </w:tc>
      </w:tr>
      <w:tr w:rsidR="007F48ED" w14:paraId="094A539E" w14:textId="77777777">
        <w:tc>
          <w:tcPr>
            <w:tcW w:w="9550" w:type="dxa"/>
            <w:gridSpan w:val="4"/>
          </w:tcPr>
          <w:p w14:paraId="4D27C200" w14:textId="77777777" w:rsidR="007F48ED" w:rsidRDefault="007F48ED"/>
        </w:tc>
      </w:tr>
      <w:tr w:rsidR="007F48ED" w14:paraId="3A70E631" w14:textId="77777777" w:rsidTr="0056425C">
        <w:tc>
          <w:tcPr>
            <w:tcW w:w="2480" w:type="dxa"/>
          </w:tcPr>
          <w:p w14:paraId="0376912B" w14:textId="77777777" w:rsidR="007F48ED" w:rsidRDefault="00402B52">
            <w:pPr>
              <w:pStyle w:val="zSoquijlblNomPartieDem"/>
            </w:pPr>
            <w:r>
              <w:t>Travailleur :</w:t>
            </w:r>
          </w:p>
        </w:tc>
        <w:tc>
          <w:tcPr>
            <w:tcW w:w="7070" w:type="dxa"/>
            <w:gridSpan w:val="3"/>
          </w:tcPr>
          <w:p w14:paraId="76ABDE02" w14:textId="1A6D71FB" w:rsidR="007F48ED" w:rsidRPr="00B7282A" w:rsidRDefault="00B86B6A" w:rsidP="005426B2">
            <w:pPr>
              <w:pStyle w:val="zSoquijdatNomPartieDem"/>
            </w:pPr>
            <w:r>
              <w:t>Nicolas Giret</w:t>
            </w:r>
          </w:p>
        </w:tc>
      </w:tr>
      <w:tr w:rsidR="007F48ED" w14:paraId="46AF8E33" w14:textId="77777777">
        <w:tc>
          <w:tcPr>
            <w:tcW w:w="9550" w:type="dxa"/>
            <w:gridSpan w:val="4"/>
          </w:tcPr>
          <w:p w14:paraId="183BBC32" w14:textId="77777777" w:rsidR="007F48ED" w:rsidRPr="003F1654" w:rsidRDefault="007F48ED">
            <w:pPr>
              <w:rPr>
                <w:color w:val="4472C4"/>
              </w:rPr>
            </w:pPr>
          </w:p>
        </w:tc>
      </w:tr>
      <w:tr w:rsidR="007F48ED" w14:paraId="0985B07B" w14:textId="77777777">
        <w:tc>
          <w:tcPr>
            <w:tcW w:w="9550" w:type="dxa"/>
            <w:gridSpan w:val="4"/>
          </w:tcPr>
          <w:p w14:paraId="57EF11AB" w14:textId="77777777" w:rsidR="007F48ED" w:rsidRPr="003F1654" w:rsidRDefault="007F48ED">
            <w:pPr>
              <w:rPr>
                <w:color w:val="4472C4"/>
              </w:rPr>
            </w:pPr>
          </w:p>
        </w:tc>
      </w:tr>
      <w:tr w:rsidR="005426B2" w14:paraId="37D77828" w14:textId="77777777" w:rsidTr="0056425C">
        <w:tc>
          <w:tcPr>
            <w:tcW w:w="2480" w:type="dxa"/>
          </w:tcPr>
          <w:p w14:paraId="68D00C9D" w14:textId="77777777" w:rsidR="005426B2" w:rsidRDefault="00402B52">
            <w:pPr>
              <w:pStyle w:val="zSoquijlblNomPartieDef"/>
            </w:pPr>
            <w:r>
              <w:t>Employeur :</w:t>
            </w:r>
          </w:p>
        </w:tc>
        <w:tc>
          <w:tcPr>
            <w:tcW w:w="7070" w:type="dxa"/>
            <w:gridSpan w:val="3"/>
          </w:tcPr>
          <w:p w14:paraId="1080CA24" w14:textId="1B7F3CB9" w:rsidR="005426B2" w:rsidRPr="00B7282A" w:rsidRDefault="00B86B6A">
            <w:pPr>
              <w:pStyle w:val="zSoquijdatNomPartieDef"/>
            </w:pPr>
            <w:r>
              <w:t>Sobeys Capital incorporée</w:t>
            </w:r>
          </w:p>
        </w:tc>
      </w:tr>
      <w:tr w:rsidR="007F48ED" w14:paraId="06A189E4" w14:textId="77777777" w:rsidTr="0056425C">
        <w:tc>
          <w:tcPr>
            <w:tcW w:w="2480" w:type="dxa"/>
          </w:tcPr>
          <w:p w14:paraId="60296F65" w14:textId="77777777" w:rsidR="007F48ED" w:rsidRDefault="007F48ED">
            <w:pPr>
              <w:pStyle w:val="zSoquijlblNomPartieDef"/>
            </w:pPr>
          </w:p>
        </w:tc>
        <w:tc>
          <w:tcPr>
            <w:tcW w:w="7070" w:type="dxa"/>
            <w:gridSpan w:val="3"/>
          </w:tcPr>
          <w:p w14:paraId="30A35FDE" w14:textId="77777777" w:rsidR="007F48ED" w:rsidRDefault="007F48ED">
            <w:pPr>
              <w:pStyle w:val="zSoquijdatNomPartieDef"/>
            </w:pPr>
          </w:p>
        </w:tc>
      </w:tr>
      <w:tr w:rsidR="001F76D6" w14:paraId="1B945576" w14:textId="77777777">
        <w:tc>
          <w:tcPr>
            <w:tcW w:w="9550" w:type="dxa"/>
            <w:gridSpan w:val="4"/>
          </w:tcPr>
          <w:p w14:paraId="7E3392D1" w14:textId="77777777" w:rsidR="001F76D6" w:rsidRDefault="001F76D6">
            <w:pPr>
              <w:ind w:left="14" w:right="-95"/>
            </w:pPr>
          </w:p>
        </w:tc>
      </w:tr>
      <w:tr w:rsidR="007F48ED" w14:paraId="10796F85" w14:textId="77777777">
        <w:tc>
          <w:tcPr>
            <w:tcW w:w="9550" w:type="dxa"/>
            <w:gridSpan w:val="4"/>
          </w:tcPr>
          <w:p w14:paraId="249F5B2C" w14:textId="77777777" w:rsidR="007F48ED" w:rsidRDefault="007F48ED">
            <w:pPr>
              <w:ind w:left="14" w:right="-95"/>
            </w:pPr>
            <w:r>
              <w:t>______________________________________________________________________</w:t>
            </w:r>
          </w:p>
        </w:tc>
      </w:tr>
      <w:tr w:rsidR="007F48ED" w14:paraId="3439ECCD" w14:textId="77777777">
        <w:tc>
          <w:tcPr>
            <w:tcW w:w="9550" w:type="dxa"/>
            <w:gridSpan w:val="4"/>
          </w:tcPr>
          <w:p w14:paraId="1DB7EE33" w14:textId="77777777" w:rsidR="007F48ED" w:rsidRDefault="007F48ED">
            <w:pPr>
              <w:jc w:val="center"/>
            </w:pPr>
          </w:p>
        </w:tc>
      </w:tr>
      <w:tr w:rsidR="007F48ED" w14:paraId="471909B9" w14:textId="77777777">
        <w:tc>
          <w:tcPr>
            <w:tcW w:w="9550" w:type="dxa"/>
            <w:gridSpan w:val="4"/>
          </w:tcPr>
          <w:p w14:paraId="2D3E38E2" w14:textId="77777777" w:rsidR="007F48ED" w:rsidRPr="003F1654" w:rsidRDefault="007F48ED" w:rsidP="00402B52">
            <w:pPr>
              <w:pStyle w:val="zSoquijlblTypeDocument"/>
              <w:rPr>
                <w:color w:val="4472C4"/>
              </w:rPr>
            </w:pPr>
            <w:r>
              <w:t>DÉCISION</w:t>
            </w:r>
            <w:r w:rsidR="0056425C">
              <w:t xml:space="preserve"> </w:t>
            </w:r>
          </w:p>
        </w:tc>
      </w:tr>
      <w:tr w:rsidR="007F48ED" w14:paraId="0241A92D" w14:textId="77777777">
        <w:tc>
          <w:tcPr>
            <w:tcW w:w="9550" w:type="dxa"/>
            <w:gridSpan w:val="4"/>
          </w:tcPr>
          <w:p w14:paraId="2696CCF5" w14:textId="77777777" w:rsidR="007F48ED" w:rsidRDefault="007F48ED">
            <w:pPr>
              <w:ind w:left="14" w:right="-70"/>
            </w:pPr>
            <w:r>
              <w:t>______________________________________________________________________</w:t>
            </w:r>
          </w:p>
        </w:tc>
      </w:tr>
      <w:tr w:rsidR="007F48ED" w14:paraId="29AE75D4" w14:textId="77777777">
        <w:tc>
          <w:tcPr>
            <w:tcW w:w="9550" w:type="dxa"/>
            <w:gridSpan w:val="4"/>
          </w:tcPr>
          <w:p w14:paraId="2C03D27B" w14:textId="77777777" w:rsidR="007F48ED" w:rsidRDefault="007F48ED"/>
        </w:tc>
      </w:tr>
    </w:tbl>
    <w:p w14:paraId="24EB18E3" w14:textId="77777777" w:rsidR="00CF2E94" w:rsidRDefault="00EF2B5B" w:rsidP="00EF2B5B">
      <w:pPr>
        <w:pStyle w:val="Titre1"/>
        <w:rPr>
          <w:szCs w:val="24"/>
        </w:rPr>
      </w:pPr>
      <w:r>
        <w:t>Objet du litige</w:t>
      </w:r>
    </w:p>
    <w:p w14:paraId="6A269241" w14:textId="7BDEEFCC" w:rsidR="00EF2B5B" w:rsidRDefault="00A63221" w:rsidP="00351678">
      <w:pPr>
        <w:pStyle w:val="Paragraphe"/>
        <w:tabs>
          <w:tab w:val="left" w:pos="851"/>
        </w:tabs>
      </w:pPr>
      <w:r>
        <w:t xml:space="preserve">Le </w:t>
      </w:r>
      <w:r w:rsidR="00B86B6A">
        <w:t>20</w:t>
      </w:r>
      <w:r>
        <w:t xml:space="preserve"> </w:t>
      </w:r>
      <w:r w:rsidR="00B86B6A">
        <w:t>février</w:t>
      </w:r>
      <w:r>
        <w:t xml:space="preserve"> 202</w:t>
      </w:r>
      <w:r w:rsidR="00B86B6A">
        <w:t>4</w:t>
      </w:r>
      <w:r>
        <w:t>, l</w:t>
      </w:r>
      <w:r w:rsidR="00B86B6A">
        <w:t>e</w:t>
      </w:r>
      <w:r>
        <w:t xml:space="preserve"> travailleu</w:t>
      </w:r>
      <w:r w:rsidR="00B86B6A">
        <w:t>r</w:t>
      </w:r>
      <w:r>
        <w:t xml:space="preserve"> dépose un</w:t>
      </w:r>
      <w:r w:rsidR="00D60331">
        <w:t>e</w:t>
      </w:r>
      <w:r>
        <w:t xml:space="preserve"> plainte à la Commission</w:t>
      </w:r>
      <w:r w:rsidR="00D60331">
        <w:t xml:space="preserve"> des normes, </w:t>
      </w:r>
      <w:r w:rsidR="00D00414">
        <w:t xml:space="preserve">de l’équité, de la santé et de la sécurité du travail (la Commission) en vertu de l’article </w:t>
      </w:r>
      <w:r w:rsidR="00B86B6A">
        <w:t>3</w:t>
      </w:r>
      <w:r w:rsidR="00FE49B3">
        <w:t>2</w:t>
      </w:r>
      <w:r w:rsidR="00D00414">
        <w:t xml:space="preserve"> de la </w:t>
      </w:r>
      <w:r w:rsidR="00D00414" w:rsidRPr="00FE49B3">
        <w:rPr>
          <w:i/>
          <w:iCs/>
        </w:rPr>
        <w:t>Loi sur l</w:t>
      </w:r>
      <w:r w:rsidR="00FE49B3" w:rsidRPr="00FE49B3">
        <w:rPr>
          <w:i/>
          <w:iCs/>
        </w:rPr>
        <w:t>es accidents du travail et les maladies professionnelles</w:t>
      </w:r>
      <w:r w:rsidR="00D00414">
        <w:t xml:space="preserve"> (la </w:t>
      </w:r>
      <w:r w:rsidR="006F2A13">
        <w:t>L</w:t>
      </w:r>
      <w:r w:rsidR="00B86B6A">
        <w:t>ATMP</w:t>
      </w:r>
      <w:r w:rsidR="00D00414">
        <w:t>).</w:t>
      </w:r>
    </w:p>
    <w:p w14:paraId="12C225D4" w14:textId="5158B630" w:rsidR="00C529E8" w:rsidRDefault="00C31BAE" w:rsidP="00D45458">
      <w:pPr>
        <w:pStyle w:val="Paragraphe"/>
        <w:tabs>
          <w:tab w:val="left" w:pos="851"/>
        </w:tabs>
        <w:jc w:val="left"/>
      </w:pPr>
      <w:r>
        <w:t xml:space="preserve">Par sa plainte, le travailler </w:t>
      </w:r>
      <w:bookmarkStart w:id="1" w:name="_Hlk183685679"/>
      <w:r w:rsidR="00BB1CFB">
        <w:t>allègue l</w:t>
      </w:r>
      <w:r w:rsidR="005E6733">
        <w:t xml:space="preserve">a non-comptabilisation </w:t>
      </w:r>
      <w:r w:rsidR="00A95466">
        <w:t>par l’employeur</w:t>
      </w:r>
      <w:r w:rsidR="005E6733">
        <w:t xml:space="preserve"> de sa période d’arrêt de travail </w:t>
      </w:r>
      <w:r w:rsidR="00C51903">
        <w:t>au calcul</w:t>
      </w:r>
      <w:r w:rsidR="00A95466">
        <w:t xml:space="preserve"> </w:t>
      </w:r>
      <w:r w:rsidR="00C51903">
        <w:t>du « boni</w:t>
      </w:r>
      <w:r w:rsidR="00A95466">
        <w:t xml:space="preserve"> REER</w:t>
      </w:r>
      <w:r w:rsidR="00C51903">
        <w:t xml:space="preserve"> »</w:t>
      </w:r>
      <w:r w:rsidR="00A95466">
        <w:t xml:space="preserve"> </w:t>
      </w:r>
      <w:r w:rsidR="005D2BAC">
        <w:t>à la suite de l’exercice d’un droit</w:t>
      </w:r>
      <w:r w:rsidR="00956A6A">
        <w:t xml:space="preserve"> </w:t>
      </w:r>
      <w:r w:rsidR="00C51903">
        <w:t>ou d’une lésion professionnelle</w:t>
      </w:r>
      <w:r w:rsidR="00BF2FE6">
        <w:t>.</w:t>
      </w:r>
      <w:r w:rsidR="001E45FA">
        <w:t xml:space="preserve"> </w:t>
      </w:r>
    </w:p>
    <w:p w14:paraId="79558EE2" w14:textId="6AECA8FC" w:rsidR="00E251B0" w:rsidRDefault="004F3444" w:rsidP="00872AD2">
      <w:pPr>
        <w:pStyle w:val="Paragraphe"/>
        <w:tabs>
          <w:tab w:val="left" w:pos="851"/>
        </w:tabs>
        <w:jc w:val="left"/>
      </w:pPr>
      <w:r>
        <w:t xml:space="preserve">D’un commun accord, les parties </w:t>
      </w:r>
      <w:r w:rsidR="00E251B0">
        <w:t xml:space="preserve">renoncent à la tenue d’une audience. </w:t>
      </w:r>
      <w:r w:rsidR="00F321FF">
        <w:t>Elles produisent des admissions de faits conjointes et présentent leurs argumentations respectives par écrit.</w:t>
      </w:r>
    </w:p>
    <w:p w14:paraId="054EFFC6" w14:textId="52217F8F" w:rsidR="00F321FF" w:rsidRDefault="00746F7D" w:rsidP="00B92486">
      <w:pPr>
        <w:pStyle w:val="Paragraphe"/>
        <w:tabs>
          <w:tab w:val="left" w:pos="851"/>
        </w:tabs>
        <w:jc w:val="left"/>
      </w:pPr>
      <w:r>
        <w:t xml:space="preserve">Le 13 décembre 2024, </w:t>
      </w:r>
      <w:r w:rsidR="006200E1">
        <w:t>le</w:t>
      </w:r>
      <w:r w:rsidR="00562DA0">
        <w:t xml:space="preserve"> dossier est mis en délibéré</w:t>
      </w:r>
      <w:r w:rsidR="00C66A4D">
        <w:t>.</w:t>
      </w:r>
    </w:p>
    <w:bookmarkEnd w:id="1"/>
    <w:p w14:paraId="13AD4ACC" w14:textId="2621225E" w:rsidR="00ED68E0" w:rsidRDefault="006550EA" w:rsidP="00ED68E0">
      <w:pPr>
        <w:pStyle w:val="Titre1"/>
        <w:rPr>
          <w:szCs w:val="24"/>
        </w:rPr>
      </w:pPr>
      <w:r>
        <w:t>admission des faits</w:t>
      </w:r>
    </w:p>
    <w:p w14:paraId="7E4E524C" w14:textId="1E52B234" w:rsidR="00ED68E0" w:rsidRDefault="00945145" w:rsidP="00351678">
      <w:pPr>
        <w:pStyle w:val="Paragraphe"/>
        <w:tabs>
          <w:tab w:val="left" w:pos="851"/>
        </w:tabs>
      </w:pPr>
      <w:r>
        <w:t xml:space="preserve">Les parties </w:t>
      </w:r>
      <w:r w:rsidR="00BB4F23">
        <w:t xml:space="preserve">libellent </w:t>
      </w:r>
      <w:r>
        <w:t>les admissions conjointes suivantes :</w:t>
      </w:r>
    </w:p>
    <w:p w14:paraId="0F4F422B" w14:textId="5F342681" w:rsidR="00E10C5B" w:rsidRPr="00BB4F23" w:rsidRDefault="000E3485" w:rsidP="00E10C5B">
      <w:pPr>
        <w:pStyle w:val="Paragraphe"/>
        <w:numPr>
          <w:ilvl w:val="0"/>
          <w:numId w:val="12"/>
        </w:numPr>
        <w:tabs>
          <w:tab w:val="left" w:pos="851"/>
        </w:tabs>
        <w:rPr>
          <w:i/>
          <w:iCs/>
        </w:rPr>
      </w:pPr>
      <w:r w:rsidRPr="00BB4F23">
        <w:rPr>
          <w:i/>
          <w:iCs/>
        </w:rPr>
        <w:t xml:space="preserve"> </w:t>
      </w:r>
      <w:r w:rsidR="00366B52" w:rsidRPr="00BB4F23">
        <w:rPr>
          <w:i/>
          <w:iCs/>
        </w:rPr>
        <w:t>Le travailleur est employé par Sobeys à son entrepôt de Boucherville depuis le 31 mai 2000;</w:t>
      </w:r>
    </w:p>
    <w:p w14:paraId="6F3A78A6" w14:textId="2BB66503" w:rsidR="00AB7A45" w:rsidRPr="00BB4F23" w:rsidRDefault="00366B52" w:rsidP="00E10C5B">
      <w:pPr>
        <w:pStyle w:val="Paragraphe"/>
        <w:numPr>
          <w:ilvl w:val="0"/>
          <w:numId w:val="12"/>
        </w:numPr>
        <w:tabs>
          <w:tab w:val="left" w:pos="851"/>
        </w:tabs>
        <w:rPr>
          <w:i/>
          <w:iCs/>
        </w:rPr>
      </w:pPr>
      <w:r w:rsidRPr="00BB4F23">
        <w:rPr>
          <w:i/>
          <w:iCs/>
        </w:rPr>
        <w:t>En tout temps</w:t>
      </w:r>
      <w:r w:rsidR="009014AD" w:rsidRPr="00BB4F23">
        <w:rPr>
          <w:i/>
          <w:iCs/>
        </w:rPr>
        <w:t xml:space="preserve"> utile à sa plainte, le travailleur était syndiqué et représenté par les TUAC Section Locale 501 :</w:t>
      </w:r>
    </w:p>
    <w:p w14:paraId="660A9C10" w14:textId="7C9F30D3" w:rsidR="00AB7A45" w:rsidRPr="00BB4F23" w:rsidRDefault="009014AD" w:rsidP="00E10C5B">
      <w:pPr>
        <w:pStyle w:val="Paragraphe"/>
        <w:numPr>
          <w:ilvl w:val="0"/>
          <w:numId w:val="12"/>
        </w:numPr>
        <w:tabs>
          <w:tab w:val="left" w:pos="851"/>
        </w:tabs>
        <w:rPr>
          <w:i/>
          <w:iCs/>
        </w:rPr>
      </w:pPr>
      <w:r w:rsidRPr="00BB4F23">
        <w:rPr>
          <w:i/>
          <w:iCs/>
        </w:rPr>
        <w:t>Le 20 novembre 2022, le travailleur subit une lésion professionnelle</w:t>
      </w:r>
      <w:r w:rsidR="00E967B6" w:rsidRPr="00BB4F23">
        <w:rPr>
          <w:i/>
          <w:iCs/>
        </w:rPr>
        <w:t>. Sa réclamation est acceptée par la CNESST le 8 décembre 2022;</w:t>
      </w:r>
    </w:p>
    <w:p w14:paraId="685608F7" w14:textId="042A557D" w:rsidR="008A3B81" w:rsidRPr="00BB4F23" w:rsidRDefault="00E967B6" w:rsidP="00E10C5B">
      <w:pPr>
        <w:pStyle w:val="Paragraphe"/>
        <w:numPr>
          <w:ilvl w:val="0"/>
          <w:numId w:val="12"/>
        </w:numPr>
        <w:tabs>
          <w:tab w:val="left" w:pos="851"/>
        </w:tabs>
        <w:rPr>
          <w:i/>
          <w:iCs/>
        </w:rPr>
      </w:pPr>
      <w:r w:rsidRPr="00BB4F23">
        <w:rPr>
          <w:i/>
          <w:iCs/>
        </w:rPr>
        <w:t>Le travailleur a été en arrêt de travail et a reçu sa période obligatoire des 14 premiers jours (art. 60 LATMP) du 21 novembre au 4 décembre 2022;</w:t>
      </w:r>
    </w:p>
    <w:p w14:paraId="472479BE" w14:textId="3F435DFD" w:rsidR="00C7003B" w:rsidRPr="00BB4F23" w:rsidRDefault="005B59F4" w:rsidP="00E10C5B">
      <w:pPr>
        <w:pStyle w:val="Paragraphe"/>
        <w:numPr>
          <w:ilvl w:val="0"/>
          <w:numId w:val="12"/>
        </w:numPr>
        <w:tabs>
          <w:tab w:val="left" w:pos="851"/>
        </w:tabs>
        <w:rPr>
          <w:i/>
          <w:iCs/>
        </w:rPr>
      </w:pPr>
      <w:r w:rsidRPr="00BB4F23">
        <w:rPr>
          <w:i/>
          <w:iCs/>
        </w:rPr>
        <w:t xml:space="preserve">Le travailleur a été en arrêt de travail et a reçu </w:t>
      </w:r>
      <w:r w:rsidR="000E7D57" w:rsidRPr="00BB4F23">
        <w:rPr>
          <w:i/>
          <w:iCs/>
        </w:rPr>
        <w:t>de l’indemnité de remplacement du</w:t>
      </w:r>
      <w:r w:rsidR="004E2E67" w:rsidRPr="00BB4F23">
        <w:rPr>
          <w:i/>
          <w:iCs/>
        </w:rPr>
        <w:t xml:space="preserve"> revenu ( IRR) du 5 décembre 2022 au 11 mars 2023, payée par la CNESST;</w:t>
      </w:r>
    </w:p>
    <w:p w14:paraId="04D05FB0" w14:textId="41D66CBB" w:rsidR="00457649" w:rsidRPr="00BB4F23" w:rsidRDefault="00DC44A3" w:rsidP="00E10C5B">
      <w:pPr>
        <w:pStyle w:val="Paragraphe"/>
        <w:numPr>
          <w:ilvl w:val="0"/>
          <w:numId w:val="12"/>
        </w:numPr>
        <w:tabs>
          <w:tab w:val="left" w:pos="851"/>
        </w:tabs>
        <w:rPr>
          <w:i/>
          <w:iCs/>
        </w:rPr>
      </w:pPr>
      <w:r w:rsidRPr="00BB4F23">
        <w:rPr>
          <w:i/>
          <w:iCs/>
        </w:rPr>
        <w:t xml:space="preserve">Compte tenu de l’horaire régulier du travailleur, la période où il a été en </w:t>
      </w:r>
      <w:r w:rsidR="008E0932" w:rsidRPr="00BB4F23">
        <w:rPr>
          <w:i/>
          <w:iCs/>
        </w:rPr>
        <w:t>arrêt</w:t>
      </w:r>
      <w:r w:rsidRPr="00BB4F23">
        <w:rPr>
          <w:i/>
          <w:iCs/>
        </w:rPr>
        <w:t xml:space="preserve"> de travail et a </w:t>
      </w:r>
      <w:r w:rsidR="008E0932" w:rsidRPr="00BB4F23">
        <w:rPr>
          <w:i/>
          <w:iCs/>
        </w:rPr>
        <w:t>reçu</w:t>
      </w:r>
      <w:r w:rsidRPr="00BB4F23">
        <w:rPr>
          <w:i/>
          <w:iCs/>
        </w:rPr>
        <w:t xml:space="preserve"> de l’IRR correspond à 624 heures;</w:t>
      </w:r>
    </w:p>
    <w:p w14:paraId="2E2FC66B" w14:textId="678F268A" w:rsidR="00457649" w:rsidRPr="00BB4F23" w:rsidRDefault="008E0932" w:rsidP="00E10C5B">
      <w:pPr>
        <w:pStyle w:val="Paragraphe"/>
        <w:numPr>
          <w:ilvl w:val="0"/>
          <w:numId w:val="12"/>
        </w:numPr>
        <w:tabs>
          <w:tab w:val="left" w:pos="851"/>
        </w:tabs>
        <w:rPr>
          <w:i/>
          <w:iCs/>
        </w:rPr>
      </w:pPr>
      <w:r w:rsidRPr="00BB4F23">
        <w:rPr>
          <w:i/>
          <w:iCs/>
        </w:rPr>
        <w:t xml:space="preserve">Le travailleur a été payé par l’employeur en assignation temporaire du 12 mars 2023 au 17 juin 2023; </w:t>
      </w:r>
    </w:p>
    <w:p w14:paraId="1857F437" w14:textId="05F4553E" w:rsidR="00457649" w:rsidRPr="00BB4F23" w:rsidRDefault="00C365AD" w:rsidP="00E10C5B">
      <w:pPr>
        <w:pStyle w:val="Paragraphe"/>
        <w:numPr>
          <w:ilvl w:val="0"/>
          <w:numId w:val="12"/>
        </w:numPr>
        <w:tabs>
          <w:tab w:val="left" w:pos="851"/>
        </w:tabs>
        <w:rPr>
          <w:i/>
          <w:iCs/>
        </w:rPr>
      </w:pPr>
      <w:r w:rsidRPr="00BB4F23">
        <w:rPr>
          <w:i/>
          <w:iCs/>
        </w:rPr>
        <w:t>Le travailleur a été en retour au travail progressif payé par l’employeur du 18 juin 2023 au 12 juillet 2023;</w:t>
      </w:r>
    </w:p>
    <w:p w14:paraId="794754BF" w14:textId="50FF7BB4" w:rsidR="00457649" w:rsidRPr="00BB4F23" w:rsidRDefault="00AB1B2F" w:rsidP="00E10C5B">
      <w:pPr>
        <w:pStyle w:val="Paragraphe"/>
        <w:numPr>
          <w:ilvl w:val="0"/>
          <w:numId w:val="12"/>
        </w:numPr>
        <w:tabs>
          <w:tab w:val="left" w:pos="851"/>
        </w:tabs>
        <w:rPr>
          <w:i/>
          <w:iCs/>
        </w:rPr>
      </w:pPr>
      <w:r w:rsidRPr="00BB4F23">
        <w:rPr>
          <w:i/>
          <w:iCs/>
        </w:rPr>
        <w:t>Le travailleur a repris son emploi pré-lésionnel à temps plein selon son horaire régulier le 13 juillet 2023;</w:t>
      </w:r>
    </w:p>
    <w:p w14:paraId="791C62F5" w14:textId="67657EDE" w:rsidR="00367EDB" w:rsidRPr="00BB4F23" w:rsidRDefault="00457649" w:rsidP="00E10C5B">
      <w:pPr>
        <w:pStyle w:val="Paragraphe"/>
        <w:numPr>
          <w:ilvl w:val="0"/>
          <w:numId w:val="12"/>
        </w:numPr>
        <w:tabs>
          <w:tab w:val="left" w:pos="851"/>
        </w:tabs>
        <w:rPr>
          <w:i/>
          <w:iCs/>
        </w:rPr>
      </w:pPr>
      <w:r w:rsidRPr="00BB4F23">
        <w:rPr>
          <w:i/>
          <w:iCs/>
        </w:rPr>
        <w:t xml:space="preserve"> </w:t>
      </w:r>
      <w:r w:rsidR="004C6E79" w:rsidRPr="00BB4F23">
        <w:rPr>
          <w:i/>
          <w:iCs/>
        </w:rPr>
        <w:t xml:space="preserve">Le travailleur a été consolidé </w:t>
      </w:r>
      <w:r w:rsidR="00A061FA" w:rsidRPr="00BB4F23">
        <w:rPr>
          <w:i/>
          <w:iCs/>
        </w:rPr>
        <w:t>par r</w:t>
      </w:r>
      <w:r w:rsidR="004C6E79" w:rsidRPr="00BB4F23">
        <w:rPr>
          <w:i/>
          <w:iCs/>
        </w:rPr>
        <w:t>apport final le 20 juillet 2023, sans atteinte permanente ni limitations fonctionnelles;</w:t>
      </w:r>
    </w:p>
    <w:p w14:paraId="46C6F7C2" w14:textId="17BA3A22" w:rsidR="00820DF3" w:rsidRPr="00BB4F23" w:rsidRDefault="009B3153" w:rsidP="00E10C5B">
      <w:pPr>
        <w:pStyle w:val="Paragraphe"/>
        <w:numPr>
          <w:ilvl w:val="0"/>
          <w:numId w:val="12"/>
        </w:numPr>
        <w:tabs>
          <w:tab w:val="left" w:pos="851"/>
        </w:tabs>
        <w:rPr>
          <w:i/>
          <w:iCs/>
        </w:rPr>
      </w:pPr>
      <w:r w:rsidRPr="00BB4F23">
        <w:rPr>
          <w:i/>
          <w:iCs/>
        </w:rPr>
        <w:t xml:space="preserve"> </w:t>
      </w:r>
      <w:r w:rsidR="00A061FA" w:rsidRPr="00BB4F23">
        <w:rPr>
          <w:i/>
          <w:iCs/>
        </w:rPr>
        <w:t>Le 25 janvier 2024, une lettre d’entente est signée entre le syndicat et l’employeur modifiant la convention collective alors en vigueur et prévoyant des ajustements au programme REER collectif (lettre d’entente produite);</w:t>
      </w:r>
    </w:p>
    <w:p w14:paraId="5EFC0CA5" w14:textId="6B446376" w:rsidR="00837523" w:rsidRPr="00BB4F23" w:rsidRDefault="009B3153" w:rsidP="00E10C5B">
      <w:pPr>
        <w:pStyle w:val="Paragraphe"/>
        <w:numPr>
          <w:ilvl w:val="0"/>
          <w:numId w:val="12"/>
        </w:numPr>
        <w:tabs>
          <w:tab w:val="left" w:pos="851"/>
        </w:tabs>
        <w:rPr>
          <w:i/>
          <w:iCs/>
        </w:rPr>
      </w:pPr>
      <w:r w:rsidRPr="00BB4F23">
        <w:rPr>
          <w:i/>
          <w:iCs/>
        </w:rPr>
        <w:t xml:space="preserve"> </w:t>
      </w:r>
      <w:r w:rsidR="00E62717" w:rsidRPr="00BB4F23">
        <w:rPr>
          <w:i/>
          <w:iCs/>
        </w:rPr>
        <w:t>Cette lettre s’applique à l’année fiscale de Sobeys (mai à mai) et est rétroactive à l’année fiscale s’étendant de mai 2022 à mai 2023;</w:t>
      </w:r>
    </w:p>
    <w:p w14:paraId="2C5CA02A" w14:textId="20EBE66A" w:rsidR="001A3545" w:rsidRPr="00BB4F23" w:rsidRDefault="009B3153" w:rsidP="00E10C5B">
      <w:pPr>
        <w:pStyle w:val="Paragraphe"/>
        <w:numPr>
          <w:ilvl w:val="0"/>
          <w:numId w:val="12"/>
        </w:numPr>
        <w:tabs>
          <w:tab w:val="left" w:pos="851"/>
        </w:tabs>
        <w:rPr>
          <w:i/>
          <w:iCs/>
        </w:rPr>
      </w:pPr>
      <w:r w:rsidRPr="00BB4F23">
        <w:rPr>
          <w:i/>
          <w:iCs/>
        </w:rPr>
        <w:t xml:space="preserve"> </w:t>
      </w:r>
      <w:r w:rsidR="001A731A" w:rsidRPr="00BB4F23">
        <w:rPr>
          <w:i/>
          <w:iCs/>
        </w:rPr>
        <w:t>Pour l’année fiscale 2022-2023, le montant maximal correspondant à 2000 heures travaillées ou non travaillées payées par l’employeur cumulées au sens</w:t>
      </w:r>
      <w:r w:rsidR="00456BDA" w:rsidRPr="00BB4F23">
        <w:rPr>
          <w:i/>
          <w:iCs/>
        </w:rPr>
        <w:t xml:space="preserve"> de la lettre d’entente était de 814,13 $;</w:t>
      </w:r>
    </w:p>
    <w:p w14:paraId="0524397A" w14:textId="7918E6F3" w:rsidR="009B3153" w:rsidRPr="00BB4F23" w:rsidRDefault="009B3153" w:rsidP="00E10C5B">
      <w:pPr>
        <w:pStyle w:val="Paragraphe"/>
        <w:numPr>
          <w:ilvl w:val="0"/>
          <w:numId w:val="12"/>
        </w:numPr>
        <w:tabs>
          <w:tab w:val="left" w:pos="851"/>
        </w:tabs>
        <w:rPr>
          <w:i/>
          <w:iCs/>
        </w:rPr>
      </w:pPr>
      <w:r w:rsidRPr="00BB4F23">
        <w:rPr>
          <w:i/>
          <w:iCs/>
        </w:rPr>
        <w:t xml:space="preserve"> </w:t>
      </w:r>
      <w:r w:rsidR="006B60CE" w:rsidRPr="00BB4F23">
        <w:rPr>
          <w:i/>
          <w:iCs/>
        </w:rPr>
        <w:t xml:space="preserve">Pour cette année fiscale, le travailleur s’est vu crédité </w:t>
      </w:r>
      <w:r w:rsidR="0014758A">
        <w:rPr>
          <w:i/>
          <w:iCs/>
        </w:rPr>
        <w:t>de 1623,</w:t>
      </w:r>
      <w:r w:rsidR="006B60CE" w:rsidRPr="00BB4F23">
        <w:rPr>
          <w:i/>
          <w:iCs/>
        </w:rPr>
        <w:t>07 heures, correspondant à un versement de 660,69 $;</w:t>
      </w:r>
    </w:p>
    <w:p w14:paraId="5F3F8B94" w14:textId="699EDC22" w:rsidR="00CA7EB4" w:rsidRPr="00BB4F23" w:rsidRDefault="00785EC3" w:rsidP="00E10C5B">
      <w:pPr>
        <w:pStyle w:val="Paragraphe"/>
        <w:numPr>
          <w:ilvl w:val="0"/>
          <w:numId w:val="12"/>
        </w:numPr>
        <w:tabs>
          <w:tab w:val="left" w:pos="851"/>
        </w:tabs>
        <w:rPr>
          <w:i/>
          <w:iCs/>
        </w:rPr>
      </w:pPr>
      <w:r w:rsidRPr="00BB4F23">
        <w:rPr>
          <w:i/>
          <w:iCs/>
        </w:rPr>
        <w:t xml:space="preserve"> </w:t>
      </w:r>
      <w:r w:rsidR="00CA7EB4" w:rsidRPr="00BB4F23">
        <w:rPr>
          <w:i/>
          <w:iCs/>
        </w:rPr>
        <w:t>Pour recevoir le plein montant, il manquait au travailleur 376.93 heures travaillées ou non travaillées payées par l’employeur, cumulées au sens de la lettre d’entente, correspondant à un montant additionnel de 153</w:t>
      </w:r>
      <w:r w:rsidRPr="00BB4F23">
        <w:rPr>
          <w:i/>
          <w:iCs/>
        </w:rPr>
        <w:t>,44 $;</w:t>
      </w:r>
    </w:p>
    <w:p w14:paraId="77C773B0" w14:textId="4B60FACD" w:rsidR="00785EC3" w:rsidRPr="00BB4F23" w:rsidRDefault="00785EC3" w:rsidP="00E10C5B">
      <w:pPr>
        <w:pStyle w:val="Paragraphe"/>
        <w:numPr>
          <w:ilvl w:val="0"/>
          <w:numId w:val="12"/>
        </w:numPr>
        <w:tabs>
          <w:tab w:val="left" w:pos="851"/>
        </w:tabs>
        <w:rPr>
          <w:i/>
          <w:iCs/>
        </w:rPr>
      </w:pPr>
      <w:r w:rsidRPr="00BB4F23">
        <w:rPr>
          <w:i/>
          <w:iCs/>
        </w:rPr>
        <w:t xml:space="preserve"> Les heures versées en IRR, correspondant à la période du 5 décembre 2022</w:t>
      </w:r>
      <w:r w:rsidR="008D5DDE" w:rsidRPr="00BB4F23">
        <w:rPr>
          <w:i/>
          <w:iCs/>
        </w:rPr>
        <w:t xml:space="preserve"> au 11 mars 2023, n’ont pas été prises en considération par Sobeys aux fins de créditer au travailleur des heures travaillées, ou non travaillées payée</w:t>
      </w:r>
      <w:r w:rsidR="0014758A">
        <w:rPr>
          <w:i/>
          <w:iCs/>
        </w:rPr>
        <w:t>s</w:t>
      </w:r>
      <w:r w:rsidR="008D5DDE" w:rsidRPr="00BB4F23">
        <w:rPr>
          <w:i/>
          <w:iCs/>
        </w:rPr>
        <w:t xml:space="preserve"> par l’employeur, cumulées au sens de la lettre d’entente;</w:t>
      </w:r>
    </w:p>
    <w:p w14:paraId="404C2741" w14:textId="6206CB7D" w:rsidR="008D5DDE" w:rsidRPr="00BB4F23" w:rsidRDefault="008D5DDE" w:rsidP="00E10C5B">
      <w:pPr>
        <w:pStyle w:val="Paragraphe"/>
        <w:numPr>
          <w:ilvl w:val="0"/>
          <w:numId w:val="12"/>
        </w:numPr>
        <w:tabs>
          <w:tab w:val="left" w:pos="851"/>
        </w:tabs>
        <w:rPr>
          <w:i/>
          <w:iCs/>
        </w:rPr>
      </w:pPr>
      <w:r w:rsidRPr="00BB4F23">
        <w:rPr>
          <w:i/>
          <w:iCs/>
        </w:rPr>
        <w:t xml:space="preserve"> Le 20 février 2024, le travailleur dépose une plainte en vertu de l’article 32 de LATMP auprès de la CNESST, alléguant que l’employeur n’a pas comptabilisé les heures pendant lesquelles il était en arrêt de travail et bénéficiait de l’IRR;</w:t>
      </w:r>
    </w:p>
    <w:p w14:paraId="022968D5" w14:textId="50010E12" w:rsidR="008D5DDE" w:rsidRPr="00BB4F23" w:rsidRDefault="008D5DDE" w:rsidP="00E10C5B">
      <w:pPr>
        <w:pStyle w:val="Paragraphe"/>
        <w:numPr>
          <w:ilvl w:val="0"/>
          <w:numId w:val="12"/>
        </w:numPr>
        <w:tabs>
          <w:tab w:val="left" w:pos="851"/>
        </w:tabs>
        <w:rPr>
          <w:i/>
          <w:iCs/>
        </w:rPr>
      </w:pPr>
      <w:r w:rsidRPr="00BB4F23">
        <w:rPr>
          <w:i/>
          <w:iCs/>
        </w:rPr>
        <w:t xml:space="preserve"> Les parties admettent que le travailleur en est un au sens de la LATMP, qu’il a été victime d’une lésion professionnelle, qu’aucun grief ne porte sur le même litige </w:t>
      </w:r>
      <w:r w:rsidR="00313A28" w:rsidRPr="00BB4F23">
        <w:rPr>
          <w:i/>
          <w:iCs/>
        </w:rPr>
        <w:t>et que le délai pour le dépôt de la plainte a été respecté.</w:t>
      </w:r>
    </w:p>
    <w:p w14:paraId="1A55B3A7" w14:textId="4B0DF8DA" w:rsidR="00BB68AF" w:rsidRDefault="00693BD2" w:rsidP="00BB68AF">
      <w:pPr>
        <w:pStyle w:val="Titre1"/>
        <w:rPr>
          <w:szCs w:val="24"/>
        </w:rPr>
      </w:pPr>
      <w:r>
        <w:t>argumentation écrite</w:t>
      </w:r>
      <w:r w:rsidR="00E53989">
        <w:t xml:space="preserve"> du travailleur</w:t>
      </w:r>
    </w:p>
    <w:p w14:paraId="1CCCA047" w14:textId="799D754D" w:rsidR="000E1F55" w:rsidRPr="00D94268" w:rsidRDefault="009D6D30" w:rsidP="00AD55ED">
      <w:pPr>
        <w:pStyle w:val="Paragraphe"/>
        <w:tabs>
          <w:tab w:val="left" w:pos="851"/>
        </w:tabs>
        <w:rPr>
          <w:i/>
          <w:iCs/>
        </w:rPr>
      </w:pPr>
      <w:r>
        <w:t xml:space="preserve">Le représentant </w:t>
      </w:r>
      <w:r w:rsidR="00D94268">
        <w:t>du</w:t>
      </w:r>
      <w:r w:rsidR="00233D58">
        <w:t xml:space="preserve"> </w:t>
      </w:r>
      <w:r w:rsidR="009F0AC9">
        <w:t>travailleur</w:t>
      </w:r>
      <w:r w:rsidR="00FA343D">
        <w:t xml:space="preserve"> mentionne que le travailleur</w:t>
      </w:r>
      <w:r w:rsidR="00233D58">
        <w:t xml:space="preserve"> a subi une lésion professionnelle. Pendant la période concernée, s’étalant du 20 novembre 2022 au 20 juillet 2023, i</w:t>
      </w:r>
      <w:r w:rsidR="009F0AC9">
        <w:t>l était en arrêt de travail complet du 5 décembre 2022 au 11 mars 2023.</w:t>
      </w:r>
    </w:p>
    <w:p w14:paraId="53EA3950" w14:textId="55335D78" w:rsidR="009F0AC9" w:rsidRPr="006D52DA" w:rsidRDefault="00865F4B" w:rsidP="001E68EC">
      <w:pPr>
        <w:pStyle w:val="Paragraphe"/>
        <w:tabs>
          <w:tab w:val="left" w:pos="851"/>
        </w:tabs>
        <w:rPr>
          <w:i/>
          <w:iCs/>
        </w:rPr>
      </w:pPr>
      <w:r>
        <w:t>En février 2024, conformément à la lettre d’entente applicable, l’employeur verse au travailleur un montant de 660,69 $</w:t>
      </w:r>
      <w:r w:rsidR="006D52DA">
        <w:t xml:space="preserve"> à titre de « boni REER » pour l’année fiscale 2022-2023.</w:t>
      </w:r>
    </w:p>
    <w:p w14:paraId="3C75FF4D" w14:textId="56927915" w:rsidR="006D52DA" w:rsidRPr="004C6B67" w:rsidRDefault="004D1C6C" w:rsidP="001E68EC">
      <w:pPr>
        <w:pStyle w:val="Paragraphe"/>
        <w:tabs>
          <w:tab w:val="left" w:pos="851"/>
        </w:tabs>
        <w:rPr>
          <w:i/>
          <w:iCs/>
        </w:rPr>
      </w:pPr>
      <w:r>
        <w:t>Le montant maximal du « boni REER » pour l’année fiscale 2022-2023 correspond</w:t>
      </w:r>
      <w:r w:rsidR="004C6B67">
        <w:t xml:space="preserve"> </w:t>
      </w:r>
      <w:r>
        <w:t>à 814,13 $</w:t>
      </w:r>
      <w:r w:rsidR="004C6B67">
        <w:t>.</w:t>
      </w:r>
    </w:p>
    <w:p w14:paraId="32B9D5CB" w14:textId="79F7800D" w:rsidR="004C6B67" w:rsidRPr="004C6B67" w:rsidRDefault="004C6B67" w:rsidP="001E68EC">
      <w:pPr>
        <w:pStyle w:val="Paragraphe"/>
        <w:tabs>
          <w:tab w:val="left" w:pos="851"/>
        </w:tabs>
        <w:rPr>
          <w:i/>
          <w:iCs/>
        </w:rPr>
      </w:pPr>
      <w:r>
        <w:t xml:space="preserve">L’écart entre le montant reçu par le </w:t>
      </w:r>
      <w:r w:rsidR="00954466">
        <w:t>travailleur</w:t>
      </w:r>
      <w:r>
        <w:t xml:space="preserve"> et le montant maximal</w:t>
      </w:r>
      <w:r w:rsidR="00A86390">
        <w:t xml:space="preserve"> </w:t>
      </w:r>
      <w:r>
        <w:t>découle de l’exclusion par l’employeur de la période du 5 décembre 2022 au 11 mars</w:t>
      </w:r>
      <w:r w:rsidR="00BF34EA">
        <w:t xml:space="preserve"> </w:t>
      </w:r>
      <w:r>
        <w:t>2023, comme l’indiquent les admissions de faits aux paragraphes 5,6,15 et 16.</w:t>
      </w:r>
    </w:p>
    <w:p w14:paraId="78848B63" w14:textId="4949DB32" w:rsidR="004C6B67" w:rsidRPr="00CE5571" w:rsidRDefault="003F2AD2" w:rsidP="001E68EC">
      <w:pPr>
        <w:pStyle w:val="Paragraphe"/>
        <w:tabs>
          <w:tab w:val="left" w:pos="851"/>
        </w:tabs>
        <w:rPr>
          <w:i/>
          <w:iCs/>
        </w:rPr>
      </w:pPr>
      <w:r>
        <w:t>Selon le représentant d</w:t>
      </w:r>
      <w:r w:rsidR="006208AE">
        <w:t>u travailleur, s</w:t>
      </w:r>
      <w:r w:rsidR="00CE5571">
        <w:t>i cette période avait été prise en compte par l’employeur, le travailleur aurait eu droit au montant maximal.</w:t>
      </w:r>
    </w:p>
    <w:p w14:paraId="6187EC75" w14:textId="3F7CC754" w:rsidR="00CE5571" w:rsidRPr="00AC5A1B" w:rsidRDefault="0029041B" w:rsidP="001E68EC">
      <w:pPr>
        <w:pStyle w:val="Paragraphe"/>
        <w:tabs>
          <w:tab w:val="left" w:pos="851"/>
        </w:tabs>
        <w:rPr>
          <w:i/>
          <w:iCs/>
        </w:rPr>
      </w:pPr>
      <w:r>
        <w:t>Il mentionne que</w:t>
      </w:r>
      <w:r w:rsidR="00C02613">
        <w:t xml:space="preserve"> la Commission doit déterminer si </w:t>
      </w:r>
      <w:r w:rsidR="008E79DC">
        <w:t xml:space="preserve">le travailleur </w:t>
      </w:r>
      <w:r w:rsidR="005A3840">
        <w:t xml:space="preserve">a </w:t>
      </w:r>
      <w:r w:rsidR="008E79DC">
        <w:t>été victime d’une mesure discriminatoire ou d’une sanction lors du calcul du « boni REER » auquel il avait droit à la suite de son retour au travail</w:t>
      </w:r>
      <w:r w:rsidR="002E7062">
        <w:t>.</w:t>
      </w:r>
    </w:p>
    <w:p w14:paraId="00A5C8FE" w14:textId="6AD872B8" w:rsidR="00AC5A1B" w:rsidRPr="00AC5A1B" w:rsidRDefault="00C55F95" w:rsidP="001E68EC">
      <w:pPr>
        <w:pStyle w:val="Paragraphe"/>
        <w:tabs>
          <w:tab w:val="left" w:pos="851"/>
        </w:tabs>
        <w:rPr>
          <w:i/>
          <w:iCs/>
        </w:rPr>
      </w:pPr>
      <w:r>
        <w:t>Il soumet que</w:t>
      </w:r>
      <w:r w:rsidR="00AC5A1B">
        <w:t xml:space="preserve"> </w:t>
      </w:r>
      <w:r w:rsidR="005A3840">
        <w:t>la Commission doit décider</w:t>
      </w:r>
      <w:r w:rsidR="00AC5A1B">
        <w:t xml:space="preserve"> si l’employeur a contrevenu ou non à l’article 242 de la loi lors du calcul du « boni REER ».</w:t>
      </w:r>
    </w:p>
    <w:p w14:paraId="22182F6D" w14:textId="32397D04" w:rsidR="00B8185D" w:rsidRPr="00B8185D" w:rsidRDefault="00B8185D" w:rsidP="001E68EC">
      <w:pPr>
        <w:pStyle w:val="Paragraphe"/>
        <w:tabs>
          <w:tab w:val="left" w:pos="851"/>
        </w:tabs>
        <w:rPr>
          <w:i/>
          <w:iCs/>
        </w:rPr>
      </w:pPr>
      <w:r>
        <w:t xml:space="preserve">Le </w:t>
      </w:r>
      <w:r w:rsidR="00BC0DBA">
        <w:t xml:space="preserve">représentant du travailleur mentionne que le </w:t>
      </w:r>
      <w:r>
        <w:t xml:space="preserve">débat relatif à l’application de l’article 242 n’est pas nouveau. En l’absence de lignes directrices claires des tribunaux supérieurs, deux approches s’offrent </w:t>
      </w:r>
      <w:r w:rsidR="00844199">
        <w:t>à la Commission</w:t>
      </w:r>
      <w:r>
        <w:t>.</w:t>
      </w:r>
    </w:p>
    <w:p w14:paraId="33656F0A" w14:textId="77777777" w:rsidR="005857E6" w:rsidRPr="005857E6" w:rsidRDefault="00844199" w:rsidP="001E68EC">
      <w:pPr>
        <w:pStyle w:val="Paragraphe"/>
        <w:tabs>
          <w:tab w:val="left" w:pos="851"/>
        </w:tabs>
        <w:rPr>
          <w:i/>
          <w:iCs/>
        </w:rPr>
      </w:pPr>
      <w:r>
        <w:t>Il soumet</w:t>
      </w:r>
      <w:r w:rsidR="00B8185D">
        <w:t xml:space="preserve"> que l’approch</w:t>
      </w:r>
      <w:r w:rsidR="00357278">
        <w:t xml:space="preserve">e appropriée est celle alignée avec l’article 1 de la LATMP : </w:t>
      </w:r>
    </w:p>
    <w:p w14:paraId="754D7195" w14:textId="6DECC63C" w:rsidR="00B8185D" w:rsidRPr="00BD22EF" w:rsidRDefault="007B07F0" w:rsidP="005857E6">
      <w:pPr>
        <w:pStyle w:val="Citationenretrait"/>
        <w:rPr>
          <w:i/>
          <w:iCs/>
        </w:rPr>
      </w:pPr>
      <w:r>
        <w:t>1.</w:t>
      </w:r>
      <w:r w:rsidR="00357278">
        <w:t xml:space="preserve"> La présente loi a pour objet la réparation des lésions professionnelles et des conséquences qu’elles entraînent pour les bénéficiaires</w:t>
      </w:r>
      <w:r>
        <w:t>.</w:t>
      </w:r>
    </w:p>
    <w:p w14:paraId="71F2411E" w14:textId="0869D015" w:rsidR="00BD22EF" w:rsidRPr="002446BE" w:rsidRDefault="00BD22EF" w:rsidP="001E68EC">
      <w:pPr>
        <w:pStyle w:val="Paragraphe"/>
        <w:tabs>
          <w:tab w:val="left" w:pos="851"/>
        </w:tabs>
        <w:rPr>
          <w:i/>
          <w:iCs/>
        </w:rPr>
      </w:pPr>
      <w:r>
        <w:t xml:space="preserve">Ainsi, d’entrée de jeu, </w:t>
      </w:r>
      <w:r w:rsidR="0076332D">
        <w:t>le représentant du travailleur soumet</w:t>
      </w:r>
      <w:r>
        <w:t xml:space="preserve"> que </w:t>
      </w:r>
      <w:r w:rsidR="0076332D">
        <w:t>celui-ci</w:t>
      </w:r>
      <w:r>
        <w:t xml:space="preserve"> a été victime d’une mesure discriminatoire ou d’une sanction lors du calcul du « boni REER »</w:t>
      </w:r>
      <w:r w:rsidR="002446BE">
        <w:t xml:space="preserve"> auquel il avait droit à la suite de son retour au travail.</w:t>
      </w:r>
    </w:p>
    <w:p w14:paraId="06DF3241" w14:textId="36284E7B" w:rsidR="002446BE" w:rsidRPr="002446BE" w:rsidRDefault="0076332D" w:rsidP="001E68EC">
      <w:pPr>
        <w:pStyle w:val="Paragraphe"/>
        <w:tabs>
          <w:tab w:val="left" w:pos="851"/>
        </w:tabs>
        <w:rPr>
          <w:i/>
          <w:iCs/>
        </w:rPr>
      </w:pPr>
      <w:r>
        <w:t xml:space="preserve">Il prétend que le </w:t>
      </w:r>
      <w:r w:rsidR="002446BE">
        <w:t>travailleur a été privé du montant maximal du « boni REER » uniquement en raison de sa lésion professionnelle et de son arrêt de</w:t>
      </w:r>
      <w:r w:rsidR="004A389A">
        <w:t xml:space="preserve"> </w:t>
      </w:r>
      <w:r w:rsidR="002446BE">
        <w:t>travail complet du 5 décembre 2022 au 11 mars 2023.</w:t>
      </w:r>
    </w:p>
    <w:p w14:paraId="4654F6CB" w14:textId="6EBCB57B" w:rsidR="002446BE" w:rsidRPr="00A449F0" w:rsidRDefault="008044BD" w:rsidP="001E68EC">
      <w:pPr>
        <w:pStyle w:val="Paragraphe"/>
        <w:tabs>
          <w:tab w:val="left" w:pos="851"/>
        </w:tabs>
        <w:rPr>
          <w:i/>
          <w:iCs/>
        </w:rPr>
      </w:pPr>
      <w:r>
        <w:t>Selon lui, l</w:t>
      </w:r>
      <w:r w:rsidR="004A389A">
        <w:t>’employeur s’est strictement conformé aux termes de la convention collective et de la lettre d’entente intitulée « Modifications de la lettre d’entente #2 R.E.E.R Collectif ».</w:t>
      </w:r>
    </w:p>
    <w:p w14:paraId="725B976A" w14:textId="1229D4D9" w:rsidR="00A449F0" w:rsidRPr="00A449F0" w:rsidRDefault="00A449F0" w:rsidP="001E68EC">
      <w:pPr>
        <w:pStyle w:val="Paragraphe"/>
        <w:tabs>
          <w:tab w:val="left" w:pos="851"/>
        </w:tabs>
        <w:rPr>
          <w:i/>
          <w:iCs/>
        </w:rPr>
      </w:pPr>
      <w:r>
        <w:t>Plus précisément, l’employeur a appliqué le paragraphe 2.2 b) qui se lit comme suit :</w:t>
      </w:r>
    </w:p>
    <w:p w14:paraId="00319FE3" w14:textId="315F2121" w:rsidR="00A449F0" w:rsidRDefault="000324B8" w:rsidP="00A449F0">
      <w:pPr>
        <w:pStyle w:val="Citationenretrait"/>
      </w:pPr>
      <w:r>
        <w:t>« Pour avoir droit au plein montant, le salarié admissible doit avoir cumulé un minimum de deux mille (2000) heures au cours de l’année en référence. Tout salarié admissible qui n’a pas cumulé deux mille (2000) heures au cours de l’année de référence voit sa bonification être calculée selon le prorata des heures cumulées au cours de l’année de référence;</w:t>
      </w:r>
    </w:p>
    <w:p w14:paraId="33565C98" w14:textId="2282C1F9" w:rsidR="000324B8" w:rsidRDefault="000324B8" w:rsidP="00A449F0">
      <w:pPr>
        <w:pStyle w:val="Citationenretrait"/>
      </w:pPr>
      <w:r>
        <w:t>Le terme « heures » signifie toutes les heures travaillées ainsi que toutes les heures non travaillées payées par l’</w:t>
      </w:r>
      <w:r w:rsidR="00AC0B21">
        <w:t>e</w:t>
      </w:r>
      <w:r>
        <w:t xml:space="preserve">mployeur au cours de l’année de référence. </w:t>
      </w:r>
      <w:r w:rsidR="00AC0B21">
        <w:t>(…) »</w:t>
      </w:r>
    </w:p>
    <w:p w14:paraId="76452B9E" w14:textId="2250AD2E" w:rsidR="00941C6B" w:rsidRPr="00941C6B" w:rsidRDefault="00F42703" w:rsidP="0034392E">
      <w:pPr>
        <w:pStyle w:val="Paragraphe"/>
        <w:tabs>
          <w:tab w:val="left" w:pos="851"/>
        </w:tabs>
        <w:rPr>
          <w:i/>
          <w:iCs/>
        </w:rPr>
      </w:pPr>
      <w:r>
        <w:t>Le représentant du travailleur reconnaît</w:t>
      </w:r>
      <w:r w:rsidR="00941C6B">
        <w:t xml:space="preserve"> que l’employeur a appliqué correctement le texte de la lettre d’entente et que le montant versé de 660,69 $ correspond au prorata des heures cumulées pour l’année de référence, selon la définition déclarée des « heures » dans ladite lettre d’entente.</w:t>
      </w:r>
    </w:p>
    <w:p w14:paraId="604E46E0" w14:textId="34C79923" w:rsidR="00941C6B" w:rsidRPr="00941C6B" w:rsidRDefault="00941C6B" w:rsidP="0034392E">
      <w:pPr>
        <w:pStyle w:val="Paragraphe"/>
        <w:tabs>
          <w:tab w:val="left" w:pos="851"/>
        </w:tabs>
        <w:rPr>
          <w:i/>
          <w:iCs/>
        </w:rPr>
      </w:pPr>
      <w:r>
        <w:t>En revanche, même si l’employeur a agi conformément au texte de la lettre d’entente et de bonne foi, l’application telle qu’en a fait l’employeur constitue une violation de l’article 242 de la LATMP :</w:t>
      </w:r>
    </w:p>
    <w:p w14:paraId="6B432358" w14:textId="31BDFB6C" w:rsidR="00941C6B" w:rsidRPr="00941C6B" w:rsidRDefault="007B07F0" w:rsidP="00941C6B">
      <w:pPr>
        <w:pStyle w:val="Citationenretrait"/>
      </w:pPr>
      <w:r>
        <w:t>242.</w:t>
      </w:r>
      <w:r w:rsidR="00E273EB">
        <w:t xml:space="preserve"> Le travailleur qui réintègre son emploi ou un emploi équivalent a droit de recevoir le salaire et les avantages aux mêmes taux et conditions que ceux dont il bénéficierait s’il avait continué à exercer son emploi pendant son absence.</w:t>
      </w:r>
    </w:p>
    <w:p w14:paraId="0809EC5C" w14:textId="01530513" w:rsidR="00E273EB" w:rsidRPr="004C3BC2" w:rsidRDefault="00682280" w:rsidP="0034392E">
      <w:pPr>
        <w:pStyle w:val="Paragraphe"/>
        <w:tabs>
          <w:tab w:val="left" w:pos="851"/>
        </w:tabs>
        <w:rPr>
          <w:i/>
          <w:iCs/>
        </w:rPr>
      </w:pPr>
      <w:r>
        <w:t>Considérant que cette disposition est d’ordre public, elle a préséance sur une disposition d’une convention collective qui serait moins avantageuse, en l’occu</w:t>
      </w:r>
      <w:r w:rsidR="004C3BC2">
        <w:t>rrence le paragraphe 2.2 b) de la lettre d’entente dans le dossier qui nous occupe.</w:t>
      </w:r>
    </w:p>
    <w:p w14:paraId="4F9F95F2" w14:textId="7230D8B0" w:rsidR="004C3BC2" w:rsidRPr="00232516" w:rsidRDefault="00743BF4" w:rsidP="0034392E">
      <w:pPr>
        <w:pStyle w:val="Paragraphe"/>
        <w:tabs>
          <w:tab w:val="left" w:pos="851"/>
        </w:tabs>
        <w:rPr>
          <w:i/>
          <w:iCs/>
        </w:rPr>
      </w:pPr>
      <w:r>
        <w:t xml:space="preserve">Ainsi, </w:t>
      </w:r>
      <w:r w:rsidR="00282512">
        <w:t xml:space="preserve">le représentant du travailleur demande à la Commission de </w:t>
      </w:r>
      <w:r>
        <w:t>conclure que le travailleur a été victime d’une mesure discri</w:t>
      </w:r>
      <w:r w:rsidR="00FE06DF">
        <w:t>mina</w:t>
      </w:r>
      <w:r>
        <w:t>toire ou d’une sanction</w:t>
      </w:r>
      <w:r w:rsidR="00AA1C70">
        <w:t>.</w:t>
      </w:r>
      <w:r w:rsidR="002C6FE3">
        <w:t xml:space="preserve"> </w:t>
      </w:r>
      <w:r>
        <w:t xml:space="preserve"> </w:t>
      </w:r>
    </w:p>
    <w:p w14:paraId="4E3D8537" w14:textId="52746565" w:rsidR="00232516" w:rsidRPr="00FE06DF" w:rsidRDefault="00232516" w:rsidP="0034392E">
      <w:pPr>
        <w:pStyle w:val="Paragraphe"/>
        <w:tabs>
          <w:tab w:val="left" w:pos="851"/>
        </w:tabs>
        <w:rPr>
          <w:i/>
          <w:iCs/>
        </w:rPr>
      </w:pPr>
      <w:r>
        <w:t>Il demande à la Commission d’ordonner à l’employeur</w:t>
      </w:r>
      <w:r w:rsidR="006B097A">
        <w:t xml:space="preserve"> </w:t>
      </w:r>
      <w:r w:rsidR="00301270">
        <w:t>de verser</w:t>
      </w:r>
      <w:r w:rsidR="006B097A">
        <w:t xml:space="preserve"> au travailleur </w:t>
      </w:r>
      <w:r>
        <w:t xml:space="preserve">la somme </w:t>
      </w:r>
      <w:r w:rsidR="006B097A">
        <w:t xml:space="preserve">manquante </w:t>
      </w:r>
      <w:r>
        <w:t xml:space="preserve">de 153,44 </w:t>
      </w:r>
      <w:r w:rsidR="006B097A">
        <w:t>$ pour l</w:t>
      </w:r>
      <w:r w:rsidR="00301270">
        <w:t>e « boni REER »</w:t>
      </w:r>
      <w:r w:rsidR="00E87902">
        <w:t xml:space="preserve"> plus les intérêts</w:t>
      </w:r>
      <w:r w:rsidR="00301270">
        <w:t>.</w:t>
      </w:r>
    </w:p>
    <w:p w14:paraId="3FA4729A" w14:textId="09058024" w:rsidR="00FE06DF" w:rsidRPr="00D822E0" w:rsidRDefault="00FE06DF" w:rsidP="0034392E">
      <w:pPr>
        <w:pStyle w:val="Paragraphe"/>
        <w:tabs>
          <w:tab w:val="left" w:pos="851"/>
        </w:tabs>
        <w:rPr>
          <w:i/>
          <w:iCs/>
        </w:rPr>
      </w:pPr>
      <w:r>
        <w:t xml:space="preserve"> Pour app</w:t>
      </w:r>
      <w:r w:rsidR="00051E98">
        <w:t xml:space="preserve">uyer cette conclusion, le représentant du travailleur </w:t>
      </w:r>
      <w:r w:rsidR="00053DEE">
        <w:t>réfère à</w:t>
      </w:r>
      <w:r w:rsidR="00051E98">
        <w:t xml:space="preserve"> la jurisprudence jointe</w:t>
      </w:r>
      <w:r w:rsidR="00D96ED0">
        <w:t xml:space="preserve"> à son argumentaire écrit</w:t>
      </w:r>
      <w:r w:rsidR="00051E98">
        <w:t>.</w:t>
      </w:r>
    </w:p>
    <w:p w14:paraId="4B23997E" w14:textId="4F0E330D" w:rsidR="00E53989" w:rsidRDefault="009912A7" w:rsidP="00E53989">
      <w:pPr>
        <w:pStyle w:val="Titre1"/>
      </w:pPr>
      <w:r>
        <w:t>argumentation écrite de l’employeur</w:t>
      </w:r>
    </w:p>
    <w:p w14:paraId="4E2EB644" w14:textId="59667857" w:rsidR="00DA3CCE" w:rsidRDefault="00895431" w:rsidP="00DA3CCE">
      <w:pPr>
        <w:pStyle w:val="Paragraphe"/>
        <w:tabs>
          <w:tab w:val="left" w:pos="851"/>
        </w:tabs>
      </w:pPr>
      <w:r>
        <w:t>L</w:t>
      </w:r>
      <w:r w:rsidR="00DA3CCE">
        <w:t>a</w:t>
      </w:r>
      <w:r>
        <w:t xml:space="preserve"> représentant</w:t>
      </w:r>
      <w:r w:rsidR="00DA3CCE">
        <w:t>e</w:t>
      </w:r>
      <w:r>
        <w:t xml:space="preserve"> de l’employeur </w:t>
      </w:r>
      <w:r w:rsidR="00E365E6">
        <w:t>argumente</w:t>
      </w:r>
      <w:r w:rsidR="00EA634A">
        <w:t xml:space="preserve"> q</w:t>
      </w:r>
      <w:r w:rsidR="00A767FC">
        <w:t>ue</w:t>
      </w:r>
      <w:r w:rsidR="006A61A4">
        <w:t xml:space="preserve"> le travailleur a été en a</w:t>
      </w:r>
      <w:r w:rsidR="004D4C33">
        <w:t>rrêt de travail et a reçu de</w:t>
      </w:r>
      <w:r w:rsidR="00BA6B39">
        <w:t>s</w:t>
      </w:r>
      <w:r w:rsidR="004D4C33">
        <w:t xml:space="preserve"> indemnité</w:t>
      </w:r>
      <w:r w:rsidR="00BA6B39">
        <w:t>s</w:t>
      </w:r>
      <w:r w:rsidR="004D4C33">
        <w:t xml:space="preserve"> de remplacement du revenu </w:t>
      </w:r>
      <w:r w:rsidR="001D51D7">
        <w:t>(</w:t>
      </w:r>
      <w:r w:rsidR="00BA6B39">
        <w:t>I</w:t>
      </w:r>
      <w:r w:rsidR="004D4C33">
        <w:t>RR), payée</w:t>
      </w:r>
      <w:r w:rsidR="00BA6B39">
        <w:t>s</w:t>
      </w:r>
      <w:r w:rsidR="004D4C33">
        <w:t xml:space="preserve"> par la CNESST, du 5 décembre 2022 au 11 mars 2023.</w:t>
      </w:r>
    </w:p>
    <w:p w14:paraId="03FA480E" w14:textId="745EDD05" w:rsidR="004D4C33" w:rsidRDefault="004D4C33" w:rsidP="00DA3CCE">
      <w:pPr>
        <w:pStyle w:val="Paragraphe"/>
        <w:tabs>
          <w:tab w:val="left" w:pos="851"/>
        </w:tabs>
      </w:pPr>
      <w:r>
        <w:t xml:space="preserve">Cette période d’arrêt de travail n’a pas été </w:t>
      </w:r>
      <w:r w:rsidR="00271D0F">
        <w:t>comptabilisée</w:t>
      </w:r>
      <w:r>
        <w:t xml:space="preserve"> aux fins du calcul du montant versé à son nom dans le REER collectif des salariés syndiqués pour l’année fiscale s’étendant de mai 2022 à mai 2023.</w:t>
      </w:r>
    </w:p>
    <w:p w14:paraId="7575CEE8" w14:textId="3D6B270C" w:rsidR="004D4C33" w:rsidRDefault="00A750C4" w:rsidP="00DA3CCE">
      <w:pPr>
        <w:pStyle w:val="Paragraphe"/>
        <w:tabs>
          <w:tab w:val="left" w:pos="851"/>
        </w:tabs>
      </w:pPr>
      <w:r>
        <w:t>Le litige porte strictement sur les heures non</w:t>
      </w:r>
      <w:r w:rsidR="005B66E9">
        <w:t xml:space="preserve"> </w:t>
      </w:r>
      <w:r>
        <w:t>travaillées pendant la période d’arrêt de travail.</w:t>
      </w:r>
    </w:p>
    <w:p w14:paraId="3E887F5A" w14:textId="5B9C2616" w:rsidR="00A750C4" w:rsidRDefault="00FC4D9B" w:rsidP="00DA3CCE">
      <w:pPr>
        <w:pStyle w:val="Paragraphe"/>
        <w:tabs>
          <w:tab w:val="left" w:pos="851"/>
        </w:tabs>
      </w:pPr>
      <w:r>
        <w:t>La lettre d’entente constitue la loi entre les parties.</w:t>
      </w:r>
    </w:p>
    <w:p w14:paraId="6580806D" w14:textId="3916A160" w:rsidR="00FC4D9B" w:rsidRDefault="00FC4D9B" w:rsidP="00DA3CCE">
      <w:pPr>
        <w:pStyle w:val="Paragraphe"/>
        <w:tabs>
          <w:tab w:val="left" w:pos="851"/>
        </w:tabs>
      </w:pPr>
      <w:r>
        <w:t>La clause 2b) de la lettre d’entente est claire et stipule que le terme « Heure » signifie les « heures travaillées » au cours de l’année de référence.</w:t>
      </w:r>
    </w:p>
    <w:p w14:paraId="26DE2469" w14:textId="0A0FFBF8" w:rsidR="00FC4D9B" w:rsidRDefault="0012046D" w:rsidP="00DA3CCE">
      <w:pPr>
        <w:pStyle w:val="Paragraphe"/>
        <w:tabs>
          <w:tab w:val="left" w:pos="851"/>
        </w:tabs>
      </w:pPr>
      <w:r>
        <w:t>Selon la représentante de l’employeur, l</w:t>
      </w:r>
      <w:r w:rsidR="00FC4D9B">
        <w:t>a jurisprudence majoritaire soutien</w:t>
      </w:r>
      <w:r w:rsidR="005B66E9">
        <w:t>t</w:t>
      </w:r>
      <w:r w:rsidR="00FC4D9B">
        <w:t xml:space="preserve"> que l’article 242 </w:t>
      </w:r>
      <w:r w:rsidR="00D14CEC">
        <w:t xml:space="preserve">de la LATMP </w:t>
      </w:r>
      <w:r w:rsidR="00FC4D9B">
        <w:t>n’a pas d’effet rétroactif et ne crée pas de fiction juridique transformant l’absence en temps travaillé :</w:t>
      </w:r>
    </w:p>
    <w:p w14:paraId="2E5FF4CA" w14:textId="76C668B5" w:rsidR="005834AB" w:rsidRDefault="0012046D" w:rsidP="00DA3CCE">
      <w:pPr>
        <w:pStyle w:val="Paragraphe"/>
        <w:tabs>
          <w:tab w:val="left" w:pos="851"/>
        </w:tabs>
      </w:pPr>
      <w:r>
        <w:t>Elle prétend que l</w:t>
      </w:r>
      <w:r w:rsidR="005834AB">
        <w:t>’article 242 de la LATMP vise à assurer des conditions de travail identiques lors du retour au travail, mais n’accorde pas tous les avantages durant l’absence.</w:t>
      </w:r>
    </w:p>
    <w:p w14:paraId="0DDC61C8" w14:textId="7813443F" w:rsidR="005834AB" w:rsidRDefault="005834AB" w:rsidP="00DA3CCE">
      <w:pPr>
        <w:pStyle w:val="Paragraphe"/>
        <w:tabs>
          <w:tab w:val="left" w:pos="851"/>
        </w:tabs>
      </w:pPr>
      <w:r>
        <w:t>Les périodes d’absences ne constituent pas du temps travaillé.</w:t>
      </w:r>
    </w:p>
    <w:p w14:paraId="53C9DD68" w14:textId="0C2A3214" w:rsidR="005834AB" w:rsidRDefault="00784ACD" w:rsidP="00DA3CCE">
      <w:pPr>
        <w:pStyle w:val="Paragraphe"/>
        <w:tabs>
          <w:tab w:val="left" w:pos="851"/>
        </w:tabs>
      </w:pPr>
      <w:r>
        <w:t>La représentante de l’employeur mentionne que l</w:t>
      </w:r>
      <w:r w:rsidR="005834AB">
        <w:t xml:space="preserve">e travailleur </w:t>
      </w:r>
      <w:r w:rsidR="00334EEB">
        <w:t>ne peut donc prétendre avoir droit à la contribution au REER sur les heures non travaillées pendant la période durant laquelle il a été absent en raison de sa lésion professionnelle.</w:t>
      </w:r>
    </w:p>
    <w:p w14:paraId="5993F7F8" w14:textId="0CAB3F5A" w:rsidR="00334EEB" w:rsidRDefault="00334EEB" w:rsidP="00DA3CCE">
      <w:pPr>
        <w:pStyle w:val="Paragraphe"/>
        <w:tabs>
          <w:tab w:val="left" w:pos="851"/>
        </w:tabs>
      </w:pPr>
      <w:r>
        <w:t xml:space="preserve">L’employeur a appliqué </w:t>
      </w:r>
      <w:r w:rsidR="00672D5A">
        <w:t xml:space="preserve">à </w:t>
      </w:r>
      <w:r>
        <w:t>la lettre les dispositions de la lettre d’entente.</w:t>
      </w:r>
    </w:p>
    <w:p w14:paraId="47754A40" w14:textId="5DFBCC27" w:rsidR="00334EEB" w:rsidRDefault="00334EEB" w:rsidP="00DA3CCE">
      <w:pPr>
        <w:pStyle w:val="Paragraphe"/>
        <w:tabs>
          <w:tab w:val="left" w:pos="851"/>
        </w:tabs>
      </w:pPr>
      <w:r>
        <w:t>Dans le cas présent, la condition de travail selon laquelle le plai</w:t>
      </w:r>
      <w:r w:rsidR="0033240F">
        <w:t>gnant avait d</w:t>
      </w:r>
      <w:r w:rsidR="00B3667C">
        <w:t>r</w:t>
      </w:r>
      <w:r w:rsidR="0033240F">
        <w:t>oit à un montant versé dans le REER collectif pour la période de mai 2022 à mai 2023, calculé en fonction de ses heures travaillées, n’a jamais changé, de sorte que le droit garanti pour l’article 242 n’a pas été compromis.</w:t>
      </w:r>
    </w:p>
    <w:p w14:paraId="155942A9" w14:textId="5952F34F" w:rsidR="0033240F" w:rsidRDefault="0033240F" w:rsidP="00DA3CCE">
      <w:pPr>
        <w:pStyle w:val="Paragraphe"/>
        <w:tabs>
          <w:tab w:val="left" w:pos="851"/>
        </w:tabs>
      </w:pPr>
      <w:r>
        <w:t>L’employeur a respecté le contrat de travail en vigueur et a appliqué une disposition s’appliquant à tous ses employés</w:t>
      </w:r>
      <w:r w:rsidR="00E90F84">
        <w:t>. Il n’y a donc pas eu de mesure ou de sanction.</w:t>
      </w:r>
    </w:p>
    <w:p w14:paraId="1F0F64BF" w14:textId="7574E771" w:rsidR="00B4705C" w:rsidRDefault="001A02B6" w:rsidP="00DA3CCE">
      <w:pPr>
        <w:pStyle w:val="Paragraphe"/>
        <w:tabs>
          <w:tab w:val="left" w:pos="851"/>
        </w:tabs>
      </w:pPr>
      <w:r>
        <w:t>La représentante de l’employeur mentionne que l</w:t>
      </w:r>
      <w:r w:rsidR="00B4705C">
        <w:t>es autorités soumises par le représentant du travailleur ne représentent pas l’expression d’un courant jurisprudentiel majoritaire. Il s’agit plutôt d’un courant minoritaire.</w:t>
      </w:r>
    </w:p>
    <w:p w14:paraId="2C78B016" w14:textId="0F10A1ED" w:rsidR="00B4705C" w:rsidRDefault="0010004C" w:rsidP="00DA3CCE">
      <w:pPr>
        <w:pStyle w:val="Paragraphe"/>
        <w:tabs>
          <w:tab w:val="left" w:pos="851"/>
        </w:tabs>
      </w:pPr>
      <w:r>
        <w:t>E</w:t>
      </w:r>
      <w:r w:rsidR="00E75AC4">
        <w:t>n donnant le choix au salarié syndiqué entre recours en vertu de l’article 32 de la LATMP ou un grief, le législateur n’a certes pas voulu que le résultat de sa plainte soit tributaire du forum utilisé et que le choix du recours s’avère stratégique.</w:t>
      </w:r>
    </w:p>
    <w:p w14:paraId="0C197967" w14:textId="77457DD3" w:rsidR="00E75AC4" w:rsidRDefault="008D1C3C" w:rsidP="00DA3CCE">
      <w:pPr>
        <w:pStyle w:val="Paragraphe"/>
        <w:tabs>
          <w:tab w:val="left" w:pos="851"/>
        </w:tabs>
      </w:pPr>
      <w:r>
        <w:t xml:space="preserve">Elle </w:t>
      </w:r>
      <w:r w:rsidR="006C6DB1">
        <w:t>mentionne</w:t>
      </w:r>
      <w:r>
        <w:t xml:space="preserve"> </w:t>
      </w:r>
      <w:r w:rsidR="006C6DB1">
        <w:t>q</w:t>
      </w:r>
      <w:r>
        <w:t xml:space="preserve">ue </w:t>
      </w:r>
      <w:r w:rsidR="00E71F32">
        <w:t xml:space="preserve">le représentant du </w:t>
      </w:r>
      <w:r w:rsidR="00E75AC4">
        <w:t>travailleur reconnait que l’employeur s’est</w:t>
      </w:r>
      <w:r w:rsidR="007A23F3">
        <w:t xml:space="preserve"> </w:t>
      </w:r>
      <w:r w:rsidR="00E75AC4">
        <w:t xml:space="preserve">conformé aux termes </w:t>
      </w:r>
      <w:r w:rsidR="007A23F3">
        <w:t>de la convention collective et de la lettre d’entente.</w:t>
      </w:r>
    </w:p>
    <w:p w14:paraId="567CDBB8" w14:textId="3524D9DB" w:rsidR="007A23F3" w:rsidRDefault="00E71F32" w:rsidP="00DA3CCE">
      <w:pPr>
        <w:pStyle w:val="Paragraphe"/>
        <w:tabs>
          <w:tab w:val="left" w:pos="851"/>
        </w:tabs>
      </w:pPr>
      <w:r>
        <w:t>La représentante de l’employeur croit que l</w:t>
      </w:r>
      <w:r w:rsidR="007A23F3">
        <w:t xml:space="preserve">e travailleur tente de réduire la portée voir </w:t>
      </w:r>
      <w:r w:rsidR="00E95AFE">
        <w:t>réécrire</w:t>
      </w:r>
      <w:r w:rsidR="00444C2B">
        <w:t xml:space="preserve"> </w:t>
      </w:r>
      <w:r w:rsidR="007A23F3">
        <w:t>une lettre d’</w:t>
      </w:r>
      <w:r w:rsidR="00DA4F3C">
        <w:t>entente</w:t>
      </w:r>
      <w:r w:rsidR="007A23F3">
        <w:t xml:space="preserve"> </w:t>
      </w:r>
      <w:r w:rsidR="00DA4F3C">
        <w:t>que son syndicat et son employeur ont négociée de bonne foi, ceci en faisant appel au caractère d’ordre public de la LATMP qui aurait préséance.</w:t>
      </w:r>
    </w:p>
    <w:p w14:paraId="33B7D4E9" w14:textId="062F4121" w:rsidR="00DA4F3C" w:rsidRDefault="00DA4F3C" w:rsidP="00DA3CCE">
      <w:pPr>
        <w:pStyle w:val="Paragraphe"/>
        <w:tabs>
          <w:tab w:val="left" w:pos="851"/>
        </w:tabs>
      </w:pPr>
      <w:r>
        <w:t>L’article 242 de la LATMP fait partie de cette loi d’ordre public et le législateur ne l’a certes pas édicté en ignorant l’objet de la loi.</w:t>
      </w:r>
    </w:p>
    <w:p w14:paraId="13737569" w14:textId="758C81D6" w:rsidR="00AB5148" w:rsidRPr="00444C2B" w:rsidRDefault="002474C9" w:rsidP="0034392E">
      <w:pPr>
        <w:pStyle w:val="Paragraphe"/>
        <w:tabs>
          <w:tab w:val="left" w:pos="851"/>
        </w:tabs>
        <w:rPr>
          <w:i/>
          <w:iCs/>
        </w:rPr>
      </w:pPr>
      <w:r>
        <w:t xml:space="preserve">Pour ces motifs, la représentante de l’employeur demande de </w:t>
      </w:r>
      <w:r w:rsidR="003D3744">
        <w:t>déclarer</w:t>
      </w:r>
      <w:r>
        <w:t xml:space="preserve"> la plainte irrecevable en raison de l’absence </w:t>
      </w:r>
      <w:r w:rsidR="007A1A23">
        <w:t>d’une mesure</w:t>
      </w:r>
      <w:r>
        <w:t xml:space="preserve"> ou d’une sanction.</w:t>
      </w:r>
    </w:p>
    <w:p w14:paraId="31F992CB" w14:textId="2644EF1E" w:rsidR="00444C2B" w:rsidRPr="00D33526" w:rsidRDefault="00444C2B" w:rsidP="0034392E">
      <w:pPr>
        <w:pStyle w:val="Paragraphe"/>
        <w:tabs>
          <w:tab w:val="left" w:pos="851"/>
        </w:tabs>
        <w:rPr>
          <w:i/>
          <w:iCs/>
        </w:rPr>
      </w:pPr>
      <w:r>
        <w:t xml:space="preserve">La représentante de l’employeur </w:t>
      </w:r>
      <w:r w:rsidR="00D33526">
        <w:t>réfère à</w:t>
      </w:r>
      <w:r>
        <w:t xml:space="preserve"> la jurisprudence jointe</w:t>
      </w:r>
      <w:r w:rsidR="007E1DD4">
        <w:t xml:space="preserve"> à son argumentaire écrit</w:t>
      </w:r>
      <w:r>
        <w:t>.</w:t>
      </w:r>
    </w:p>
    <w:p w14:paraId="36F8DE7E" w14:textId="5A8F8BBC" w:rsidR="00D33526" w:rsidRPr="00444C2B" w:rsidRDefault="00D33526" w:rsidP="00D33526">
      <w:pPr>
        <w:pStyle w:val="Titre1"/>
      </w:pPr>
      <w:r>
        <w:t>réplique du travailleur</w:t>
      </w:r>
    </w:p>
    <w:p w14:paraId="6F69FAAA" w14:textId="3D962B23" w:rsidR="00A575AE" w:rsidRPr="007507C6" w:rsidRDefault="00A575AE" w:rsidP="0034392E">
      <w:pPr>
        <w:pStyle w:val="Paragraphe"/>
        <w:tabs>
          <w:tab w:val="left" w:pos="851"/>
        </w:tabs>
        <w:rPr>
          <w:i/>
          <w:iCs/>
        </w:rPr>
      </w:pPr>
      <w:r>
        <w:t xml:space="preserve">Le représentant du travailleur réplique que </w:t>
      </w:r>
      <w:r w:rsidR="00CA7509">
        <w:t>l’article 2 b) de la lettre d’entente ne spécifie pas que le terme « Heures » ne signifie que les « heures travaillée</w:t>
      </w:r>
      <w:r w:rsidR="005375F6">
        <w:t>s</w:t>
      </w:r>
      <w:r w:rsidR="00CA7509">
        <w:t xml:space="preserve"> » comme en fait foi le texte même de l’article</w:t>
      </w:r>
      <w:r w:rsidR="007507C6">
        <w:t> :</w:t>
      </w:r>
    </w:p>
    <w:p w14:paraId="7460772A" w14:textId="3C6C63D3" w:rsidR="007507C6" w:rsidRPr="007507C6" w:rsidRDefault="00B6749E" w:rsidP="007507C6">
      <w:pPr>
        <w:pStyle w:val="Citationenretrait"/>
      </w:pPr>
      <w:r>
        <w:t xml:space="preserve">« Le terme « heures » signifie toutes les heures travaillées ainsi que toutes les heures non travaillées payées par l’employeur au cours de l’année de référence. </w:t>
      </w:r>
      <w:r w:rsidR="00863A01">
        <w:t>[</w:t>
      </w:r>
      <w:r>
        <w:t>…</w:t>
      </w:r>
      <w:r w:rsidR="00863A01">
        <w:t>]</w:t>
      </w:r>
      <w:r>
        <w:t xml:space="preserve"> »</w:t>
      </w:r>
      <w:r w:rsidR="007507C6">
        <w:t xml:space="preserve"> </w:t>
      </w:r>
    </w:p>
    <w:p w14:paraId="34087791" w14:textId="5D32EFCE" w:rsidR="007507C6" w:rsidRPr="00C46635" w:rsidRDefault="00C46635" w:rsidP="0034392E">
      <w:pPr>
        <w:pStyle w:val="Paragraphe"/>
        <w:tabs>
          <w:tab w:val="left" w:pos="851"/>
        </w:tabs>
        <w:rPr>
          <w:i/>
          <w:iCs/>
        </w:rPr>
      </w:pPr>
      <w:r>
        <w:t>La période d’absence ne constitue effectivement pas des heures travaillées ni des heures non travaillées payées par l’employeur.</w:t>
      </w:r>
    </w:p>
    <w:p w14:paraId="11B7A747" w14:textId="5453EFD7" w:rsidR="00C46635" w:rsidRPr="001A6134" w:rsidRDefault="00661573" w:rsidP="0034392E">
      <w:pPr>
        <w:pStyle w:val="Paragraphe"/>
        <w:tabs>
          <w:tab w:val="left" w:pos="851"/>
        </w:tabs>
        <w:rPr>
          <w:i/>
          <w:iCs/>
        </w:rPr>
      </w:pPr>
      <w:r>
        <w:t>Il mentionne que l</w:t>
      </w:r>
      <w:r w:rsidR="001A6134">
        <w:t>’article 242 de la LATMP est d’ordre public et a préséance sur le texte de la convention collective ou de la lettre d’entente.</w:t>
      </w:r>
    </w:p>
    <w:p w14:paraId="2A745614" w14:textId="792FD220" w:rsidR="001A6134" w:rsidRPr="00F91619" w:rsidRDefault="001A6134" w:rsidP="0034392E">
      <w:pPr>
        <w:pStyle w:val="Paragraphe"/>
        <w:tabs>
          <w:tab w:val="left" w:pos="851"/>
        </w:tabs>
        <w:rPr>
          <w:i/>
          <w:iCs/>
        </w:rPr>
      </w:pPr>
      <w:r>
        <w:t xml:space="preserve">Si </w:t>
      </w:r>
      <w:r w:rsidR="004578AC">
        <w:t xml:space="preserve">la </w:t>
      </w:r>
      <w:r>
        <w:t xml:space="preserve">quasi-totalité des arbitres de griefs n’adhère pas </w:t>
      </w:r>
      <w:r w:rsidR="00DF59FC">
        <w:t>à la position défendue</w:t>
      </w:r>
      <w:r>
        <w:t xml:space="preserve"> par le travailleur dans le présent dossier, cela n’a aucune pertinence</w:t>
      </w:r>
      <w:r w:rsidR="007E1DD4">
        <w:t>, selon lui</w:t>
      </w:r>
      <w:r>
        <w:t xml:space="preserve">, car nous ne sommes pas devant le tribunal d’arbitrage. </w:t>
      </w:r>
    </w:p>
    <w:p w14:paraId="1CA9A477" w14:textId="04D5B197" w:rsidR="00ED68E0" w:rsidRDefault="00ED68E0" w:rsidP="00ED68E0">
      <w:pPr>
        <w:pStyle w:val="Titre1"/>
        <w:rPr>
          <w:szCs w:val="24"/>
        </w:rPr>
      </w:pPr>
      <w:bookmarkStart w:id="2" w:name="_Hlk183687114"/>
      <w:r>
        <w:t>décision</w:t>
      </w:r>
    </w:p>
    <w:bookmarkEnd w:id="2"/>
    <w:p w14:paraId="75F16CDF" w14:textId="2B590229" w:rsidR="000B5B70" w:rsidRDefault="000B5B70" w:rsidP="00351678">
      <w:pPr>
        <w:pStyle w:val="Paragraphe"/>
        <w:tabs>
          <w:tab w:val="left" w:pos="851"/>
        </w:tabs>
      </w:pPr>
      <w:r>
        <w:t>Les dispositions de la L</w:t>
      </w:r>
      <w:r w:rsidR="00A24AAC">
        <w:t>ATMP</w:t>
      </w:r>
      <w:r>
        <w:t xml:space="preserve"> pertinentes au présent litige sont les suivantes :</w:t>
      </w:r>
    </w:p>
    <w:p w14:paraId="76743881" w14:textId="6FA4BF12" w:rsidR="00101878" w:rsidRDefault="00101878" w:rsidP="00101878">
      <w:pPr>
        <w:pStyle w:val="citationenretrait0"/>
        <w:spacing w:before="120" w:beforeAutospacing="0" w:after="120" w:afterAutospacing="0"/>
        <w:ind w:left="720" w:right="720"/>
        <w:jc w:val="both"/>
        <w:rPr>
          <w:rFonts w:ascii="Arial" w:hAnsi="Arial" w:cs="Arial"/>
          <w:color w:val="000000"/>
          <w:sz w:val="22"/>
          <w:szCs w:val="22"/>
        </w:rPr>
      </w:pPr>
      <w:r>
        <w:rPr>
          <w:rFonts w:ascii="Arial" w:hAnsi="Arial" w:cs="Arial"/>
          <w:b/>
          <w:bCs/>
          <w:color w:val="000000"/>
          <w:sz w:val="22"/>
          <w:szCs w:val="22"/>
        </w:rPr>
        <w:t>32</w:t>
      </w:r>
      <w:r w:rsidR="004D21F4">
        <w:rPr>
          <w:rFonts w:ascii="Arial" w:hAnsi="Arial" w:cs="Arial"/>
          <w:b/>
          <w:bCs/>
          <w:color w:val="000000"/>
          <w:sz w:val="22"/>
          <w:szCs w:val="22"/>
        </w:rPr>
        <w:t>.</w:t>
      </w:r>
      <w:r w:rsidR="004D21F4">
        <w:rPr>
          <w:rFonts w:ascii="Arial" w:hAnsi="Arial" w:cs="Arial"/>
          <w:color w:val="000000"/>
          <w:sz w:val="22"/>
          <w:szCs w:val="22"/>
        </w:rPr>
        <w:t> </w:t>
      </w:r>
      <w:r>
        <w:rPr>
          <w:rFonts w:ascii="Arial" w:hAnsi="Arial" w:cs="Arial"/>
          <w:color w:val="000000"/>
          <w:sz w:val="22"/>
          <w:szCs w:val="22"/>
        </w:rPr>
        <w:t>L'employeur ne peut congédier, suspendre ou déplacer un travailleur, exercer à son endroit des mesures discriminatoires ou de représailles ou lui imposer toute autre sanction</w:t>
      </w:r>
      <w:r w:rsidR="005C2EB0">
        <w:rPr>
          <w:rFonts w:ascii="Arial" w:hAnsi="Arial" w:cs="Arial"/>
          <w:color w:val="000000"/>
          <w:sz w:val="22"/>
          <w:szCs w:val="22"/>
        </w:rPr>
        <w:t xml:space="preserve"> </w:t>
      </w:r>
      <w:r w:rsidR="000D2ADD">
        <w:rPr>
          <w:rFonts w:ascii="Arial" w:hAnsi="Arial" w:cs="Arial"/>
          <w:color w:val="000000"/>
          <w:sz w:val="22"/>
          <w:szCs w:val="22"/>
        </w:rPr>
        <w:t>ou refuser de le réintégrer dans un emploi contrairement à une décision de la Commission</w:t>
      </w:r>
      <w:r>
        <w:rPr>
          <w:rFonts w:ascii="Arial" w:hAnsi="Arial" w:cs="Arial"/>
          <w:color w:val="000000"/>
          <w:sz w:val="22"/>
          <w:szCs w:val="22"/>
        </w:rPr>
        <w:t xml:space="preserve"> parce qu'il a été victime d'une lésion professionnelle ou à cause de l'exercice d'un droit que lui confère la présente loi.</w:t>
      </w:r>
    </w:p>
    <w:p w14:paraId="63A8A772" w14:textId="77777777" w:rsidR="00101878" w:rsidRDefault="00101878" w:rsidP="00101878">
      <w:pPr>
        <w:pStyle w:val="citationenretrait0"/>
        <w:spacing w:before="120" w:beforeAutospacing="0" w:after="120" w:afterAutospacing="0"/>
        <w:ind w:left="720" w:right="720"/>
        <w:jc w:val="both"/>
        <w:rPr>
          <w:rFonts w:ascii="Arial" w:hAnsi="Arial" w:cs="Arial"/>
          <w:color w:val="000000"/>
          <w:sz w:val="22"/>
          <w:szCs w:val="22"/>
        </w:rPr>
      </w:pPr>
      <w:r>
        <w:rPr>
          <w:rFonts w:ascii="Arial" w:hAnsi="Arial" w:cs="Arial"/>
          <w:color w:val="000000"/>
          <w:sz w:val="22"/>
          <w:szCs w:val="22"/>
        </w:rPr>
        <w:t>Le travailleur qui croit avoir été l'objet d'une sanction ou d'une mesure visée dans le premier alinéa peut, à son choix, recourir à la procédure de griefs prévue par la convention collective qui lui est applicable ou soumettre une plainte à la Commission conformément à l'article 253.</w:t>
      </w:r>
    </w:p>
    <w:p w14:paraId="5C2A409E" w14:textId="6D2D296B" w:rsidR="00734B00" w:rsidRDefault="004D21F4" w:rsidP="00734B00">
      <w:pPr>
        <w:pStyle w:val="citationenretrait0"/>
        <w:spacing w:before="120" w:beforeAutospacing="0" w:after="120" w:afterAutospacing="0"/>
        <w:ind w:left="720" w:right="720"/>
        <w:jc w:val="both"/>
        <w:rPr>
          <w:rFonts w:ascii="Arial" w:hAnsi="Arial" w:cs="Arial"/>
          <w:color w:val="000000"/>
          <w:sz w:val="22"/>
          <w:szCs w:val="22"/>
        </w:rPr>
      </w:pPr>
      <w:r>
        <w:rPr>
          <w:rFonts w:ascii="Arial" w:hAnsi="Arial" w:cs="Arial"/>
          <w:b/>
          <w:bCs/>
          <w:color w:val="000000"/>
          <w:sz w:val="22"/>
          <w:szCs w:val="22"/>
        </w:rPr>
        <w:t>2</w:t>
      </w:r>
      <w:r w:rsidR="000E6720">
        <w:rPr>
          <w:rFonts w:ascii="Arial" w:hAnsi="Arial" w:cs="Arial"/>
          <w:b/>
          <w:bCs/>
          <w:color w:val="000000"/>
          <w:sz w:val="22"/>
          <w:szCs w:val="22"/>
        </w:rPr>
        <w:t>53</w:t>
      </w:r>
      <w:r>
        <w:rPr>
          <w:rFonts w:ascii="Arial" w:hAnsi="Arial" w:cs="Arial"/>
          <w:b/>
          <w:bCs/>
          <w:color w:val="000000"/>
          <w:sz w:val="22"/>
          <w:szCs w:val="22"/>
        </w:rPr>
        <w:t>.</w:t>
      </w:r>
      <w:r>
        <w:rPr>
          <w:rFonts w:ascii="Arial" w:hAnsi="Arial" w:cs="Arial"/>
          <w:color w:val="000000"/>
          <w:sz w:val="22"/>
          <w:szCs w:val="22"/>
        </w:rPr>
        <w:t> </w:t>
      </w:r>
      <w:r w:rsidR="000E6720">
        <w:rPr>
          <w:rFonts w:ascii="Arial" w:hAnsi="Arial" w:cs="Arial"/>
          <w:color w:val="000000"/>
          <w:sz w:val="22"/>
          <w:szCs w:val="22"/>
        </w:rPr>
        <w:t>Une plainte en vertu de l'</w:t>
      </w:r>
      <w:r w:rsidR="000E6720">
        <w:rPr>
          <w:rStyle w:val="reflex2-link"/>
          <w:rFonts w:ascii="Arial" w:hAnsi="Arial" w:cs="Arial"/>
          <w:color w:val="000000"/>
          <w:sz w:val="22"/>
          <w:szCs w:val="22"/>
        </w:rPr>
        <w:t>article 32</w:t>
      </w:r>
      <w:r w:rsidR="000E6720">
        <w:rPr>
          <w:rFonts w:ascii="Arial" w:hAnsi="Arial" w:cs="Arial"/>
          <w:color w:val="000000"/>
          <w:sz w:val="22"/>
          <w:szCs w:val="22"/>
        </w:rPr>
        <w:t> doit être faite par écrit dans les 30 jours de la connaissance de l'acte, de la sanction ou de la mesure dont le travailleur se plaint. Le travailleur transmet copie de cette plainte à l'employeur.</w:t>
      </w:r>
    </w:p>
    <w:p w14:paraId="33A2FADF" w14:textId="33D9EC2E" w:rsidR="004D21F4" w:rsidRDefault="004D21F4" w:rsidP="004D21F4">
      <w:pPr>
        <w:pStyle w:val="citationenretrait0"/>
        <w:spacing w:before="120" w:beforeAutospacing="0" w:after="120" w:afterAutospacing="0"/>
        <w:ind w:left="720" w:right="720"/>
        <w:jc w:val="both"/>
        <w:rPr>
          <w:rFonts w:ascii="Arial" w:hAnsi="Arial" w:cs="Arial"/>
          <w:color w:val="000000"/>
          <w:sz w:val="22"/>
          <w:szCs w:val="22"/>
        </w:rPr>
      </w:pPr>
      <w:r>
        <w:rPr>
          <w:rFonts w:ascii="Arial" w:hAnsi="Arial" w:cs="Arial"/>
          <w:color w:val="000000"/>
          <w:sz w:val="22"/>
          <w:szCs w:val="22"/>
        </w:rPr>
        <w:t xml:space="preserve"> </w:t>
      </w:r>
    </w:p>
    <w:p w14:paraId="2FD6D42E" w14:textId="3FF58D7A" w:rsidR="000B5B70" w:rsidRDefault="00A86BEF" w:rsidP="00351678">
      <w:pPr>
        <w:pStyle w:val="Paragraphe"/>
        <w:tabs>
          <w:tab w:val="left" w:pos="851"/>
        </w:tabs>
      </w:pPr>
      <w:r w:rsidRPr="00A86BEF">
        <w:t xml:space="preserve">La Commission doit d’abord décider de la recevabilité </w:t>
      </w:r>
      <w:r w:rsidR="00DB414B">
        <w:t xml:space="preserve">de la plainte </w:t>
      </w:r>
      <w:r w:rsidRPr="00A86BEF">
        <w:t>d</w:t>
      </w:r>
      <w:r w:rsidR="00C719B2">
        <w:t>u</w:t>
      </w:r>
      <w:r w:rsidRPr="00A86BEF">
        <w:t xml:space="preserve"> </w:t>
      </w:r>
      <w:r w:rsidR="00C719B2">
        <w:t>travailleur</w:t>
      </w:r>
      <w:r w:rsidRPr="00A86BEF">
        <w:t xml:space="preserve"> en vertu de</w:t>
      </w:r>
      <w:r>
        <w:t xml:space="preserve"> l’article </w:t>
      </w:r>
      <w:r w:rsidR="00C719B2">
        <w:t>32</w:t>
      </w:r>
      <w:r>
        <w:t xml:space="preserve"> de la </w:t>
      </w:r>
      <w:r w:rsidR="006D69CD">
        <w:t>L</w:t>
      </w:r>
      <w:r w:rsidR="00A24AAC">
        <w:t>ATMP</w:t>
      </w:r>
      <w:r w:rsidR="00F02A8D">
        <w:t>.</w:t>
      </w:r>
    </w:p>
    <w:p w14:paraId="559FEBF4" w14:textId="0EFD1E38" w:rsidR="00F02A8D" w:rsidRPr="00F02A8D" w:rsidRDefault="00F02A8D" w:rsidP="000F42DF">
      <w:pPr>
        <w:pStyle w:val="Paragraphe"/>
        <w:tabs>
          <w:tab w:val="left" w:pos="851"/>
        </w:tabs>
        <w:rPr>
          <w:rFonts w:cs="Arial"/>
          <w:color w:val="000000"/>
          <w:szCs w:val="24"/>
          <w:lang w:eastAsia="fr-CA"/>
        </w:rPr>
      </w:pPr>
      <w:r w:rsidRPr="00F02A8D">
        <w:rPr>
          <w:rFonts w:cs="Arial"/>
          <w:color w:val="000000"/>
        </w:rPr>
        <w:t>La Commission rappelle que pour qu’une plainte soit jugée recevable, l</w:t>
      </w:r>
      <w:r w:rsidR="000A5529">
        <w:rPr>
          <w:rFonts w:cs="Arial"/>
          <w:color w:val="000000"/>
        </w:rPr>
        <w:t>e</w:t>
      </w:r>
      <w:r w:rsidRPr="00F02A8D">
        <w:rPr>
          <w:rFonts w:cs="Arial"/>
          <w:color w:val="000000"/>
        </w:rPr>
        <w:t xml:space="preserve"> travailleu</w:t>
      </w:r>
      <w:r w:rsidR="000A5529">
        <w:rPr>
          <w:rFonts w:cs="Arial"/>
          <w:color w:val="000000"/>
        </w:rPr>
        <w:t>r</w:t>
      </w:r>
      <w:r w:rsidRPr="00F02A8D">
        <w:rPr>
          <w:rFonts w:cs="Arial"/>
          <w:color w:val="000000"/>
        </w:rPr>
        <w:t xml:space="preserve"> a le fardeau de démontrer que les cinq éléments constitutifs de la plainte sont tous présents. Ces critères sont les suivants :</w:t>
      </w:r>
    </w:p>
    <w:p w14:paraId="770CCB64" w14:textId="37D4FCCD" w:rsidR="001B11FB" w:rsidRPr="00771C06" w:rsidRDefault="001B11FB" w:rsidP="008C31AB">
      <w:pPr>
        <w:pStyle w:val="Citationenretrait"/>
        <w:numPr>
          <w:ilvl w:val="0"/>
          <w:numId w:val="18"/>
        </w:numPr>
      </w:pPr>
      <w:r w:rsidRPr="00771C06">
        <w:t>est un travailleu</w:t>
      </w:r>
      <w:r w:rsidR="00AA1282" w:rsidRPr="00771C06">
        <w:t>r</w:t>
      </w:r>
      <w:r w:rsidRPr="00771C06">
        <w:t xml:space="preserve"> au sens de la loi;</w:t>
      </w:r>
    </w:p>
    <w:p w14:paraId="7A259304" w14:textId="7D1C4300" w:rsidR="001B11FB" w:rsidRPr="00771C06" w:rsidRDefault="001B11FB" w:rsidP="008C31AB">
      <w:pPr>
        <w:pStyle w:val="Citationenretrait"/>
        <w:numPr>
          <w:ilvl w:val="0"/>
          <w:numId w:val="18"/>
        </w:numPr>
      </w:pPr>
      <w:r w:rsidRPr="00771C06">
        <w:t>a été victime d’une lésion professionnelle ou a exercé un droit conféré par la loi;</w:t>
      </w:r>
    </w:p>
    <w:p w14:paraId="0E8602FB" w14:textId="30962C9F" w:rsidR="001B11FB" w:rsidRPr="00771C06" w:rsidRDefault="008C31AB" w:rsidP="008C31AB">
      <w:pPr>
        <w:pStyle w:val="Citationenretrait"/>
        <w:numPr>
          <w:ilvl w:val="0"/>
          <w:numId w:val="18"/>
        </w:numPr>
      </w:pPr>
      <w:r>
        <w:t>a</w:t>
      </w:r>
      <w:r w:rsidR="001B11FB" w:rsidRPr="00771C06">
        <w:t xml:space="preserve"> été l’objet d’une sanction ou d’une mesure prohibée;</w:t>
      </w:r>
    </w:p>
    <w:p w14:paraId="462D1AD8" w14:textId="7EC16B10" w:rsidR="001B11FB" w:rsidRDefault="001B11FB" w:rsidP="008C31AB">
      <w:pPr>
        <w:pStyle w:val="Citationenretrait"/>
        <w:numPr>
          <w:ilvl w:val="0"/>
          <w:numId w:val="18"/>
        </w:numPr>
      </w:pPr>
      <w:r w:rsidRPr="00771C06">
        <w:t>a déposé sa plainte à l’intérieur du délai prescrit par la loi;</w:t>
      </w:r>
    </w:p>
    <w:p w14:paraId="6BD9F13D" w14:textId="77777777" w:rsidR="00B336BF" w:rsidRPr="00771C06" w:rsidRDefault="00B336BF" w:rsidP="00B336BF">
      <w:pPr>
        <w:pStyle w:val="Citationenretrait"/>
        <w:numPr>
          <w:ilvl w:val="0"/>
          <w:numId w:val="18"/>
        </w:numPr>
      </w:pPr>
      <w:r w:rsidRPr="00771C06">
        <w:t>a opté pour une plainte plutôt qu’un grief;</w:t>
      </w:r>
    </w:p>
    <w:p w14:paraId="4BEDE8C7" w14:textId="2430F01E" w:rsidR="00DF6F9E" w:rsidRDefault="00DF6F9E" w:rsidP="00177DE4">
      <w:pPr>
        <w:pStyle w:val="Paragraphe"/>
        <w:tabs>
          <w:tab w:val="left" w:pos="851"/>
        </w:tabs>
      </w:pPr>
      <w:r>
        <w:t xml:space="preserve">Le dossier d’indemnisation </w:t>
      </w:r>
      <w:r w:rsidR="00112562">
        <w:t xml:space="preserve">du travailleur à </w:t>
      </w:r>
      <w:r>
        <w:t>la Commission permet de constater qu</w:t>
      </w:r>
      <w:r w:rsidR="00401723">
        <w:t xml:space="preserve">’il </w:t>
      </w:r>
      <w:r>
        <w:t xml:space="preserve">en est un au sens de la </w:t>
      </w:r>
      <w:r w:rsidR="00FD1DE6">
        <w:t>LATMP</w:t>
      </w:r>
      <w:r>
        <w:t>. Il a été victime d’une lésion professionnelle le 20 novembre 2022. De plus, aucun grief n’a été déposé.</w:t>
      </w:r>
    </w:p>
    <w:p w14:paraId="1F0EAFB0" w14:textId="2C3FE222" w:rsidR="00177DE4" w:rsidRPr="004103B1" w:rsidRDefault="00177DE4" w:rsidP="00177DE4">
      <w:pPr>
        <w:pStyle w:val="Paragraphe"/>
        <w:tabs>
          <w:tab w:val="left" w:pos="851"/>
        </w:tabs>
      </w:pPr>
      <w:r w:rsidRPr="00177DE4">
        <w:t xml:space="preserve">Reste donc </w:t>
      </w:r>
      <w:r w:rsidR="004F2B34">
        <w:t>à déterminer</w:t>
      </w:r>
      <w:r w:rsidRPr="00177DE4">
        <w:t xml:space="preserve"> s’il y a présence d’une sanction ou d’une mesure de représailles imposée par l’employeur et si la plainte a été déposée dans les 30 jours de la sanction ou mesure alléguée.</w:t>
      </w:r>
      <w:r w:rsidR="00D10136" w:rsidRPr="00D10136">
        <w:rPr>
          <w:kern w:val="0"/>
          <w:szCs w:val="24"/>
        </w:rPr>
        <w:t xml:space="preserve"> </w:t>
      </w:r>
    </w:p>
    <w:p w14:paraId="7922233F" w14:textId="06B008F7" w:rsidR="004103B1" w:rsidRDefault="004103B1" w:rsidP="004103B1">
      <w:pPr>
        <w:pStyle w:val="Paragraphe"/>
        <w:tabs>
          <w:tab w:val="clear" w:pos="2136"/>
          <w:tab w:val="num" w:pos="720"/>
        </w:tabs>
      </w:pPr>
      <w:r w:rsidRPr="004103B1">
        <w:t xml:space="preserve">La Commission doit déterminer si le refus </w:t>
      </w:r>
      <w:r w:rsidR="00A37D48">
        <w:t>de</w:t>
      </w:r>
      <w:r w:rsidRPr="004103B1">
        <w:t xml:space="preserve"> l’employeur de </w:t>
      </w:r>
      <w:r w:rsidR="00913998">
        <w:t xml:space="preserve">comptabiliser </w:t>
      </w:r>
      <w:r w:rsidR="005F3052">
        <w:t>les heures non</w:t>
      </w:r>
      <w:r w:rsidR="005B66E9">
        <w:t xml:space="preserve"> </w:t>
      </w:r>
      <w:r w:rsidR="005F3052">
        <w:t>travaillées du travailleur durant la période où il s’est absenté</w:t>
      </w:r>
      <w:r w:rsidR="005727CB">
        <w:t xml:space="preserve"> soit du 5 décembre 2022 au 11 mars 2023</w:t>
      </w:r>
      <w:r w:rsidR="00134D7D">
        <w:t xml:space="preserve"> pour le calcul du « boni </w:t>
      </w:r>
      <w:r w:rsidR="00B907E6">
        <w:t xml:space="preserve">REER » </w:t>
      </w:r>
      <w:r w:rsidR="003964F2">
        <w:t>est une sanction ou une mesure au sens de la LATMP</w:t>
      </w:r>
      <w:r w:rsidR="00480F55">
        <w:t>.</w:t>
      </w:r>
    </w:p>
    <w:p w14:paraId="2E906968" w14:textId="46B19D91" w:rsidR="00AE5521" w:rsidRPr="00C02DA2" w:rsidRDefault="00AE5521" w:rsidP="004103B1">
      <w:pPr>
        <w:pStyle w:val="Paragraphe"/>
        <w:tabs>
          <w:tab w:val="clear" w:pos="2136"/>
          <w:tab w:val="num" w:pos="720"/>
        </w:tabs>
      </w:pPr>
      <w:r>
        <w:rPr>
          <w:rFonts w:cs="Arial"/>
          <w:color w:val="000000"/>
        </w:rPr>
        <w:t>Pour déterminer si l’employeur a imposé ou non une sanction ou une mesure au travailleur lors du versement du</w:t>
      </w:r>
      <w:r w:rsidR="004925F5">
        <w:rPr>
          <w:rFonts w:cs="Arial"/>
          <w:color w:val="000000"/>
        </w:rPr>
        <w:t xml:space="preserve"> « boni</w:t>
      </w:r>
      <w:r w:rsidR="00F078DD">
        <w:rPr>
          <w:rFonts w:cs="Arial"/>
          <w:color w:val="000000"/>
        </w:rPr>
        <w:t xml:space="preserve"> </w:t>
      </w:r>
      <w:r w:rsidR="004925F5">
        <w:rPr>
          <w:rFonts w:cs="Arial"/>
          <w:color w:val="000000"/>
        </w:rPr>
        <w:t>REER »</w:t>
      </w:r>
      <w:r>
        <w:rPr>
          <w:rFonts w:cs="Arial"/>
          <w:color w:val="000000"/>
        </w:rPr>
        <w:t>, il convient de reprendre les</w:t>
      </w:r>
      <w:r w:rsidR="00F078DD">
        <w:rPr>
          <w:rFonts w:cs="Arial"/>
          <w:color w:val="000000"/>
        </w:rPr>
        <w:t xml:space="preserve"> articles</w:t>
      </w:r>
      <w:r>
        <w:rPr>
          <w:rFonts w:cs="Arial"/>
          <w:color w:val="000000"/>
        </w:rPr>
        <w:t> 4 et</w:t>
      </w:r>
      <w:r w:rsidR="00F078DD">
        <w:rPr>
          <w:rFonts w:cs="Arial"/>
          <w:color w:val="000000"/>
        </w:rPr>
        <w:t xml:space="preserve"> 242 </w:t>
      </w:r>
      <w:r>
        <w:rPr>
          <w:rFonts w:cs="Arial"/>
          <w:color w:val="000000"/>
        </w:rPr>
        <w:t xml:space="preserve">de la </w:t>
      </w:r>
      <w:r w:rsidR="00863A01">
        <w:rPr>
          <w:rFonts w:cs="Arial"/>
          <w:color w:val="000000"/>
        </w:rPr>
        <w:t>LATMP</w:t>
      </w:r>
      <w:r w:rsidR="00C02DA2">
        <w:rPr>
          <w:rFonts w:cs="Arial"/>
          <w:color w:val="000000"/>
        </w:rPr>
        <w:t xml:space="preserve"> qui se lisent comme suit :</w:t>
      </w:r>
    </w:p>
    <w:p w14:paraId="59D4DE66" w14:textId="28294B15" w:rsidR="00C02DA2" w:rsidRDefault="00C02DA2" w:rsidP="00C02DA2">
      <w:pPr>
        <w:pStyle w:val="Citationenretrait"/>
        <w:rPr>
          <w:lang w:eastAsia="fr-CA"/>
        </w:rPr>
      </w:pPr>
      <w:r>
        <w:t>4. La présente loi est d’ordre public.</w:t>
      </w:r>
    </w:p>
    <w:p w14:paraId="5664E4B1" w14:textId="77777777" w:rsidR="00C02DA2" w:rsidRDefault="00C02DA2" w:rsidP="00C02DA2">
      <w:pPr>
        <w:pStyle w:val="Citationenretrait"/>
      </w:pPr>
      <w:r>
        <w:t>Cependant, une convention ou une entente ou un décret qui y donne effet peut prévoir pour un travailleur des dispositions plus avantageuses que celles que prévoit la présente loi.</w:t>
      </w:r>
    </w:p>
    <w:p w14:paraId="0E02AA17" w14:textId="77777777" w:rsidR="00B336BF" w:rsidRDefault="00B336BF" w:rsidP="00C02DA2">
      <w:pPr>
        <w:pStyle w:val="Citationenretrait"/>
      </w:pPr>
    </w:p>
    <w:p w14:paraId="67251C64" w14:textId="57F796A8" w:rsidR="00D05BB8" w:rsidRDefault="00D05BB8" w:rsidP="00D05BB8">
      <w:pPr>
        <w:pStyle w:val="Citationenretrait"/>
        <w:rPr>
          <w:lang w:eastAsia="fr-CA"/>
        </w:rPr>
      </w:pPr>
      <w:r>
        <w:t>242. Le travailleur qui réintègre son emploi ou un emploi équivalent a droit de recevoir le salaire et les avantages aux mêmes taux et conditions que ceux dont il bénéficierait s’il avait continué à exercer son emploi pendant son absence.</w:t>
      </w:r>
    </w:p>
    <w:p w14:paraId="15BF0637" w14:textId="77777777" w:rsidR="00D05BB8" w:rsidRDefault="00D05BB8" w:rsidP="00D05BB8">
      <w:pPr>
        <w:pStyle w:val="Citationenretrait"/>
      </w:pPr>
      <w:r>
        <w:t>Le travailleur qui occupe un emploi convenable a droit de recevoir le salaire et les avantages liés à cet emploi, en tenant compte de l’ancienneté et du service continu qu’il a accumulés.</w:t>
      </w:r>
    </w:p>
    <w:p w14:paraId="3195F97E" w14:textId="0C4C4DB5" w:rsidR="00497D7E" w:rsidRPr="00AD38C5" w:rsidRDefault="00497D7E" w:rsidP="004103B1">
      <w:pPr>
        <w:pStyle w:val="Paragraphe"/>
        <w:tabs>
          <w:tab w:val="clear" w:pos="2136"/>
          <w:tab w:val="num" w:pos="720"/>
        </w:tabs>
      </w:pPr>
      <w:r>
        <w:rPr>
          <w:rFonts w:cs="Arial"/>
          <w:color w:val="000000"/>
        </w:rPr>
        <w:t xml:space="preserve">La Commission constate qu’à compter du </w:t>
      </w:r>
      <w:r w:rsidR="00CA499B">
        <w:rPr>
          <w:rFonts w:cs="Arial"/>
          <w:color w:val="000000"/>
        </w:rPr>
        <w:t>12</w:t>
      </w:r>
      <w:r>
        <w:rPr>
          <w:rFonts w:cs="Arial"/>
          <w:color w:val="000000"/>
        </w:rPr>
        <w:t xml:space="preserve"> </w:t>
      </w:r>
      <w:r w:rsidR="00CA499B">
        <w:rPr>
          <w:rFonts w:cs="Arial"/>
          <w:color w:val="000000"/>
        </w:rPr>
        <w:t>mars</w:t>
      </w:r>
      <w:r>
        <w:rPr>
          <w:rFonts w:cs="Arial"/>
          <w:color w:val="000000"/>
        </w:rPr>
        <w:t xml:space="preserve"> 2023, le travailleur ne reçoit plus d’IRR et qu’il est en processus de retour au travail. Ainsi, au moment du calcul du</w:t>
      </w:r>
      <w:r w:rsidR="00BB2FFB">
        <w:rPr>
          <w:rFonts w:cs="Arial"/>
          <w:color w:val="000000"/>
        </w:rPr>
        <w:t xml:space="preserve"> « boni</w:t>
      </w:r>
      <w:r w:rsidR="0041063C">
        <w:rPr>
          <w:rFonts w:cs="Arial"/>
          <w:color w:val="000000"/>
        </w:rPr>
        <w:t xml:space="preserve"> REER</w:t>
      </w:r>
      <w:r w:rsidR="00BB2FFB">
        <w:rPr>
          <w:rFonts w:cs="Arial"/>
          <w:color w:val="000000"/>
        </w:rPr>
        <w:t xml:space="preserve"> </w:t>
      </w:r>
      <w:r w:rsidR="0041063C">
        <w:rPr>
          <w:rFonts w:cs="Arial"/>
          <w:color w:val="000000"/>
        </w:rPr>
        <w:t>»</w:t>
      </w:r>
      <w:r>
        <w:rPr>
          <w:rFonts w:cs="Arial"/>
          <w:color w:val="000000"/>
        </w:rPr>
        <w:t> </w:t>
      </w:r>
      <w:r w:rsidR="00055FFE">
        <w:rPr>
          <w:rFonts w:cs="Arial"/>
          <w:color w:val="000000"/>
        </w:rPr>
        <w:t>en février 202</w:t>
      </w:r>
      <w:r w:rsidR="008D7FBC">
        <w:rPr>
          <w:rFonts w:cs="Arial"/>
          <w:color w:val="000000"/>
        </w:rPr>
        <w:t>4</w:t>
      </w:r>
      <w:r>
        <w:rPr>
          <w:rFonts w:cs="Arial"/>
          <w:color w:val="000000"/>
        </w:rPr>
        <w:t>, le travailleur est de retour à son emploi et bénéficie donc de la protection</w:t>
      </w:r>
      <w:r w:rsidR="00F4063E">
        <w:rPr>
          <w:rFonts w:cs="Arial"/>
          <w:color w:val="000000"/>
        </w:rPr>
        <w:t xml:space="preserve"> de l’article 242 de la LATMP.</w:t>
      </w:r>
    </w:p>
    <w:p w14:paraId="41668C55" w14:textId="014A2F85" w:rsidR="00AD38C5" w:rsidRPr="00497D7E" w:rsidRDefault="00AD38C5" w:rsidP="004103B1">
      <w:pPr>
        <w:pStyle w:val="Paragraphe"/>
        <w:tabs>
          <w:tab w:val="clear" w:pos="2136"/>
          <w:tab w:val="num" w:pos="720"/>
        </w:tabs>
      </w:pPr>
      <w:r>
        <w:rPr>
          <w:rFonts w:cs="Arial"/>
          <w:color w:val="000000"/>
        </w:rPr>
        <w:t>Conséquemment, le travailleur a droit de recevoir le salaire et les avantages aux mêmes taux et conditions que ceux dont il bénéficierait s'il avait continué à exercer son emploi pendant son absence du travail</w:t>
      </w:r>
      <w:r w:rsidR="005B1D5C">
        <w:rPr>
          <w:rFonts w:cs="Arial"/>
          <w:color w:val="000000"/>
        </w:rPr>
        <w:t>.</w:t>
      </w:r>
    </w:p>
    <w:p w14:paraId="3FA04F5D" w14:textId="7B94E5D8" w:rsidR="00C00FCB" w:rsidRPr="00843C72" w:rsidRDefault="00C00FCB" w:rsidP="00071141">
      <w:pPr>
        <w:pStyle w:val="Paragraphe"/>
        <w:tabs>
          <w:tab w:val="left" w:pos="851"/>
        </w:tabs>
      </w:pPr>
      <w:r>
        <w:rPr>
          <w:rFonts w:cs="Arial"/>
          <w:color w:val="000000"/>
        </w:rPr>
        <w:t xml:space="preserve">Dès lors, la Commission considère que le travailleur a été l’objet d’une mesure </w:t>
      </w:r>
      <w:r w:rsidR="00B047A4">
        <w:rPr>
          <w:rFonts w:cs="Arial"/>
          <w:color w:val="000000"/>
        </w:rPr>
        <w:t xml:space="preserve">ou sanction </w:t>
      </w:r>
      <w:r>
        <w:rPr>
          <w:rFonts w:cs="Arial"/>
          <w:color w:val="000000"/>
        </w:rPr>
        <w:t>au sens de l’article 32 de la LATMP.</w:t>
      </w:r>
    </w:p>
    <w:p w14:paraId="729F1A4D" w14:textId="0D77AE64" w:rsidR="00843C72" w:rsidRPr="00D56C7D" w:rsidRDefault="00843C72" w:rsidP="00843C72">
      <w:pPr>
        <w:pStyle w:val="Paragraphe"/>
        <w:tabs>
          <w:tab w:val="left" w:pos="851"/>
        </w:tabs>
      </w:pPr>
      <w:r w:rsidRPr="004320FA">
        <w:t xml:space="preserve">En ce qui concerne le délai </w:t>
      </w:r>
      <w:r>
        <w:t>du</w:t>
      </w:r>
      <w:r w:rsidRPr="004320FA">
        <w:t xml:space="preserve"> dépôt de la plainte, la Commission rappelle que</w:t>
      </w:r>
      <w:r>
        <w:t xml:space="preserve"> l’article 32 de la </w:t>
      </w:r>
      <w:r w:rsidR="00F53610">
        <w:t>loi</w:t>
      </w:r>
      <w:r>
        <w:t xml:space="preserve"> </w:t>
      </w:r>
      <w:r w:rsidRPr="004320FA">
        <w:t>prévoit un délai de 30 jours de la</w:t>
      </w:r>
      <w:r w:rsidR="00F53610">
        <w:t xml:space="preserve"> connaissance de la</w:t>
      </w:r>
      <w:r w:rsidRPr="004320FA">
        <w:t xml:space="preserve"> sanction ou de la mesure dont </w:t>
      </w:r>
      <w:r>
        <w:t>l</w:t>
      </w:r>
      <w:r w:rsidR="008A0AA2">
        <w:t>e</w:t>
      </w:r>
      <w:r>
        <w:t xml:space="preserve"> travailleu</w:t>
      </w:r>
      <w:r w:rsidR="008A0AA2">
        <w:t>r</w:t>
      </w:r>
      <w:r w:rsidRPr="004320FA">
        <w:t xml:space="preserve"> se plaint.</w:t>
      </w:r>
      <w:r w:rsidR="000109C9">
        <w:t xml:space="preserve"> La Commission note que c’est en février 2024 que le travailleur a connaissance de l</w:t>
      </w:r>
      <w:r w:rsidR="004B6DFF">
        <w:t xml:space="preserve">a </w:t>
      </w:r>
      <w:r w:rsidR="0006108B">
        <w:t>non-comptabilisation</w:t>
      </w:r>
      <w:r w:rsidR="004B6DFF">
        <w:t xml:space="preserve"> des heures non</w:t>
      </w:r>
      <w:r w:rsidR="005B66E9">
        <w:t xml:space="preserve"> </w:t>
      </w:r>
      <w:r w:rsidR="004B6DFF">
        <w:t xml:space="preserve">travaillées </w:t>
      </w:r>
      <w:r w:rsidR="00B8518E">
        <w:t>au</w:t>
      </w:r>
      <w:r w:rsidR="000436BF">
        <w:t xml:space="preserve"> </w:t>
      </w:r>
      <w:r w:rsidR="004B6DFF">
        <w:t xml:space="preserve">montant </w:t>
      </w:r>
      <w:r w:rsidR="000436BF">
        <w:t>correspondant à</w:t>
      </w:r>
      <w:r w:rsidR="004B6DFF">
        <w:t xml:space="preserve"> son </w:t>
      </w:r>
      <w:r w:rsidR="000436BF">
        <w:t xml:space="preserve">« </w:t>
      </w:r>
      <w:r w:rsidR="004B6DFF">
        <w:t>boni REER</w:t>
      </w:r>
      <w:r w:rsidR="00F6095F">
        <w:t>»</w:t>
      </w:r>
      <w:r w:rsidR="0006108B">
        <w:t xml:space="preserve">. </w:t>
      </w:r>
      <w:r w:rsidR="00D45DF4">
        <w:rPr>
          <w:rFonts w:cs="Arial"/>
          <w:color w:val="000000"/>
          <w:kern w:val="0"/>
          <w:szCs w:val="24"/>
        </w:rPr>
        <w:t>E</w:t>
      </w:r>
      <w:r w:rsidR="00D45DF4" w:rsidRPr="00F06C36">
        <w:rPr>
          <w:rFonts w:cs="Arial"/>
          <w:color w:val="000000"/>
          <w:kern w:val="0"/>
          <w:szCs w:val="24"/>
        </w:rPr>
        <w:t xml:space="preserve">n déposant sa plainte </w:t>
      </w:r>
      <w:r w:rsidR="009138C0">
        <w:rPr>
          <w:rFonts w:cs="Arial"/>
          <w:color w:val="000000"/>
          <w:kern w:val="0"/>
          <w:szCs w:val="24"/>
        </w:rPr>
        <w:t xml:space="preserve">en février 2024, </w:t>
      </w:r>
      <w:r w:rsidR="00D45DF4" w:rsidRPr="00F06C36">
        <w:rPr>
          <w:rFonts w:cs="Arial"/>
          <w:color w:val="000000"/>
          <w:kern w:val="0"/>
          <w:szCs w:val="24"/>
        </w:rPr>
        <w:t>l</w:t>
      </w:r>
      <w:r w:rsidR="009138C0">
        <w:rPr>
          <w:rFonts w:cs="Arial"/>
          <w:color w:val="000000"/>
          <w:kern w:val="0"/>
          <w:szCs w:val="24"/>
        </w:rPr>
        <w:t>e</w:t>
      </w:r>
      <w:r w:rsidR="00D45DF4" w:rsidRPr="00F06C36">
        <w:rPr>
          <w:rFonts w:cs="Arial"/>
          <w:color w:val="000000"/>
          <w:kern w:val="0"/>
          <w:szCs w:val="24"/>
        </w:rPr>
        <w:t xml:space="preserve"> travailleu</w:t>
      </w:r>
      <w:r w:rsidR="009138C0">
        <w:rPr>
          <w:rFonts w:cs="Arial"/>
          <w:color w:val="000000"/>
          <w:kern w:val="0"/>
          <w:szCs w:val="24"/>
        </w:rPr>
        <w:t>r</w:t>
      </w:r>
      <w:r w:rsidR="00D45DF4" w:rsidRPr="00F06C36">
        <w:rPr>
          <w:rFonts w:cs="Arial"/>
          <w:color w:val="000000"/>
          <w:kern w:val="0"/>
          <w:szCs w:val="24"/>
        </w:rPr>
        <w:t xml:space="preserve"> respecte le délai de 30 jours prescrit par la</w:t>
      </w:r>
      <w:r w:rsidR="00D45DF4">
        <w:rPr>
          <w:rFonts w:cs="Arial"/>
          <w:color w:val="000000"/>
          <w:kern w:val="0"/>
          <w:szCs w:val="24"/>
        </w:rPr>
        <w:t xml:space="preserve"> loi</w:t>
      </w:r>
      <w:r w:rsidR="009138C0">
        <w:rPr>
          <w:rFonts w:cs="Arial"/>
          <w:color w:val="000000"/>
          <w:kern w:val="0"/>
          <w:szCs w:val="24"/>
        </w:rPr>
        <w:t>.</w:t>
      </w:r>
    </w:p>
    <w:p w14:paraId="144E7B3B" w14:textId="50001BE5" w:rsidR="00D56C7D" w:rsidRDefault="00D56C7D" w:rsidP="00D56C7D">
      <w:pPr>
        <w:pStyle w:val="Paragraphe"/>
        <w:tabs>
          <w:tab w:val="clear" w:pos="2136"/>
          <w:tab w:val="num" w:pos="720"/>
        </w:tabs>
      </w:pPr>
      <w:r>
        <w:t xml:space="preserve">Ainsi, tous les critères conditionnels à l’ouverture d’une plainte déposée en vertu de l’article 32 de la LATMP </w:t>
      </w:r>
      <w:r w:rsidR="00724268">
        <w:t>sont présents</w:t>
      </w:r>
      <w:r>
        <w:t>. La plainte est donc recevable.</w:t>
      </w:r>
    </w:p>
    <w:p w14:paraId="076A2F03" w14:textId="131485AA" w:rsidR="00071141" w:rsidRPr="00071141" w:rsidRDefault="00071141" w:rsidP="00071141">
      <w:pPr>
        <w:pStyle w:val="Paragraphe"/>
        <w:tabs>
          <w:tab w:val="left" w:pos="851"/>
        </w:tabs>
      </w:pPr>
      <w:r w:rsidRPr="00071141">
        <w:t>La Commission doit alors déterminer si la présomption en faveur d</w:t>
      </w:r>
      <w:r w:rsidR="005727CB">
        <w:t>u</w:t>
      </w:r>
      <w:r w:rsidRPr="00071141">
        <w:t xml:space="preserve"> travailleu</w:t>
      </w:r>
      <w:r w:rsidR="005727CB">
        <w:t>r</w:t>
      </w:r>
      <w:r w:rsidRPr="00071141">
        <w:t xml:space="preserve"> s’applique </w:t>
      </w:r>
      <w:r w:rsidR="001E318B">
        <w:t>comm</w:t>
      </w:r>
      <w:r w:rsidRPr="00071141">
        <w:t>e cité à</w:t>
      </w:r>
      <w:r>
        <w:t xml:space="preserve"> l’article 255 de la loi :</w:t>
      </w:r>
    </w:p>
    <w:p w14:paraId="0F9A44A9" w14:textId="77777777" w:rsidR="00071141" w:rsidRDefault="00071141" w:rsidP="00317B19">
      <w:pPr>
        <w:pStyle w:val="Citationenretrait"/>
      </w:pPr>
      <w:r w:rsidRPr="00071141">
        <w:rPr>
          <w:b/>
          <w:bCs/>
        </w:rPr>
        <w:t>255.</w:t>
      </w:r>
      <w:r w:rsidRPr="00071141">
        <w:t> S’il est établi à la satisfaction de la Commission que le travailleur a été l’objet d’une sanction ou d’une mesure visée dans l’article 32 dans les six mois de la date où il a été victime d’une lésion professionnelle ou de la date où il a exercé un droit que lui confère la présente loi, il y a présomption en faveur du travailleur que la sanction lui a été imposée ou que la mesure a été prise contre lui parce qu’il a été victime d’une lésion professionnelle ou à cause de l’existence de ce droit.</w:t>
      </w:r>
    </w:p>
    <w:p w14:paraId="0E0A806B" w14:textId="77777777" w:rsidR="006C7BA8" w:rsidRPr="006C7BA8" w:rsidRDefault="006C7BA8" w:rsidP="006C7BA8">
      <w:pPr>
        <w:spacing w:before="120" w:after="120"/>
        <w:ind w:left="708" w:right="720"/>
        <w:jc w:val="both"/>
        <w:rPr>
          <w:kern w:val="24"/>
          <w:sz w:val="22"/>
          <w:szCs w:val="20"/>
        </w:rPr>
      </w:pPr>
      <w:r w:rsidRPr="006C7BA8">
        <w:rPr>
          <w:kern w:val="24"/>
          <w:sz w:val="22"/>
          <w:szCs w:val="20"/>
        </w:rPr>
        <w:t>Dans ce cas, il incombe à l’employeur de prouver qu’il a pris cette sanction ou cette mesure à l’égard du travailleur pour une cause juste et suffisante.</w:t>
      </w:r>
    </w:p>
    <w:p w14:paraId="51490AFE" w14:textId="77777777" w:rsidR="006C7BA8" w:rsidRPr="00071141" w:rsidRDefault="006C7BA8" w:rsidP="00317B19">
      <w:pPr>
        <w:pStyle w:val="Citationenretrait"/>
      </w:pPr>
    </w:p>
    <w:p w14:paraId="13297F24" w14:textId="7CFBD1CB" w:rsidR="001B5ABC" w:rsidRDefault="001B5ABC" w:rsidP="001B5ABC">
      <w:pPr>
        <w:pStyle w:val="Paragraphe"/>
        <w:tabs>
          <w:tab w:val="clear" w:pos="2136"/>
          <w:tab w:val="num" w:pos="720"/>
        </w:tabs>
        <w:rPr>
          <w:kern w:val="24"/>
        </w:rPr>
      </w:pPr>
      <w:r>
        <w:rPr>
          <w:kern w:val="24"/>
        </w:rPr>
        <w:t>Pour que la présomption de l’article 255 s’applique, le travailleur doit avoir exercé un droit ou avoir été victime d’une lésion professionnelle dans les six mois précédent</w:t>
      </w:r>
      <w:r w:rsidR="00486F8E">
        <w:rPr>
          <w:kern w:val="24"/>
        </w:rPr>
        <w:t>s</w:t>
      </w:r>
      <w:r>
        <w:rPr>
          <w:kern w:val="24"/>
        </w:rPr>
        <w:t xml:space="preserve"> la sanction dont il se plaint.</w:t>
      </w:r>
    </w:p>
    <w:p w14:paraId="39FF3DF4" w14:textId="1C818BA6" w:rsidR="001B5ABC" w:rsidRDefault="001B5ABC" w:rsidP="001B5ABC">
      <w:pPr>
        <w:pStyle w:val="Paragraphe"/>
        <w:tabs>
          <w:tab w:val="clear" w:pos="2136"/>
          <w:tab w:val="num" w:pos="720"/>
        </w:tabs>
        <w:rPr>
          <w:kern w:val="24"/>
        </w:rPr>
      </w:pPr>
      <w:r w:rsidRPr="00F21120">
        <w:rPr>
          <w:kern w:val="24"/>
        </w:rPr>
        <w:t>Dans le prés</w:t>
      </w:r>
      <w:r>
        <w:rPr>
          <w:kern w:val="24"/>
        </w:rPr>
        <w:t xml:space="preserve">ent dossier, le travailleur </w:t>
      </w:r>
      <w:r w:rsidRPr="00F21120">
        <w:rPr>
          <w:kern w:val="24"/>
        </w:rPr>
        <w:t xml:space="preserve">n’a exercé aucun droit conféré par la loi dans les six mois précédents la </w:t>
      </w:r>
      <w:r>
        <w:rPr>
          <w:kern w:val="24"/>
        </w:rPr>
        <w:t>sanction</w:t>
      </w:r>
      <w:r w:rsidRPr="00F21120">
        <w:rPr>
          <w:kern w:val="24"/>
        </w:rPr>
        <w:t xml:space="preserve"> dont il se plaint</w:t>
      </w:r>
      <w:r w:rsidR="00FB66DC">
        <w:rPr>
          <w:kern w:val="24"/>
        </w:rPr>
        <w:t xml:space="preserve"> puisque la lésion professionnelle est consolidée depuis le 20 juillet 2023</w:t>
      </w:r>
      <w:r w:rsidRPr="00F21120">
        <w:rPr>
          <w:kern w:val="24"/>
        </w:rPr>
        <w:t>. Le travailleur ne peut donc bénéficier de la présomption édictée à l’article 255 de la loi</w:t>
      </w:r>
      <w:r>
        <w:rPr>
          <w:kern w:val="24"/>
        </w:rPr>
        <w:t xml:space="preserve">. </w:t>
      </w:r>
    </w:p>
    <w:p w14:paraId="12AECA08" w14:textId="0E430823" w:rsidR="006A2D5F" w:rsidRDefault="006A2D5F" w:rsidP="001B5ABC">
      <w:pPr>
        <w:pStyle w:val="Paragraphe"/>
        <w:tabs>
          <w:tab w:val="clear" w:pos="2136"/>
          <w:tab w:val="num" w:pos="720"/>
        </w:tabs>
        <w:rPr>
          <w:kern w:val="24"/>
        </w:rPr>
      </w:pPr>
      <w:r>
        <w:rPr>
          <w:kern w:val="24"/>
        </w:rPr>
        <w:t xml:space="preserve">Le travailleur doit donc démontrer par preuve prépondérante qu’il a fait l’objet d’une sanction ou d’une mesure de la part de son employeur parce qu’il a été </w:t>
      </w:r>
      <w:r w:rsidR="00CD2986">
        <w:rPr>
          <w:kern w:val="24"/>
        </w:rPr>
        <w:t>victime d’une lésion professionnelle ou qu’il a exercé un droit reconnu à la loi.</w:t>
      </w:r>
    </w:p>
    <w:p w14:paraId="4092B561" w14:textId="66BD69EF" w:rsidR="004D710A" w:rsidRPr="00EC3D52" w:rsidRDefault="00173315" w:rsidP="00CB5D54">
      <w:pPr>
        <w:pStyle w:val="Paragraphe"/>
        <w:tabs>
          <w:tab w:val="clear" w:pos="2136"/>
          <w:tab w:val="num" w:pos="720"/>
        </w:tabs>
        <w:jc w:val="left"/>
      </w:pPr>
      <w:r w:rsidRPr="00173315">
        <w:rPr>
          <w:kern w:val="24"/>
        </w:rPr>
        <w:t>L</w:t>
      </w:r>
      <w:r w:rsidR="00A072C1">
        <w:rPr>
          <w:kern w:val="24"/>
        </w:rPr>
        <w:t>es prétentions du représentant du travailleur sont à l’effet</w:t>
      </w:r>
      <w:r w:rsidR="0097776D">
        <w:rPr>
          <w:kern w:val="24"/>
        </w:rPr>
        <w:t xml:space="preserve"> que le travailleur a</w:t>
      </w:r>
      <w:r w:rsidR="00274B94">
        <w:rPr>
          <w:kern w:val="24"/>
        </w:rPr>
        <w:t xml:space="preserve"> été victime d’une mesure ou d’une sanction </w:t>
      </w:r>
      <w:r w:rsidR="0018336A">
        <w:rPr>
          <w:kern w:val="24"/>
        </w:rPr>
        <w:t>par l’employeur</w:t>
      </w:r>
      <w:r w:rsidR="006A5D82">
        <w:rPr>
          <w:kern w:val="24"/>
        </w:rPr>
        <w:t xml:space="preserve"> en raison de sa lésion professionnelle lorsque celui-ci</w:t>
      </w:r>
      <w:r w:rsidR="0018336A">
        <w:rPr>
          <w:kern w:val="24"/>
        </w:rPr>
        <w:t xml:space="preserve"> </w:t>
      </w:r>
      <w:r w:rsidR="006A5D82">
        <w:rPr>
          <w:kern w:val="24"/>
        </w:rPr>
        <w:t>n’a pas</w:t>
      </w:r>
      <w:r w:rsidR="0018336A">
        <w:rPr>
          <w:kern w:val="24"/>
        </w:rPr>
        <w:t xml:space="preserve"> comptabilis</w:t>
      </w:r>
      <w:r w:rsidR="00486F8E">
        <w:rPr>
          <w:kern w:val="24"/>
        </w:rPr>
        <w:t>é</w:t>
      </w:r>
      <w:r w:rsidR="0018336A">
        <w:rPr>
          <w:kern w:val="24"/>
        </w:rPr>
        <w:t xml:space="preserve"> ses heures</w:t>
      </w:r>
      <w:r w:rsidR="00380475">
        <w:rPr>
          <w:kern w:val="24"/>
        </w:rPr>
        <w:t xml:space="preserve"> non</w:t>
      </w:r>
      <w:r w:rsidR="005B66E9">
        <w:rPr>
          <w:kern w:val="24"/>
        </w:rPr>
        <w:t xml:space="preserve"> </w:t>
      </w:r>
      <w:r w:rsidR="00380475">
        <w:rPr>
          <w:kern w:val="24"/>
        </w:rPr>
        <w:t>travaillées</w:t>
      </w:r>
      <w:r w:rsidR="00A621DC">
        <w:rPr>
          <w:kern w:val="24"/>
        </w:rPr>
        <w:t xml:space="preserve">, </w:t>
      </w:r>
      <w:r w:rsidR="00274B94">
        <w:rPr>
          <w:kern w:val="24"/>
        </w:rPr>
        <w:t xml:space="preserve">lors du calcul du « boni </w:t>
      </w:r>
      <w:r w:rsidR="004573AE">
        <w:rPr>
          <w:kern w:val="24"/>
        </w:rPr>
        <w:t>REER »</w:t>
      </w:r>
      <w:r w:rsidR="0018336A">
        <w:rPr>
          <w:kern w:val="24"/>
        </w:rPr>
        <w:t xml:space="preserve">. </w:t>
      </w:r>
      <w:r w:rsidR="0076208C">
        <w:rPr>
          <w:kern w:val="24"/>
        </w:rPr>
        <w:t>Il mentionne</w:t>
      </w:r>
      <w:r w:rsidR="00A072C1">
        <w:rPr>
          <w:kern w:val="24"/>
        </w:rPr>
        <w:t xml:space="preserve"> </w:t>
      </w:r>
      <w:r w:rsidR="004D710A" w:rsidRPr="00173315">
        <w:rPr>
          <w:rFonts w:cs="Arial"/>
          <w:color w:val="000000"/>
          <w:kern w:val="0"/>
          <w:szCs w:val="24"/>
        </w:rPr>
        <w:t xml:space="preserve">que l’article 242 de la </w:t>
      </w:r>
      <w:r w:rsidR="00061B88">
        <w:rPr>
          <w:rFonts w:cs="Arial"/>
          <w:color w:val="000000"/>
          <w:kern w:val="0"/>
          <w:szCs w:val="24"/>
        </w:rPr>
        <w:t>LATMP</w:t>
      </w:r>
      <w:r w:rsidR="00F764AF">
        <w:rPr>
          <w:rFonts w:cs="Arial"/>
          <w:color w:val="000000"/>
          <w:kern w:val="0"/>
          <w:szCs w:val="24"/>
        </w:rPr>
        <w:t xml:space="preserve"> donne le</w:t>
      </w:r>
      <w:r w:rsidR="004D710A" w:rsidRPr="00173315">
        <w:rPr>
          <w:rFonts w:cs="Arial"/>
          <w:color w:val="000000"/>
          <w:kern w:val="0"/>
          <w:szCs w:val="24"/>
        </w:rPr>
        <w:t xml:space="preserve"> droit</w:t>
      </w:r>
      <w:r w:rsidR="00BB1F0B">
        <w:rPr>
          <w:rFonts w:cs="Arial"/>
          <w:color w:val="000000"/>
          <w:kern w:val="0"/>
          <w:szCs w:val="24"/>
        </w:rPr>
        <w:t xml:space="preserve"> au travailleur</w:t>
      </w:r>
      <w:r w:rsidR="004D710A" w:rsidRPr="00173315">
        <w:rPr>
          <w:rFonts w:cs="Arial"/>
          <w:color w:val="000000"/>
          <w:kern w:val="0"/>
          <w:szCs w:val="24"/>
        </w:rPr>
        <w:t xml:space="preserve">, lorsqu’il revient au travail après une période d’absence pour cause de lésion professionnelle, </w:t>
      </w:r>
      <w:r w:rsidR="00BB1F0B">
        <w:rPr>
          <w:rFonts w:cs="Arial"/>
          <w:color w:val="000000"/>
          <w:kern w:val="0"/>
          <w:szCs w:val="24"/>
        </w:rPr>
        <w:t>de cumuler les heures non</w:t>
      </w:r>
      <w:r w:rsidR="005B66E9">
        <w:rPr>
          <w:rFonts w:cs="Arial"/>
          <w:color w:val="000000"/>
          <w:kern w:val="0"/>
          <w:szCs w:val="24"/>
        </w:rPr>
        <w:t xml:space="preserve"> </w:t>
      </w:r>
      <w:r w:rsidR="00BB1F0B">
        <w:rPr>
          <w:rFonts w:cs="Arial"/>
          <w:color w:val="000000"/>
          <w:kern w:val="0"/>
          <w:szCs w:val="24"/>
        </w:rPr>
        <w:t xml:space="preserve">travaillées </w:t>
      </w:r>
      <w:r w:rsidR="00A96F50">
        <w:rPr>
          <w:rFonts w:cs="Arial"/>
          <w:color w:val="000000"/>
          <w:kern w:val="0"/>
          <w:szCs w:val="24"/>
        </w:rPr>
        <w:t>pour déterminer le montant du</w:t>
      </w:r>
      <w:r w:rsidR="004C6720">
        <w:rPr>
          <w:rFonts w:cs="Arial"/>
          <w:color w:val="000000"/>
          <w:kern w:val="0"/>
          <w:szCs w:val="24"/>
        </w:rPr>
        <w:t xml:space="preserve"> « boni</w:t>
      </w:r>
      <w:r w:rsidR="006875B7">
        <w:rPr>
          <w:rFonts w:cs="Arial"/>
          <w:color w:val="000000"/>
          <w:kern w:val="0"/>
          <w:szCs w:val="24"/>
        </w:rPr>
        <w:t xml:space="preserve"> </w:t>
      </w:r>
      <w:r w:rsidR="00F56142">
        <w:rPr>
          <w:rFonts w:cs="Arial"/>
          <w:color w:val="000000"/>
          <w:kern w:val="0"/>
          <w:szCs w:val="24"/>
        </w:rPr>
        <w:t>REER »</w:t>
      </w:r>
      <w:r w:rsidR="006875B7">
        <w:rPr>
          <w:rFonts w:cs="Arial"/>
          <w:color w:val="000000"/>
          <w:kern w:val="0"/>
          <w:szCs w:val="24"/>
        </w:rPr>
        <w:t xml:space="preserve"> comme s’il</w:t>
      </w:r>
      <w:r w:rsidR="004D710A" w:rsidRPr="00173315">
        <w:rPr>
          <w:rFonts w:cs="Arial"/>
          <w:color w:val="000000"/>
          <w:kern w:val="0"/>
          <w:szCs w:val="24"/>
        </w:rPr>
        <w:t xml:space="preserve"> avait continué à travailler. </w:t>
      </w:r>
    </w:p>
    <w:p w14:paraId="12184DD8" w14:textId="42D49842" w:rsidR="004D710A" w:rsidRPr="0064120E" w:rsidRDefault="004D710A" w:rsidP="004D710A">
      <w:pPr>
        <w:pStyle w:val="Paragraphe"/>
        <w:tabs>
          <w:tab w:val="left" w:pos="851"/>
        </w:tabs>
      </w:pPr>
      <w:r w:rsidRPr="00BD6CED">
        <w:rPr>
          <w:rFonts w:cs="Arial"/>
          <w:color w:val="000000"/>
          <w:kern w:val="0"/>
          <w:szCs w:val="24"/>
        </w:rPr>
        <w:t xml:space="preserve">Un débat existe depuis </w:t>
      </w:r>
      <w:r>
        <w:rPr>
          <w:rFonts w:cs="Arial"/>
          <w:color w:val="000000"/>
          <w:kern w:val="0"/>
          <w:szCs w:val="24"/>
        </w:rPr>
        <w:t>plusieurs année</w:t>
      </w:r>
      <w:r w:rsidR="0084764D">
        <w:rPr>
          <w:rFonts w:cs="Arial"/>
          <w:color w:val="000000"/>
          <w:kern w:val="0"/>
          <w:szCs w:val="24"/>
        </w:rPr>
        <w:t>s</w:t>
      </w:r>
      <w:r w:rsidRPr="00BD6CED">
        <w:rPr>
          <w:rFonts w:cs="Arial"/>
          <w:color w:val="000000"/>
          <w:kern w:val="0"/>
          <w:szCs w:val="24"/>
        </w:rPr>
        <w:t xml:space="preserve"> concernant l’application de</w:t>
      </w:r>
      <w:r w:rsidR="0084764D">
        <w:rPr>
          <w:rFonts w:cs="Arial"/>
          <w:color w:val="000000"/>
          <w:kern w:val="0"/>
          <w:szCs w:val="24"/>
        </w:rPr>
        <w:t xml:space="preserve"> l’article 242 de la LATMP,</w:t>
      </w:r>
      <w:r w:rsidRPr="00BD6CED">
        <w:rPr>
          <w:rFonts w:cs="Arial"/>
          <w:color w:val="000000"/>
          <w:kern w:val="0"/>
          <w:szCs w:val="24"/>
        </w:rPr>
        <w:t xml:space="preserve"> où deux courants se dégagent.</w:t>
      </w:r>
    </w:p>
    <w:p w14:paraId="6730DB6B" w14:textId="410E15D0" w:rsidR="004D710A" w:rsidRDefault="00761C4B" w:rsidP="001B5ABC">
      <w:pPr>
        <w:pStyle w:val="Paragraphe"/>
        <w:tabs>
          <w:tab w:val="clear" w:pos="2136"/>
          <w:tab w:val="num" w:pos="720"/>
        </w:tabs>
        <w:rPr>
          <w:kern w:val="24"/>
        </w:rPr>
      </w:pPr>
      <w:r w:rsidRPr="00761C4B">
        <w:rPr>
          <w:rFonts w:cs="Arial"/>
          <w:color w:val="000000"/>
          <w:kern w:val="0"/>
          <w:szCs w:val="24"/>
        </w:rPr>
        <w:t>Dans l’affaire </w:t>
      </w:r>
      <w:r w:rsidRPr="00761C4B">
        <w:rPr>
          <w:rFonts w:cs="Arial"/>
          <w:i/>
          <w:iCs/>
          <w:color w:val="000000"/>
          <w:kern w:val="0"/>
          <w:szCs w:val="24"/>
        </w:rPr>
        <w:t>Métra Aluminium</w:t>
      </w:r>
      <w:r w:rsidRPr="00761C4B">
        <w:rPr>
          <w:rFonts w:cs="Arial"/>
          <w:color w:val="000000"/>
          <w:kern w:val="0"/>
          <w:szCs w:val="24"/>
        </w:rPr>
        <w:t> et </w:t>
      </w:r>
      <w:r w:rsidRPr="00761C4B">
        <w:rPr>
          <w:rFonts w:cs="Arial"/>
          <w:i/>
          <w:iCs/>
          <w:color w:val="000000"/>
          <w:kern w:val="0"/>
          <w:szCs w:val="24"/>
        </w:rPr>
        <w:t>Goyer</w:t>
      </w:r>
      <w:r w:rsidRPr="00761C4B">
        <w:rPr>
          <w:rFonts w:cs="Arial"/>
          <w:color w:val="000000"/>
          <w:kern w:val="0"/>
          <w:szCs w:val="24"/>
        </w:rPr>
        <w:t xml:space="preserve">, la CLP rappelle dans quelles circonstances il a été permis d’appliquer ce qu’il est maintenant convenu d’appeler « la fiction » créée par </w:t>
      </w:r>
      <w:r w:rsidRPr="006854F6">
        <w:rPr>
          <w:rFonts w:cs="Arial"/>
          <w:kern w:val="0"/>
          <w:szCs w:val="24"/>
        </w:rPr>
        <w:t>l</w:t>
      </w:r>
      <w:r w:rsidR="006854F6">
        <w:rPr>
          <w:rFonts w:cs="Arial"/>
          <w:kern w:val="0"/>
          <w:szCs w:val="24"/>
        </w:rPr>
        <w:t>’article 242</w:t>
      </w:r>
      <w:r w:rsidRPr="006854F6">
        <w:rPr>
          <w:rFonts w:cs="Arial"/>
          <w:kern w:val="0"/>
          <w:szCs w:val="24"/>
        </w:rPr>
        <w:t> </w:t>
      </w:r>
      <w:r w:rsidRPr="00761C4B">
        <w:rPr>
          <w:rFonts w:cs="Arial"/>
          <w:color w:val="000000"/>
          <w:kern w:val="0"/>
          <w:szCs w:val="24"/>
        </w:rPr>
        <w:t xml:space="preserve">de la </w:t>
      </w:r>
      <w:r w:rsidR="006854F6">
        <w:rPr>
          <w:rFonts w:cs="Arial"/>
          <w:color w:val="000000"/>
          <w:kern w:val="0"/>
          <w:szCs w:val="24"/>
        </w:rPr>
        <w:t>LATMP</w:t>
      </w:r>
      <w:r w:rsidRPr="00761C4B">
        <w:rPr>
          <w:rFonts w:cs="Arial"/>
          <w:color w:val="000000"/>
          <w:kern w:val="0"/>
          <w:szCs w:val="24"/>
        </w:rPr>
        <w:t>, celle-ci permettant de considérer des périodes d’absence pour lésion professionnelle comme du temps travaillé.</w:t>
      </w:r>
    </w:p>
    <w:p w14:paraId="45FCFFD4" w14:textId="030A78D9" w:rsidR="005E1433" w:rsidRDefault="00761C4B" w:rsidP="001B5ABC">
      <w:pPr>
        <w:pStyle w:val="Paragraphe"/>
        <w:tabs>
          <w:tab w:val="clear" w:pos="2136"/>
          <w:tab w:val="num" w:pos="720"/>
        </w:tabs>
        <w:rPr>
          <w:kern w:val="24"/>
        </w:rPr>
      </w:pPr>
      <w:r w:rsidRPr="00761C4B">
        <w:rPr>
          <w:rFonts w:cs="Arial"/>
          <w:color w:val="000000"/>
          <w:kern w:val="0"/>
          <w:szCs w:val="24"/>
        </w:rPr>
        <w:t>La commissaire Morin dans la cause ci-dessus mentionnée, cite les passages suivants tirés de l’affaire </w:t>
      </w:r>
      <w:r w:rsidRPr="00761C4B">
        <w:rPr>
          <w:rFonts w:cs="Arial"/>
          <w:i/>
          <w:iCs/>
          <w:color w:val="000000"/>
          <w:kern w:val="0"/>
          <w:szCs w:val="24"/>
        </w:rPr>
        <w:t>Lefebvre</w:t>
      </w:r>
      <w:r w:rsidRPr="00761C4B">
        <w:rPr>
          <w:rFonts w:cs="Arial"/>
          <w:color w:val="000000"/>
          <w:kern w:val="0"/>
          <w:szCs w:val="24"/>
        </w:rPr>
        <w:t> et </w:t>
      </w:r>
      <w:r w:rsidRPr="00761C4B">
        <w:rPr>
          <w:rFonts w:cs="Arial"/>
          <w:i/>
          <w:iCs/>
          <w:color w:val="000000"/>
          <w:kern w:val="0"/>
          <w:szCs w:val="24"/>
        </w:rPr>
        <w:t>Centre hospitalier de l’Université de Montréal-Pavillon Notre-Dame</w:t>
      </w:r>
      <w:r w:rsidR="004C6720">
        <w:rPr>
          <w:rStyle w:val="Appelnotedebasdep"/>
          <w:rFonts w:cs="Arial"/>
          <w:i/>
          <w:iCs/>
          <w:color w:val="000000"/>
          <w:kern w:val="0"/>
          <w:szCs w:val="24"/>
        </w:rPr>
        <w:footnoteReference w:id="2"/>
      </w:r>
      <w:r w:rsidRPr="00761C4B">
        <w:rPr>
          <w:rFonts w:cs="Arial"/>
          <w:color w:val="000000"/>
          <w:kern w:val="0"/>
          <w:szCs w:val="24"/>
        </w:rPr>
        <w:t> qui vont comme suit :</w:t>
      </w:r>
    </w:p>
    <w:p w14:paraId="358ABB75" w14:textId="2FACC56A" w:rsidR="007239DF" w:rsidRDefault="007239DF" w:rsidP="006A2D5F">
      <w:pPr>
        <w:pStyle w:val="Citationenretrait"/>
        <w:rPr>
          <w:sz w:val="20"/>
          <w:lang w:eastAsia="fr-CA"/>
        </w:rPr>
      </w:pPr>
      <w:r>
        <w:t xml:space="preserve">[37]        Si l’on retient l’interprétation de </w:t>
      </w:r>
      <w:r w:rsidRPr="00B63BE4">
        <w:rPr>
          <w:color w:val="000000" w:themeColor="text1"/>
        </w:rPr>
        <w:t>l</w:t>
      </w:r>
      <w:r w:rsidR="00B63BE4">
        <w:rPr>
          <w:color w:val="000000" w:themeColor="text1"/>
        </w:rPr>
        <w:t>’article 242</w:t>
      </w:r>
      <w:r w:rsidRPr="00B63BE4">
        <w:rPr>
          <w:color w:val="000000" w:themeColor="text1"/>
        </w:rPr>
        <w:t> </w:t>
      </w:r>
      <w:r>
        <w:t>de la loi qui déborde le seul cadre du libellé de cette disposition, tel que le plaide le représentant de la travailleuse, il demeure clair que la portée de l’</w:t>
      </w:r>
      <w:r w:rsidR="00B63BE4">
        <w:t xml:space="preserve">article 242 </w:t>
      </w:r>
      <w:r>
        <w:t>ne peut être rétroactive et vaut uniquement pour l’avenir à compter du retour au travail. Cette interprétation permet d’effectuer un exercice fictif dont le résultat s’appliquera au futur même s’il nécessite l’utilisation de données appartenant au passé.</w:t>
      </w:r>
    </w:p>
    <w:p w14:paraId="2646426F" w14:textId="77777777" w:rsidR="007239DF" w:rsidRDefault="007239DF" w:rsidP="006A2D5F">
      <w:pPr>
        <w:pStyle w:val="Citationenretrait"/>
        <w:rPr>
          <w:sz w:val="20"/>
        </w:rPr>
      </w:pPr>
      <w:r>
        <w:t> </w:t>
      </w:r>
    </w:p>
    <w:p w14:paraId="706F6860" w14:textId="1D49086B" w:rsidR="007239DF" w:rsidRDefault="007239DF" w:rsidP="006A2D5F">
      <w:pPr>
        <w:pStyle w:val="Citationenretrait"/>
        <w:rPr>
          <w:sz w:val="20"/>
        </w:rPr>
      </w:pPr>
      <w:r>
        <w:t>[38]        Cette fiction permet donc d’utiliser </w:t>
      </w:r>
      <w:r>
        <w:rPr>
          <w:rStyle w:val="solexhl"/>
          <w:rFonts w:cs="Arial"/>
          <w:color w:val="000000"/>
        </w:rPr>
        <w:t>des</w:t>
      </w:r>
      <w:r>
        <w:t> données relatives à la période de référence, soit la période d’absence pour lésion professionnelle, aux fins de calculer ou d’établir un taux, une condition, un nombre, etc. Cet exercice ne fait pas de la période de référence une période à indemniser et ne permet pas de récupérer du salaire ou </w:t>
      </w:r>
      <w:r>
        <w:rPr>
          <w:rStyle w:val="solexhl"/>
          <w:rFonts w:cs="Arial"/>
          <w:color w:val="000000"/>
        </w:rPr>
        <w:t>des</w:t>
      </w:r>
      <w:r>
        <w:t> avantages rattachés à la période d’absence pour lésion professionnelle. La jurisprudence établit clairement que l</w:t>
      </w:r>
      <w:r w:rsidR="00B63BE4">
        <w:t>’article 242</w:t>
      </w:r>
      <w:r>
        <w:t> de la loi n’est pas une disposition visant à régir le passé. L’interprétation jurisprudentielle qui créer une fiction lors de l’analyse de l’application de l’</w:t>
      </w:r>
      <w:r w:rsidR="009B28DB">
        <w:t>article 242</w:t>
      </w:r>
      <w:r>
        <w:t> de la loi, considère les</w:t>
      </w:r>
      <w:r w:rsidR="00B63BE4">
        <w:t xml:space="preserve"> heures</w:t>
      </w:r>
      <w:r>
        <w:t> de la période d’absence pour lésion professionnelle comme </w:t>
      </w:r>
      <w:r>
        <w:rPr>
          <w:rStyle w:val="solexhl"/>
          <w:rFonts w:cs="Arial"/>
          <w:color w:val="000000"/>
        </w:rPr>
        <w:t>des</w:t>
      </w:r>
      <w:r w:rsidR="00B63BE4">
        <w:rPr>
          <w:rStyle w:val="solexhl"/>
          <w:rFonts w:cs="Arial"/>
          <w:color w:val="000000"/>
        </w:rPr>
        <w:t xml:space="preserve"> heures travaillées</w:t>
      </w:r>
      <w:r>
        <w:t>, uniquement pour établir un avantage pour l’avenir, à compter du retour au travail.</w:t>
      </w:r>
    </w:p>
    <w:p w14:paraId="7D0412B9" w14:textId="77777777" w:rsidR="007239DF" w:rsidRDefault="007239DF" w:rsidP="006A2D5F">
      <w:pPr>
        <w:pStyle w:val="Citationenretrait"/>
        <w:rPr>
          <w:sz w:val="20"/>
        </w:rPr>
      </w:pPr>
      <w:r>
        <w:t> </w:t>
      </w:r>
    </w:p>
    <w:p w14:paraId="204F3A1F" w14:textId="31C11919" w:rsidR="007239DF" w:rsidRDefault="007239DF" w:rsidP="006A2D5F">
      <w:pPr>
        <w:pStyle w:val="Citationenretrait"/>
        <w:rPr>
          <w:sz w:val="20"/>
        </w:rPr>
      </w:pPr>
      <w:r>
        <w:t>[39]        Dans l’affaire Bombardier Aéronautique et Fregeau-Corriveau</w:t>
      </w:r>
      <w:r w:rsidR="00600F5D">
        <w:rPr>
          <w:rStyle w:val="Appelnotedebasdep"/>
        </w:rPr>
        <w:footnoteReference w:id="3"/>
      </w:r>
      <w:r>
        <w:t>, la commissaire Vaillancourt a bien exprimé en quoi ce raisonnement s’accordait mieux avec l’énoncé de l’</w:t>
      </w:r>
      <w:r w:rsidR="00B63BE4">
        <w:t>article 242</w:t>
      </w:r>
      <w:r>
        <w:t> de la loi :</w:t>
      </w:r>
    </w:p>
    <w:p w14:paraId="1A7574EE" w14:textId="77777777" w:rsidR="007239DF" w:rsidRDefault="007239DF" w:rsidP="006A2D5F">
      <w:pPr>
        <w:pStyle w:val="Citationenretrait"/>
        <w:rPr>
          <w:sz w:val="20"/>
        </w:rPr>
      </w:pPr>
      <w:r>
        <w:t> </w:t>
      </w:r>
    </w:p>
    <w:p w14:paraId="271394BF" w14:textId="77777777" w:rsidR="007239DF" w:rsidRDefault="007239DF" w:rsidP="006A2D5F">
      <w:pPr>
        <w:pStyle w:val="Citationenretrait"/>
        <w:rPr>
          <w:sz w:val="20"/>
        </w:rPr>
      </w:pPr>
      <w:r>
        <w:t>[…]</w:t>
      </w:r>
    </w:p>
    <w:p w14:paraId="353E2566" w14:textId="77777777" w:rsidR="007239DF" w:rsidRDefault="007239DF" w:rsidP="006A2D5F">
      <w:pPr>
        <w:pStyle w:val="Citationenretrait"/>
        <w:rPr>
          <w:sz w:val="20"/>
        </w:rPr>
      </w:pPr>
      <w:r>
        <w:t> </w:t>
      </w:r>
    </w:p>
    <w:p w14:paraId="2C2D94DF" w14:textId="41D6E400" w:rsidR="007239DF" w:rsidRDefault="007239DF" w:rsidP="006A2D5F">
      <w:pPr>
        <w:pStyle w:val="Citationenretrait"/>
        <w:rPr>
          <w:sz w:val="20"/>
        </w:rPr>
      </w:pPr>
      <w:r>
        <w:t>[48]        D’une part, rappelons que l’</w:t>
      </w:r>
      <w:r w:rsidR="00B63BE4">
        <w:t xml:space="preserve">article </w:t>
      </w:r>
      <w:r>
        <w:t>235 de la loi prévoit les éléments du régime d’emploi qui sont protégés durant la période d’absence pour lésion professionnelle. L’</w:t>
      </w:r>
      <w:r w:rsidR="00FD2A72">
        <w:t>article 242</w:t>
      </w:r>
      <w:r>
        <w:t> de la loi ne vient pas ajouter à ce qui est prévu à l’</w:t>
      </w:r>
      <w:r w:rsidR="00FD2A72">
        <w:t xml:space="preserve">article </w:t>
      </w:r>
      <w:r>
        <w:t>235 de la loi dans la mesure où cette disposition n’est pas interprétée comme ayant un effet rétroactif. Autrement dit, l’</w:t>
      </w:r>
      <w:r w:rsidR="00FD2A72">
        <w:t xml:space="preserve">article 242 </w:t>
      </w:r>
      <w:r>
        <w:t>ne s’applique que lors du retour au travail et n’a pas pour effet de payer du salaire et </w:t>
      </w:r>
      <w:r>
        <w:rPr>
          <w:rStyle w:val="solexhl"/>
          <w:rFonts w:cs="Arial"/>
          <w:color w:val="000000"/>
        </w:rPr>
        <w:t>des</w:t>
      </w:r>
      <w:r w:rsidR="00FD2A72">
        <w:rPr>
          <w:rStyle w:val="solexhl"/>
          <w:rFonts w:cs="Arial"/>
          <w:color w:val="000000"/>
        </w:rPr>
        <w:t xml:space="preserve"> heures</w:t>
      </w:r>
      <w:r>
        <w:t> supplémentaires durant la période d’absence. </w:t>
      </w:r>
      <w:r>
        <w:rPr>
          <w:u w:val="single"/>
        </w:rPr>
        <w:t>Toutefois, aux fins de calculer les taux et conditions qui s’appliqueront au travailleur lors de son retour au travail, il faut nécessairement, pour donner un sens à l’</w:t>
      </w:r>
      <w:r w:rsidR="00246E51">
        <w:rPr>
          <w:u w:val="single"/>
        </w:rPr>
        <w:t>article 242</w:t>
      </w:r>
      <w:r>
        <w:rPr>
          <w:u w:val="single"/>
        </w:rPr>
        <w:t> de la loi, considérer</w:t>
      </w:r>
      <w:r w:rsidR="0021352F">
        <w:rPr>
          <w:u w:val="single"/>
        </w:rPr>
        <w:t xml:space="preserve"> des heures non travaillées </w:t>
      </w:r>
      <w:r>
        <w:rPr>
          <w:u w:val="single"/>
        </w:rPr>
        <w:t>comme étant </w:t>
      </w:r>
      <w:r>
        <w:rPr>
          <w:rStyle w:val="solexhl"/>
          <w:rFonts w:cs="Arial"/>
          <w:color w:val="000000"/>
          <w:u w:val="single"/>
        </w:rPr>
        <w:t>des</w:t>
      </w:r>
      <w:r w:rsidR="00246E51">
        <w:rPr>
          <w:rStyle w:val="solexhl"/>
          <w:rFonts w:cs="Arial"/>
          <w:color w:val="000000"/>
          <w:u w:val="single"/>
        </w:rPr>
        <w:t xml:space="preserve"> heures travaillées</w:t>
      </w:r>
      <w:r>
        <w:rPr>
          <w:u w:val="single"/>
        </w:rPr>
        <w:t>, aux fins de calculer le salaire et les avantages auxquels a droit le travailleur lors de son retour au travail</w:t>
      </w:r>
      <w:r>
        <w:t>.</w:t>
      </w:r>
    </w:p>
    <w:p w14:paraId="163C1D42" w14:textId="72079389" w:rsidR="007239DF" w:rsidRDefault="007239DF" w:rsidP="006A2D5F">
      <w:pPr>
        <w:pStyle w:val="Citationenretrait"/>
        <w:rPr>
          <w:sz w:val="20"/>
        </w:rPr>
      </w:pPr>
      <w:r>
        <w:t> […]</w:t>
      </w:r>
    </w:p>
    <w:p w14:paraId="1EA2E54B" w14:textId="160313D0" w:rsidR="00575D71" w:rsidRPr="00C92E89" w:rsidRDefault="00575D71" w:rsidP="00575D71">
      <w:pPr>
        <w:pStyle w:val="Citationenretrait"/>
      </w:pPr>
      <w:r w:rsidRPr="00C92E89">
        <w:t>[Notre soulignement]</w:t>
      </w:r>
    </w:p>
    <w:p w14:paraId="1B3B19DC" w14:textId="6A432F82" w:rsidR="007239DF" w:rsidRDefault="007239DF" w:rsidP="006A2D5F">
      <w:pPr>
        <w:pStyle w:val="Citationenretrait"/>
        <w:rPr>
          <w:sz w:val="20"/>
        </w:rPr>
      </w:pPr>
    </w:p>
    <w:p w14:paraId="5C030E49" w14:textId="2CB0EBA6" w:rsidR="00D51D62" w:rsidRDefault="00884093" w:rsidP="00784338">
      <w:pPr>
        <w:pStyle w:val="Paragraphe"/>
        <w:tabs>
          <w:tab w:val="clear" w:pos="2136"/>
          <w:tab w:val="num" w:pos="720"/>
        </w:tabs>
        <w:rPr>
          <w:kern w:val="24"/>
        </w:rPr>
      </w:pPr>
      <w:r>
        <w:rPr>
          <w:kern w:val="24"/>
        </w:rPr>
        <w:t>Avec respect pour l’opinion contraire, la Commission</w:t>
      </w:r>
      <w:r w:rsidR="00FB3B58">
        <w:rPr>
          <w:kern w:val="24"/>
        </w:rPr>
        <w:t xml:space="preserve"> adhère au courant selon lequel il faut se demander si le travailleur absent en raison d’une lésion professionnelle reçoit tous les avantages et le salaire auxquels il aurait eu droit s’il avait plutôt travaillé pendant sa période d’arrêt de travail.</w:t>
      </w:r>
    </w:p>
    <w:p w14:paraId="2D48622F" w14:textId="287E83B5" w:rsidR="00F979EB" w:rsidRDefault="00F979EB" w:rsidP="00784338">
      <w:pPr>
        <w:pStyle w:val="Paragraphe"/>
        <w:tabs>
          <w:tab w:val="clear" w:pos="2136"/>
          <w:tab w:val="num" w:pos="720"/>
        </w:tabs>
        <w:rPr>
          <w:kern w:val="24"/>
        </w:rPr>
      </w:pPr>
      <w:r>
        <w:rPr>
          <w:kern w:val="24"/>
        </w:rPr>
        <w:t>Ainsi, lors du retour au travail du travailleur, il faut considérer comme des heures travaillées, les heures qui en fait ne l’ont pas été par le travailleur en raison de sa lésion professionnelle.</w:t>
      </w:r>
    </w:p>
    <w:p w14:paraId="446C76F7" w14:textId="707EB1BE" w:rsidR="00761C4B" w:rsidRPr="00784338" w:rsidRDefault="00784338" w:rsidP="00784338">
      <w:pPr>
        <w:pStyle w:val="Paragraphe"/>
        <w:tabs>
          <w:tab w:val="clear" w:pos="2136"/>
          <w:tab w:val="num" w:pos="720"/>
        </w:tabs>
        <w:rPr>
          <w:kern w:val="24"/>
        </w:rPr>
      </w:pPr>
      <w:r>
        <w:rPr>
          <w:kern w:val="24"/>
        </w:rPr>
        <w:t>La LATMP</w:t>
      </w:r>
      <w:r w:rsidR="001A343F" w:rsidRPr="00784338">
        <w:rPr>
          <w:kern w:val="24"/>
        </w:rPr>
        <w:t xml:space="preserve"> étant d’ordre public, </w:t>
      </w:r>
      <w:r w:rsidR="00051EDD" w:rsidRPr="00784338">
        <w:rPr>
          <w:kern w:val="24"/>
        </w:rPr>
        <w:t>elle</w:t>
      </w:r>
      <w:r w:rsidR="00520408">
        <w:rPr>
          <w:kern w:val="24"/>
        </w:rPr>
        <w:t xml:space="preserve"> a </w:t>
      </w:r>
      <w:r w:rsidR="00051EDD" w:rsidRPr="00784338">
        <w:rPr>
          <w:kern w:val="24"/>
        </w:rPr>
        <w:t>donc</w:t>
      </w:r>
      <w:r w:rsidR="00520408">
        <w:rPr>
          <w:kern w:val="24"/>
        </w:rPr>
        <w:t xml:space="preserve"> préséance</w:t>
      </w:r>
      <w:r w:rsidR="00051EDD" w:rsidRPr="00784338">
        <w:rPr>
          <w:kern w:val="24"/>
        </w:rPr>
        <w:t xml:space="preserve"> </w:t>
      </w:r>
      <w:r w:rsidR="00520408">
        <w:rPr>
          <w:kern w:val="24"/>
        </w:rPr>
        <w:t>sur</w:t>
      </w:r>
      <w:r w:rsidR="00E96CA6">
        <w:rPr>
          <w:kern w:val="24"/>
        </w:rPr>
        <w:t xml:space="preserve"> </w:t>
      </w:r>
      <w:r w:rsidR="00051EDD" w:rsidRPr="00784338">
        <w:rPr>
          <w:kern w:val="24"/>
        </w:rPr>
        <w:t>la convention collective.</w:t>
      </w:r>
      <w:r w:rsidR="00E96CA6">
        <w:rPr>
          <w:kern w:val="24"/>
        </w:rPr>
        <w:t xml:space="preserve"> L’employeur ne peut contrevenir à la LATMP et ainsi priver un travailleur d’un avantage</w:t>
      </w:r>
      <w:r w:rsidR="00486F8E">
        <w:rPr>
          <w:kern w:val="24"/>
        </w:rPr>
        <w:t>,</w:t>
      </w:r>
      <w:r w:rsidR="00EA17AA">
        <w:rPr>
          <w:kern w:val="24"/>
        </w:rPr>
        <w:t xml:space="preserve"> et ce, même lorsqu’il applique les dispositions de la convention collective</w:t>
      </w:r>
      <w:r w:rsidR="001734CD">
        <w:rPr>
          <w:kern w:val="24"/>
        </w:rPr>
        <w:t xml:space="preserve"> </w:t>
      </w:r>
      <w:r w:rsidR="00340D61">
        <w:rPr>
          <w:kern w:val="24"/>
        </w:rPr>
        <w:t>de bonne foi</w:t>
      </w:r>
      <w:r w:rsidR="008C60D4">
        <w:rPr>
          <w:kern w:val="24"/>
        </w:rPr>
        <w:t>.</w:t>
      </w:r>
    </w:p>
    <w:p w14:paraId="0046EB60" w14:textId="75BCD6C5" w:rsidR="00031A6F" w:rsidRDefault="002216BA" w:rsidP="00031A6F">
      <w:pPr>
        <w:pStyle w:val="Paragraphe"/>
        <w:tabs>
          <w:tab w:val="clear" w:pos="2136"/>
          <w:tab w:val="num" w:pos="720"/>
        </w:tabs>
      </w:pPr>
      <w:r>
        <w:t>Considérant l’analyse précédente</w:t>
      </w:r>
      <w:r w:rsidR="008C42DB">
        <w:t xml:space="preserve"> et la preuve présentée</w:t>
      </w:r>
      <w:r w:rsidR="005C2BD7">
        <w:t>, l</w:t>
      </w:r>
      <w:r w:rsidR="00031A6F">
        <w:t xml:space="preserve">a Commission est d’avis </w:t>
      </w:r>
      <w:r w:rsidR="00613168">
        <w:t xml:space="preserve">que </w:t>
      </w:r>
      <w:r w:rsidR="00A511C4">
        <w:t xml:space="preserve">le travailleur a fait la démonstration </w:t>
      </w:r>
      <w:r>
        <w:t>d’une</w:t>
      </w:r>
      <w:r w:rsidR="00727599">
        <w:t xml:space="preserve"> sanction ou </w:t>
      </w:r>
      <w:r w:rsidR="00C74AC2">
        <w:t xml:space="preserve">d’une </w:t>
      </w:r>
      <w:r w:rsidR="00727599">
        <w:t xml:space="preserve">mesure de la part de l’employeur </w:t>
      </w:r>
      <w:r w:rsidR="00A511C4">
        <w:t xml:space="preserve">en </w:t>
      </w:r>
      <w:r>
        <w:t>raison</w:t>
      </w:r>
      <w:r w:rsidR="004B15AB">
        <w:t xml:space="preserve"> de</w:t>
      </w:r>
      <w:r w:rsidR="00A511C4">
        <w:t xml:space="preserve"> sa lésion professionnelle. </w:t>
      </w:r>
      <w:r w:rsidR="00031A6F">
        <w:t xml:space="preserve"> </w:t>
      </w:r>
    </w:p>
    <w:p w14:paraId="470EB50F" w14:textId="0D7CBF78" w:rsidR="005A426F" w:rsidRPr="00A26E63" w:rsidRDefault="005A426F" w:rsidP="005A426F">
      <w:pPr>
        <w:pStyle w:val="Paragraphe"/>
        <w:tabs>
          <w:tab w:val="left" w:pos="851"/>
        </w:tabs>
      </w:pPr>
      <w:r w:rsidRPr="00AC5F74">
        <w:rPr>
          <w:rFonts w:cs="Arial"/>
          <w:color w:val="000000"/>
        </w:rPr>
        <w:t>En conséquence, la Commission déclare que l</w:t>
      </w:r>
      <w:r w:rsidR="00AD2F4A">
        <w:rPr>
          <w:rFonts w:cs="Arial"/>
          <w:color w:val="000000"/>
        </w:rPr>
        <w:t>e</w:t>
      </w:r>
      <w:r w:rsidRPr="00AC5F74">
        <w:rPr>
          <w:rFonts w:cs="Arial"/>
          <w:color w:val="000000"/>
        </w:rPr>
        <w:t xml:space="preserve"> travailleu</w:t>
      </w:r>
      <w:r w:rsidR="00AD2F4A">
        <w:rPr>
          <w:rFonts w:cs="Arial"/>
          <w:color w:val="000000"/>
        </w:rPr>
        <w:t>r</w:t>
      </w:r>
      <w:r w:rsidRPr="00AC5F74">
        <w:rPr>
          <w:rFonts w:cs="Arial"/>
          <w:color w:val="000000"/>
        </w:rPr>
        <w:t xml:space="preserve"> a fait l’objet d</w:t>
      </w:r>
      <w:r w:rsidR="00AD2F4A">
        <w:rPr>
          <w:rFonts w:cs="Arial"/>
          <w:color w:val="000000"/>
        </w:rPr>
        <w:t xml:space="preserve">’une </w:t>
      </w:r>
      <w:r w:rsidRPr="00AC5F74">
        <w:rPr>
          <w:rFonts w:cs="Arial"/>
          <w:color w:val="000000"/>
        </w:rPr>
        <w:t>sanction</w:t>
      </w:r>
      <w:r w:rsidR="00AD2F4A">
        <w:rPr>
          <w:rFonts w:cs="Arial"/>
          <w:color w:val="000000"/>
        </w:rPr>
        <w:t xml:space="preserve"> </w:t>
      </w:r>
      <w:r w:rsidRPr="00AC5F74">
        <w:rPr>
          <w:rFonts w:cs="Arial"/>
          <w:color w:val="000000"/>
        </w:rPr>
        <w:t xml:space="preserve">ou </w:t>
      </w:r>
      <w:r w:rsidR="00236F7F">
        <w:rPr>
          <w:rFonts w:cs="Arial"/>
          <w:color w:val="000000"/>
        </w:rPr>
        <w:t xml:space="preserve">d’une </w:t>
      </w:r>
      <w:r w:rsidRPr="00AC5F74">
        <w:rPr>
          <w:rFonts w:cs="Arial"/>
          <w:color w:val="000000"/>
        </w:rPr>
        <w:t>mesur</w:t>
      </w:r>
      <w:r w:rsidR="00AD2F4A">
        <w:rPr>
          <w:rFonts w:cs="Arial"/>
          <w:color w:val="000000"/>
        </w:rPr>
        <w:t>e</w:t>
      </w:r>
      <w:r w:rsidRPr="00AC5F74">
        <w:rPr>
          <w:rFonts w:cs="Arial"/>
          <w:color w:val="000000"/>
        </w:rPr>
        <w:t xml:space="preserve">, au sens de l’article </w:t>
      </w:r>
      <w:r w:rsidR="00AD2F4A">
        <w:rPr>
          <w:rFonts w:cs="Arial"/>
          <w:color w:val="000000"/>
        </w:rPr>
        <w:t>32 de la LATMP</w:t>
      </w:r>
      <w:r w:rsidRPr="00AC5F74">
        <w:rPr>
          <w:rFonts w:cs="Arial"/>
          <w:color w:val="000000"/>
        </w:rPr>
        <w:t>, lorsque l’employeur n</w:t>
      </w:r>
      <w:r w:rsidR="00190A89">
        <w:rPr>
          <w:rFonts w:cs="Arial"/>
          <w:color w:val="000000"/>
        </w:rPr>
        <w:t>’a pas comptabili</w:t>
      </w:r>
      <w:r w:rsidR="00921F35">
        <w:rPr>
          <w:rFonts w:cs="Arial"/>
          <w:color w:val="000000"/>
        </w:rPr>
        <w:t>sé</w:t>
      </w:r>
      <w:r w:rsidR="00190A89">
        <w:rPr>
          <w:rFonts w:cs="Arial"/>
          <w:color w:val="000000"/>
        </w:rPr>
        <w:t xml:space="preserve"> </w:t>
      </w:r>
      <w:r w:rsidR="0080540F">
        <w:rPr>
          <w:rFonts w:cs="Arial"/>
          <w:color w:val="000000"/>
        </w:rPr>
        <w:t>les heures non</w:t>
      </w:r>
      <w:r w:rsidR="005B66E9">
        <w:rPr>
          <w:rFonts w:cs="Arial"/>
          <w:color w:val="000000"/>
        </w:rPr>
        <w:t xml:space="preserve"> </w:t>
      </w:r>
      <w:r w:rsidR="0080540F">
        <w:rPr>
          <w:rFonts w:cs="Arial"/>
          <w:color w:val="000000"/>
        </w:rPr>
        <w:t>travaillées</w:t>
      </w:r>
      <w:r w:rsidR="00FD7B17">
        <w:rPr>
          <w:rFonts w:cs="Arial"/>
          <w:color w:val="000000"/>
        </w:rPr>
        <w:t xml:space="preserve"> du travailleur</w:t>
      </w:r>
      <w:r w:rsidR="0080540F">
        <w:rPr>
          <w:rFonts w:cs="Arial"/>
          <w:color w:val="000000"/>
        </w:rPr>
        <w:t xml:space="preserve"> </w:t>
      </w:r>
      <w:r w:rsidR="009E1649">
        <w:rPr>
          <w:rFonts w:cs="Arial"/>
          <w:color w:val="000000"/>
        </w:rPr>
        <w:t xml:space="preserve">pour la période du 5 décembre 2022 au 11 mars 2023 </w:t>
      </w:r>
      <w:r w:rsidR="00921F35">
        <w:rPr>
          <w:rFonts w:cs="Arial"/>
          <w:color w:val="000000"/>
        </w:rPr>
        <w:t xml:space="preserve">pour établir </w:t>
      </w:r>
      <w:r w:rsidR="00190A89">
        <w:rPr>
          <w:rFonts w:cs="Arial"/>
          <w:color w:val="000000"/>
        </w:rPr>
        <w:t>l</w:t>
      </w:r>
      <w:r w:rsidR="008549F3">
        <w:rPr>
          <w:rFonts w:cs="Arial"/>
          <w:color w:val="000000"/>
        </w:rPr>
        <w:t xml:space="preserve">e montant </w:t>
      </w:r>
      <w:r w:rsidR="009D57CA">
        <w:rPr>
          <w:rFonts w:cs="Arial"/>
          <w:color w:val="000000"/>
        </w:rPr>
        <w:t>du</w:t>
      </w:r>
      <w:r w:rsidR="00FD7B17">
        <w:rPr>
          <w:rFonts w:cs="Arial"/>
          <w:color w:val="000000"/>
        </w:rPr>
        <w:t xml:space="preserve"> « boni REER »</w:t>
      </w:r>
      <w:r w:rsidR="00946919">
        <w:rPr>
          <w:rFonts w:cs="Arial"/>
          <w:color w:val="000000"/>
        </w:rPr>
        <w:t xml:space="preserve">. </w:t>
      </w:r>
      <w:r w:rsidRPr="00AC5F74">
        <w:rPr>
          <w:rFonts w:cs="Arial"/>
          <w:color w:val="000000"/>
        </w:rPr>
        <w:t xml:space="preserve"> </w:t>
      </w:r>
    </w:p>
    <w:p w14:paraId="4382B8D7" w14:textId="4E05335F" w:rsidR="00A26E63" w:rsidRPr="00F778E9" w:rsidRDefault="00A26E63" w:rsidP="005A426F">
      <w:pPr>
        <w:pStyle w:val="Paragraphe"/>
        <w:tabs>
          <w:tab w:val="left" w:pos="851"/>
        </w:tabs>
      </w:pPr>
      <w:bookmarkStart w:id="3" w:name="_Hlk190691030"/>
      <w:r>
        <w:rPr>
          <w:rFonts w:cs="Arial"/>
          <w:color w:val="000000"/>
          <w:kern w:val="0"/>
          <w:szCs w:val="24"/>
        </w:rPr>
        <w:t>L</w:t>
      </w:r>
      <w:r w:rsidRPr="00A26E63">
        <w:rPr>
          <w:rFonts w:cs="Arial"/>
          <w:color w:val="000000"/>
          <w:kern w:val="0"/>
          <w:szCs w:val="24"/>
        </w:rPr>
        <w:t>a Commission conclut que l’employeur doit verser au travailleur</w:t>
      </w:r>
      <w:r w:rsidR="005C13B0">
        <w:rPr>
          <w:rFonts w:cs="Arial"/>
          <w:color w:val="000000"/>
          <w:kern w:val="0"/>
          <w:szCs w:val="24"/>
        </w:rPr>
        <w:t xml:space="preserve"> le montant de 153,44$ à titre de « Boni REER »</w:t>
      </w:r>
      <w:r w:rsidRPr="00A26E63">
        <w:rPr>
          <w:rFonts w:cs="Arial"/>
          <w:color w:val="000000"/>
          <w:kern w:val="0"/>
          <w:szCs w:val="24"/>
        </w:rPr>
        <w:t>.</w:t>
      </w:r>
    </w:p>
    <w:p w14:paraId="39FE09E0" w14:textId="6A62DA55" w:rsidR="00F778E9" w:rsidRDefault="00F778E9" w:rsidP="005A426F">
      <w:pPr>
        <w:pStyle w:val="Paragraphe"/>
        <w:tabs>
          <w:tab w:val="left" w:pos="851"/>
        </w:tabs>
      </w:pPr>
      <w:r>
        <w:t>Le travailleur a demandé à la Commission d’ordonner à l’employeur de verser des intérêts sur ce montant conformément à l’article 261 de la loi :</w:t>
      </w:r>
    </w:p>
    <w:p w14:paraId="5FBE6156" w14:textId="77777777" w:rsidR="00F778E9" w:rsidRDefault="00F778E9" w:rsidP="00F778E9">
      <w:pPr>
        <w:pStyle w:val="Citationenretrait"/>
        <w:rPr>
          <w:rFonts w:ascii="Times New Roman" w:hAnsi="Times New Roman"/>
          <w:sz w:val="27"/>
          <w:szCs w:val="27"/>
        </w:rPr>
      </w:pPr>
      <w:r>
        <w:rPr>
          <w:b/>
          <w:bCs/>
        </w:rPr>
        <w:t>261.</w:t>
      </w:r>
      <w:r>
        <w:rPr>
          <w:rStyle w:val="apple-converted-space"/>
          <w:rFonts w:cs="Arial"/>
          <w:color w:val="000000"/>
          <w:szCs w:val="22"/>
        </w:rPr>
        <w:t> </w:t>
      </w:r>
      <w:r>
        <w:t> Lorsque la Commission ordonne à l'employeur de verser au travailleur l'équivalent du salaire et des avantages dont celui-ci a été privé, elle peut aussi ordonner le paiement d'un intérêt, à compter du dépôt de la plainte ou de la demande d'intervention, sur le montant dû.</w:t>
      </w:r>
    </w:p>
    <w:p w14:paraId="604F3520" w14:textId="1A1331E0" w:rsidR="00F778E9" w:rsidRDefault="00F778E9" w:rsidP="00931A40">
      <w:pPr>
        <w:pStyle w:val="Citationenretrait"/>
        <w:rPr>
          <w:sz w:val="27"/>
          <w:szCs w:val="27"/>
        </w:rPr>
      </w:pPr>
      <w:r>
        <w:t>Le taux de cet intérêt est déterminé suivant les règles établies par règlement. Cet intérêt est capitalisé quotidiennement. </w:t>
      </w:r>
    </w:p>
    <w:p w14:paraId="59B5EF4E" w14:textId="77777777" w:rsidR="00F778E9" w:rsidRDefault="00F778E9" w:rsidP="00931A40">
      <w:pPr>
        <w:pStyle w:val="Citationenretrait"/>
      </w:pPr>
      <w:r>
        <w:t>261; 1993, c. 5, a. 4.</w:t>
      </w:r>
    </w:p>
    <w:p w14:paraId="5B35E4DF" w14:textId="40DECB23" w:rsidR="00F778E9" w:rsidRDefault="00045B23" w:rsidP="005A426F">
      <w:pPr>
        <w:pStyle w:val="Paragraphe"/>
        <w:tabs>
          <w:tab w:val="left" w:pos="851"/>
        </w:tabs>
      </w:pPr>
      <w:r>
        <w:t>Le taux applicable est établi par règlement et est illustré par période dans le tableau 1. Les intérêts sont capitalisés quotidiennement.</w:t>
      </w:r>
    </w:p>
    <w:p w14:paraId="124AB746" w14:textId="7D73110F" w:rsidR="002D0BCA" w:rsidRDefault="002D0BCA" w:rsidP="005A426F">
      <w:pPr>
        <w:pStyle w:val="Paragraphe"/>
        <w:tabs>
          <w:tab w:val="left" w:pos="851"/>
        </w:tabs>
      </w:pPr>
      <w:r>
        <w:t>Le tableau 1 établit le total des intérêts à payer au</w:t>
      </w:r>
      <w:r w:rsidR="008F71F7">
        <w:t xml:space="preserve"> 17 février 2025, date de la présente décision. Ce montant s’élève à </w:t>
      </w:r>
      <w:r w:rsidR="00844B16">
        <w:t>14,39</w:t>
      </w:r>
      <w:r w:rsidR="002A0727">
        <w:t xml:space="preserve"> $ et s’ajoute au montant </w:t>
      </w:r>
      <w:r w:rsidR="000C4F2D">
        <w:t>de 153,44 $ du paragraphe 73.</w:t>
      </w:r>
    </w:p>
    <w:p w14:paraId="4A07EC57" w14:textId="77777777" w:rsidR="007C20B5" w:rsidRPr="007C20B5" w:rsidRDefault="007C20B5" w:rsidP="007C20B5">
      <w:pPr>
        <w:pStyle w:val="Paragraphe"/>
        <w:numPr>
          <w:ilvl w:val="0"/>
          <w:numId w:val="0"/>
        </w:numPr>
        <w:ind w:left="2832" w:firstLine="708"/>
        <w:rPr>
          <w:sz w:val="27"/>
          <w:szCs w:val="27"/>
          <w:lang w:eastAsia="fr-CA"/>
        </w:rPr>
      </w:pPr>
      <w:r w:rsidRPr="007C20B5">
        <w:rPr>
          <w:lang w:eastAsia="fr-CA"/>
        </w:rPr>
        <w:t>TABLEAU 1</w:t>
      </w:r>
    </w:p>
    <w:tbl>
      <w:tblPr>
        <w:tblW w:w="6260" w:type="dxa"/>
        <w:tblInd w:w="1523" w:type="dxa"/>
        <w:tblCellMar>
          <w:left w:w="0" w:type="dxa"/>
          <w:right w:w="0" w:type="dxa"/>
        </w:tblCellMar>
        <w:tblLook w:val="04A0" w:firstRow="1" w:lastRow="0" w:firstColumn="1" w:lastColumn="0" w:noHBand="0" w:noVBand="1"/>
      </w:tblPr>
      <w:tblGrid>
        <w:gridCol w:w="1560"/>
        <w:gridCol w:w="1646"/>
        <w:gridCol w:w="1234"/>
        <w:gridCol w:w="1820"/>
      </w:tblGrid>
      <w:tr w:rsidR="007C20B5" w:rsidRPr="007C20B5" w14:paraId="75554056" w14:textId="77777777" w:rsidTr="007C20B5">
        <w:trPr>
          <w:trHeight w:val="420"/>
        </w:trPr>
        <w:tc>
          <w:tcPr>
            <w:tcW w:w="1560" w:type="dxa"/>
            <w:tcBorders>
              <w:top w:val="single" w:sz="8" w:space="0" w:color="auto"/>
              <w:left w:val="single" w:sz="8" w:space="0" w:color="auto"/>
              <w:bottom w:val="single" w:sz="8" w:space="0" w:color="auto"/>
              <w:right w:val="single" w:sz="8" w:space="0" w:color="auto"/>
            </w:tcBorders>
            <w:shd w:val="clear" w:color="auto" w:fill="D9D9D9"/>
            <w:noWrap/>
            <w:tcMar>
              <w:top w:w="0" w:type="dxa"/>
              <w:left w:w="70" w:type="dxa"/>
              <w:bottom w:w="0" w:type="dxa"/>
              <w:right w:w="70" w:type="dxa"/>
            </w:tcMar>
            <w:vAlign w:val="center"/>
            <w:hideMark/>
          </w:tcPr>
          <w:p w14:paraId="2D029E8C" w14:textId="77777777" w:rsidR="007C20B5" w:rsidRPr="007C20B5" w:rsidRDefault="007C20B5" w:rsidP="007C20B5">
            <w:pPr>
              <w:jc w:val="center"/>
              <w:rPr>
                <w:rFonts w:cs="Arial"/>
                <w:color w:val="000000"/>
                <w:lang w:eastAsia="fr-CA"/>
              </w:rPr>
            </w:pPr>
            <w:r w:rsidRPr="007C20B5">
              <w:rPr>
                <w:rFonts w:cs="Arial"/>
                <w:b/>
                <w:bCs/>
                <w:color w:val="000000"/>
                <w:sz w:val="20"/>
                <w:szCs w:val="20"/>
                <w:lang w:eastAsia="fr-CA"/>
              </w:rPr>
              <w:t>TRIMESTRE</w:t>
            </w:r>
          </w:p>
        </w:tc>
        <w:tc>
          <w:tcPr>
            <w:tcW w:w="1646" w:type="dxa"/>
            <w:tcBorders>
              <w:top w:val="single" w:sz="8" w:space="0" w:color="auto"/>
              <w:left w:val="nil"/>
              <w:bottom w:val="single" w:sz="8" w:space="0" w:color="auto"/>
              <w:right w:val="single" w:sz="8" w:space="0" w:color="auto"/>
            </w:tcBorders>
            <w:shd w:val="clear" w:color="auto" w:fill="D9D9D9"/>
            <w:noWrap/>
            <w:tcMar>
              <w:top w:w="0" w:type="dxa"/>
              <w:left w:w="70" w:type="dxa"/>
              <w:bottom w:w="0" w:type="dxa"/>
              <w:right w:w="70" w:type="dxa"/>
            </w:tcMar>
            <w:vAlign w:val="center"/>
            <w:hideMark/>
          </w:tcPr>
          <w:p w14:paraId="58892BA3" w14:textId="77777777" w:rsidR="007C20B5" w:rsidRPr="007C20B5" w:rsidRDefault="007C20B5" w:rsidP="007C20B5">
            <w:pPr>
              <w:rPr>
                <w:rFonts w:cs="Arial"/>
                <w:color w:val="000000"/>
                <w:lang w:eastAsia="fr-CA"/>
              </w:rPr>
            </w:pPr>
            <w:r w:rsidRPr="007C20B5">
              <w:rPr>
                <w:rFonts w:cs="Arial"/>
                <w:b/>
                <w:bCs/>
                <w:color w:val="000000"/>
                <w:sz w:val="20"/>
                <w:szCs w:val="20"/>
                <w:lang w:eastAsia="fr-CA"/>
              </w:rPr>
              <w:t> </w:t>
            </w:r>
          </w:p>
        </w:tc>
        <w:tc>
          <w:tcPr>
            <w:tcW w:w="1234" w:type="dxa"/>
            <w:tcBorders>
              <w:top w:val="single" w:sz="8" w:space="0" w:color="auto"/>
              <w:left w:val="nil"/>
              <w:bottom w:val="single" w:sz="8" w:space="0" w:color="auto"/>
              <w:right w:val="single" w:sz="8" w:space="0" w:color="auto"/>
            </w:tcBorders>
            <w:shd w:val="clear" w:color="auto" w:fill="D9D9D9"/>
            <w:noWrap/>
            <w:tcMar>
              <w:top w:w="0" w:type="dxa"/>
              <w:left w:w="70" w:type="dxa"/>
              <w:bottom w:w="0" w:type="dxa"/>
              <w:right w:w="70" w:type="dxa"/>
            </w:tcMar>
            <w:vAlign w:val="center"/>
            <w:hideMark/>
          </w:tcPr>
          <w:p w14:paraId="215BF0B2" w14:textId="77777777" w:rsidR="007C20B5" w:rsidRPr="007C20B5" w:rsidRDefault="007C20B5" w:rsidP="007C20B5">
            <w:pPr>
              <w:jc w:val="center"/>
              <w:rPr>
                <w:rFonts w:cs="Arial"/>
                <w:color w:val="000000"/>
                <w:lang w:eastAsia="fr-CA"/>
              </w:rPr>
            </w:pPr>
            <w:r w:rsidRPr="007C20B5">
              <w:rPr>
                <w:rFonts w:cs="Arial"/>
                <w:b/>
                <w:bCs/>
                <w:color w:val="000000"/>
                <w:sz w:val="20"/>
                <w:szCs w:val="20"/>
                <w:lang w:eastAsia="fr-CA"/>
              </w:rPr>
              <w:t>TAUX</w:t>
            </w:r>
          </w:p>
        </w:tc>
        <w:tc>
          <w:tcPr>
            <w:tcW w:w="1820" w:type="dxa"/>
            <w:tcBorders>
              <w:top w:val="single" w:sz="8" w:space="0" w:color="auto"/>
              <w:left w:val="nil"/>
              <w:bottom w:val="single" w:sz="8" w:space="0" w:color="auto"/>
              <w:right w:val="single" w:sz="8" w:space="0" w:color="auto"/>
            </w:tcBorders>
            <w:shd w:val="clear" w:color="auto" w:fill="D9D9D9"/>
            <w:noWrap/>
            <w:tcMar>
              <w:top w:w="0" w:type="dxa"/>
              <w:left w:w="70" w:type="dxa"/>
              <w:bottom w:w="0" w:type="dxa"/>
              <w:right w:w="70" w:type="dxa"/>
            </w:tcMar>
            <w:vAlign w:val="center"/>
            <w:hideMark/>
          </w:tcPr>
          <w:p w14:paraId="5F2DA664" w14:textId="77777777" w:rsidR="007C20B5" w:rsidRPr="007C20B5" w:rsidRDefault="007C20B5" w:rsidP="007C20B5">
            <w:pPr>
              <w:jc w:val="center"/>
              <w:rPr>
                <w:rFonts w:cs="Arial"/>
                <w:color w:val="000000"/>
                <w:lang w:eastAsia="fr-CA"/>
              </w:rPr>
            </w:pPr>
            <w:r w:rsidRPr="007C20B5">
              <w:rPr>
                <w:rFonts w:cs="Arial"/>
                <w:b/>
                <w:bCs/>
                <w:color w:val="000000"/>
                <w:sz w:val="20"/>
                <w:szCs w:val="20"/>
                <w:lang w:eastAsia="fr-CA"/>
              </w:rPr>
              <w:t>INTÉRÊT</w:t>
            </w:r>
          </w:p>
        </w:tc>
      </w:tr>
      <w:tr w:rsidR="007C20B5" w:rsidRPr="007C20B5" w14:paraId="60C2EA0A" w14:textId="77777777" w:rsidTr="007C20B5">
        <w:trPr>
          <w:trHeight w:val="375"/>
        </w:trPr>
        <w:tc>
          <w:tcPr>
            <w:tcW w:w="156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14:paraId="629226AA" w14:textId="77777777" w:rsidR="007C20B5" w:rsidRPr="007C20B5" w:rsidRDefault="007C20B5" w:rsidP="007C20B5">
            <w:pPr>
              <w:jc w:val="center"/>
              <w:rPr>
                <w:rFonts w:cs="Arial"/>
                <w:color w:val="000000"/>
                <w:lang w:eastAsia="fr-CA"/>
              </w:rPr>
            </w:pPr>
            <w:r w:rsidRPr="007C20B5">
              <w:rPr>
                <w:rFonts w:cs="Arial"/>
                <w:color w:val="000000"/>
                <w:sz w:val="20"/>
                <w:szCs w:val="20"/>
                <w:lang w:eastAsia="fr-CA"/>
              </w:rPr>
              <w:t>DÉBUT</w:t>
            </w:r>
          </w:p>
        </w:tc>
        <w:tc>
          <w:tcPr>
            <w:tcW w:w="1646"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14:paraId="1BE238AD" w14:textId="77777777" w:rsidR="007C20B5" w:rsidRPr="007C20B5" w:rsidRDefault="007C20B5" w:rsidP="007C20B5">
            <w:pPr>
              <w:jc w:val="center"/>
              <w:rPr>
                <w:rFonts w:cs="Arial"/>
                <w:color w:val="000000"/>
                <w:lang w:eastAsia="fr-CA"/>
              </w:rPr>
            </w:pPr>
            <w:r w:rsidRPr="007C20B5">
              <w:rPr>
                <w:rFonts w:cs="Arial"/>
                <w:color w:val="000000"/>
                <w:sz w:val="20"/>
                <w:szCs w:val="20"/>
                <w:lang w:eastAsia="fr-CA"/>
              </w:rPr>
              <w:t>FIN</w:t>
            </w:r>
          </w:p>
        </w:tc>
        <w:tc>
          <w:tcPr>
            <w:tcW w:w="123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14:paraId="50A5146C" w14:textId="77777777" w:rsidR="007C20B5" w:rsidRPr="007C20B5" w:rsidRDefault="007C20B5" w:rsidP="007C20B5">
            <w:pPr>
              <w:jc w:val="center"/>
              <w:rPr>
                <w:rFonts w:cs="Arial"/>
                <w:color w:val="000000"/>
                <w:lang w:eastAsia="fr-CA"/>
              </w:rPr>
            </w:pPr>
            <w:r w:rsidRPr="007C20B5">
              <w:rPr>
                <w:rFonts w:cs="Arial"/>
                <w:color w:val="000000"/>
                <w:sz w:val="20"/>
                <w:szCs w:val="20"/>
                <w:lang w:eastAsia="fr-CA"/>
              </w:rPr>
              <w:t>INTÉRÊT</w:t>
            </w:r>
          </w:p>
        </w:tc>
        <w:tc>
          <w:tcPr>
            <w:tcW w:w="182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14:paraId="680D4953" w14:textId="77777777" w:rsidR="007C20B5" w:rsidRPr="007C20B5" w:rsidRDefault="007C20B5" w:rsidP="007C20B5">
            <w:pPr>
              <w:jc w:val="center"/>
              <w:rPr>
                <w:rFonts w:cs="Arial"/>
                <w:color w:val="000000"/>
                <w:lang w:eastAsia="fr-CA"/>
              </w:rPr>
            </w:pPr>
            <w:r w:rsidRPr="007C20B5">
              <w:rPr>
                <w:rFonts w:cs="Arial"/>
                <w:color w:val="000000"/>
                <w:sz w:val="20"/>
                <w:szCs w:val="20"/>
                <w:lang w:eastAsia="fr-CA"/>
              </w:rPr>
              <w:t>CALCULÉ</w:t>
            </w:r>
          </w:p>
        </w:tc>
      </w:tr>
      <w:tr w:rsidR="007C20B5" w:rsidRPr="007C20B5" w14:paraId="48907761" w14:textId="77777777" w:rsidTr="007C20B5">
        <w:trPr>
          <w:trHeight w:val="264"/>
        </w:trPr>
        <w:tc>
          <w:tcPr>
            <w:tcW w:w="156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14:paraId="30996943" w14:textId="569918F5" w:rsidR="007C20B5" w:rsidRPr="007C20B5" w:rsidRDefault="007C20B5" w:rsidP="007C20B5">
            <w:pPr>
              <w:jc w:val="center"/>
              <w:rPr>
                <w:rFonts w:cs="Arial"/>
                <w:color w:val="000000"/>
                <w:lang w:eastAsia="fr-CA"/>
              </w:rPr>
            </w:pPr>
            <w:r w:rsidRPr="007C20B5">
              <w:rPr>
                <w:rFonts w:cs="Arial"/>
                <w:color w:val="000000"/>
                <w:sz w:val="20"/>
                <w:szCs w:val="20"/>
                <w:lang w:eastAsia="fr-CA"/>
              </w:rPr>
              <w:t> 202</w:t>
            </w:r>
            <w:r w:rsidR="00B20F34">
              <w:rPr>
                <w:rFonts w:cs="Arial"/>
                <w:color w:val="000000"/>
                <w:sz w:val="20"/>
                <w:szCs w:val="20"/>
                <w:lang w:eastAsia="fr-CA"/>
              </w:rPr>
              <w:t>4</w:t>
            </w:r>
            <w:r w:rsidRPr="007C20B5">
              <w:rPr>
                <w:rFonts w:cs="Arial"/>
                <w:color w:val="000000"/>
                <w:sz w:val="20"/>
                <w:szCs w:val="20"/>
                <w:lang w:eastAsia="fr-CA"/>
              </w:rPr>
              <w:t>-0</w:t>
            </w:r>
            <w:r w:rsidR="00B20F34">
              <w:rPr>
                <w:rFonts w:cs="Arial"/>
                <w:color w:val="000000"/>
                <w:sz w:val="20"/>
                <w:szCs w:val="20"/>
                <w:lang w:eastAsia="fr-CA"/>
              </w:rPr>
              <w:t>2</w:t>
            </w:r>
            <w:r w:rsidRPr="007C20B5">
              <w:rPr>
                <w:rFonts w:cs="Arial"/>
                <w:color w:val="000000"/>
                <w:sz w:val="20"/>
                <w:szCs w:val="20"/>
                <w:lang w:eastAsia="fr-CA"/>
              </w:rPr>
              <w:t>-</w:t>
            </w:r>
            <w:r w:rsidR="00B20F34">
              <w:rPr>
                <w:rFonts w:cs="Arial"/>
                <w:color w:val="000000"/>
                <w:sz w:val="20"/>
                <w:szCs w:val="20"/>
                <w:lang w:eastAsia="fr-CA"/>
              </w:rPr>
              <w:t>20</w:t>
            </w:r>
          </w:p>
        </w:tc>
        <w:tc>
          <w:tcPr>
            <w:tcW w:w="1646"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14:paraId="0867EAD6" w14:textId="01048D68" w:rsidR="007C20B5" w:rsidRPr="007C20B5" w:rsidRDefault="007C20B5" w:rsidP="007C20B5">
            <w:pPr>
              <w:jc w:val="center"/>
              <w:rPr>
                <w:rFonts w:cs="Arial"/>
                <w:color w:val="000000"/>
                <w:lang w:eastAsia="fr-CA"/>
              </w:rPr>
            </w:pPr>
            <w:r w:rsidRPr="007C20B5">
              <w:rPr>
                <w:rFonts w:cs="Arial"/>
                <w:color w:val="000000"/>
                <w:sz w:val="20"/>
                <w:szCs w:val="20"/>
                <w:lang w:eastAsia="fr-CA"/>
              </w:rPr>
              <w:t>202</w:t>
            </w:r>
            <w:r w:rsidR="00B20F34">
              <w:rPr>
                <w:rFonts w:cs="Arial"/>
                <w:color w:val="000000"/>
                <w:sz w:val="20"/>
                <w:szCs w:val="20"/>
                <w:lang w:eastAsia="fr-CA"/>
              </w:rPr>
              <w:t>4</w:t>
            </w:r>
            <w:r w:rsidRPr="007C20B5">
              <w:rPr>
                <w:rFonts w:cs="Arial"/>
                <w:color w:val="000000"/>
                <w:sz w:val="20"/>
                <w:szCs w:val="20"/>
                <w:lang w:eastAsia="fr-CA"/>
              </w:rPr>
              <w:t>-0</w:t>
            </w:r>
            <w:r w:rsidR="00B20F34">
              <w:rPr>
                <w:rFonts w:cs="Arial"/>
                <w:color w:val="000000"/>
                <w:sz w:val="20"/>
                <w:szCs w:val="20"/>
                <w:lang w:eastAsia="fr-CA"/>
              </w:rPr>
              <w:t>3</w:t>
            </w:r>
            <w:r w:rsidRPr="007C20B5">
              <w:rPr>
                <w:rFonts w:cs="Arial"/>
                <w:color w:val="000000"/>
                <w:sz w:val="20"/>
                <w:szCs w:val="20"/>
                <w:lang w:eastAsia="fr-CA"/>
              </w:rPr>
              <w:t>-3</w:t>
            </w:r>
            <w:r w:rsidR="00B20F34">
              <w:rPr>
                <w:rFonts w:cs="Arial"/>
                <w:color w:val="000000"/>
                <w:sz w:val="20"/>
                <w:szCs w:val="20"/>
                <w:lang w:eastAsia="fr-CA"/>
              </w:rPr>
              <w:t>1</w:t>
            </w:r>
          </w:p>
        </w:tc>
        <w:tc>
          <w:tcPr>
            <w:tcW w:w="123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14:paraId="15A8CFC3" w14:textId="6310B3C1" w:rsidR="007C20B5" w:rsidRPr="007C20B5" w:rsidRDefault="00B20F34" w:rsidP="007C20B5">
            <w:pPr>
              <w:jc w:val="center"/>
              <w:rPr>
                <w:rFonts w:cs="Arial"/>
                <w:color w:val="000000"/>
                <w:lang w:eastAsia="fr-CA"/>
              </w:rPr>
            </w:pPr>
            <w:r>
              <w:rPr>
                <w:rFonts w:cs="Arial"/>
                <w:color w:val="000000"/>
                <w:sz w:val="20"/>
                <w:szCs w:val="20"/>
                <w:lang w:eastAsia="fr-CA"/>
              </w:rPr>
              <w:t>5</w:t>
            </w:r>
            <w:r w:rsidR="0028263C">
              <w:rPr>
                <w:rFonts w:cs="Arial"/>
                <w:color w:val="000000"/>
                <w:sz w:val="20"/>
                <w:szCs w:val="20"/>
                <w:lang w:eastAsia="fr-CA"/>
              </w:rPr>
              <w:t>,00</w:t>
            </w:r>
            <w:r w:rsidR="007C20B5" w:rsidRPr="007C20B5">
              <w:rPr>
                <w:rFonts w:cs="Arial"/>
                <w:color w:val="000000"/>
                <w:sz w:val="20"/>
                <w:szCs w:val="20"/>
                <w:lang w:eastAsia="fr-CA"/>
              </w:rPr>
              <w:t xml:space="preserve"> % </w:t>
            </w:r>
          </w:p>
        </w:tc>
        <w:tc>
          <w:tcPr>
            <w:tcW w:w="182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14:paraId="08373247" w14:textId="14542624" w:rsidR="007C20B5" w:rsidRPr="007C20B5" w:rsidRDefault="0028263C" w:rsidP="007C20B5">
            <w:pPr>
              <w:jc w:val="center"/>
              <w:rPr>
                <w:rFonts w:cs="Arial"/>
                <w:color w:val="000000"/>
                <w:lang w:eastAsia="fr-CA"/>
              </w:rPr>
            </w:pPr>
            <w:r>
              <w:rPr>
                <w:rFonts w:cs="Arial"/>
                <w:color w:val="000000"/>
                <w:sz w:val="20"/>
                <w:szCs w:val="20"/>
                <w:lang w:eastAsia="fr-CA"/>
              </w:rPr>
              <w:t>0,86</w:t>
            </w:r>
            <w:r w:rsidR="007C20B5" w:rsidRPr="007C20B5">
              <w:rPr>
                <w:rFonts w:cs="Arial"/>
                <w:color w:val="000000"/>
                <w:sz w:val="20"/>
                <w:szCs w:val="20"/>
                <w:lang w:eastAsia="fr-CA"/>
              </w:rPr>
              <w:t xml:space="preserve"> $</w:t>
            </w:r>
          </w:p>
        </w:tc>
      </w:tr>
      <w:tr w:rsidR="007C20B5" w:rsidRPr="007C20B5" w14:paraId="373DCE3C" w14:textId="77777777" w:rsidTr="007C20B5">
        <w:trPr>
          <w:trHeight w:val="315"/>
        </w:trPr>
        <w:tc>
          <w:tcPr>
            <w:tcW w:w="156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14:paraId="694096CF" w14:textId="37F20310" w:rsidR="007C20B5" w:rsidRPr="007C20B5" w:rsidRDefault="007C20B5" w:rsidP="007C20B5">
            <w:pPr>
              <w:jc w:val="center"/>
              <w:rPr>
                <w:rFonts w:cs="Arial"/>
                <w:color w:val="000000"/>
                <w:lang w:eastAsia="fr-CA"/>
              </w:rPr>
            </w:pPr>
            <w:r w:rsidRPr="007C20B5">
              <w:rPr>
                <w:rFonts w:cs="Arial"/>
                <w:color w:val="000000"/>
                <w:sz w:val="20"/>
                <w:szCs w:val="20"/>
                <w:lang w:eastAsia="fr-CA"/>
              </w:rPr>
              <w:t>202</w:t>
            </w:r>
            <w:r w:rsidR="0028263C">
              <w:rPr>
                <w:rFonts w:cs="Arial"/>
                <w:color w:val="000000"/>
                <w:sz w:val="20"/>
                <w:szCs w:val="20"/>
                <w:lang w:eastAsia="fr-CA"/>
              </w:rPr>
              <w:t>4</w:t>
            </w:r>
            <w:r w:rsidRPr="007C20B5">
              <w:rPr>
                <w:rFonts w:cs="Arial"/>
                <w:color w:val="000000"/>
                <w:sz w:val="20"/>
                <w:szCs w:val="20"/>
                <w:lang w:eastAsia="fr-CA"/>
              </w:rPr>
              <w:t>-</w:t>
            </w:r>
            <w:r w:rsidR="0028263C">
              <w:rPr>
                <w:rFonts w:cs="Arial"/>
                <w:color w:val="000000"/>
                <w:sz w:val="20"/>
                <w:szCs w:val="20"/>
                <w:lang w:eastAsia="fr-CA"/>
              </w:rPr>
              <w:t>04</w:t>
            </w:r>
            <w:r w:rsidRPr="007C20B5">
              <w:rPr>
                <w:rFonts w:cs="Arial"/>
                <w:color w:val="000000"/>
                <w:sz w:val="20"/>
                <w:szCs w:val="20"/>
                <w:lang w:eastAsia="fr-CA"/>
              </w:rPr>
              <w:t>-01</w:t>
            </w:r>
          </w:p>
        </w:tc>
        <w:tc>
          <w:tcPr>
            <w:tcW w:w="1646"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14:paraId="6DE6637B" w14:textId="4A48B967" w:rsidR="007C20B5" w:rsidRPr="007C20B5" w:rsidRDefault="007C20B5" w:rsidP="007C20B5">
            <w:pPr>
              <w:jc w:val="center"/>
              <w:rPr>
                <w:rFonts w:cs="Arial"/>
                <w:color w:val="000000"/>
                <w:lang w:eastAsia="fr-CA"/>
              </w:rPr>
            </w:pPr>
            <w:r w:rsidRPr="007C20B5">
              <w:rPr>
                <w:rFonts w:cs="Arial"/>
                <w:color w:val="000000"/>
                <w:sz w:val="20"/>
                <w:szCs w:val="20"/>
                <w:lang w:eastAsia="fr-CA"/>
              </w:rPr>
              <w:t>202</w:t>
            </w:r>
            <w:r w:rsidR="0028263C">
              <w:rPr>
                <w:rFonts w:cs="Arial"/>
                <w:color w:val="000000"/>
                <w:sz w:val="20"/>
                <w:szCs w:val="20"/>
                <w:lang w:eastAsia="fr-CA"/>
              </w:rPr>
              <w:t>4-06</w:t>
            </w:r>
            <w:r w:rsidRPr="007C20B5">
              <w:rPr>
                <w:rFonts w:cs="Arial"/>
                <w:color w:val="000000"/>
                <w:sz w:val="20"/>
                <w:szCs w:val="20"/>
                <w:lang w:eastAsia="fr-CA"/>
              </w:rPr>
              <w:t>-3</w:t>
            </w:r>
            <w:r w:rsidR="0028263C">
              <w:rPr>
                <w:rFonts w:cs="Arial"/>
                <w:color w:val="000000"/>
                <w:sz w:val="20"/>
                <w:szCs w:val="20"/>
                <w:lang w:eastAsia="fr-CA"/>
              </w:rPr>
              <w:t>0</w:t>
            </w:r>
          </w:p>
        </w:tc>
        <w:tc>
          <w:tcPr>
            <w:tcW w:w="123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14:paraId="3A834F2F" w14:textId="32405762" w:rsidR="007C20B5" w:rsidRPr="007C20B5" w:rsidRDefault="0028263C" w:rsidP="007C20B5">
            <w:pPr>
              <w:jc w:val="center"/>
              <w:rPr>
                <w:rFonts w:cs="Arial"/>
                <w:color w:val="000000"/>
                <w:lang w:eastAsia="fr-CA"/>
              </w:rPr>
            </w:pPr>
            <w:r>
              <w:rPr>
                <w:rFonts w:cs="Arial"/>
                <w:color w:val="000000"/>
                <w:sz w:val="20"/>
                <w:szCs w:val="20"/>
                <w:lang w:eastAsia="fr-CA"/>
              </w:rPr>
              <w:t>5</w:t>
            </w:r>
            <w:r w:rsidR="007C20B5" w:rsidRPr="007C20B5">
              <w:rPr>
                <w:rFonts w:cs="Arial"/>
                <w:color w:val="000000"/>
                <w:sz w:val="20"/>
                <w:szCs w:val="20"/>
                <w:lang w:eastAsia="fr-CA"/>
              </w:rPr>
              <w:t>,00 %</w:t>
            </w:r>
          </w:p>
        </w:tc>
        <w:tc>
          <w:tcPr>
            <w:tcW w:w="182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14:paraId="5A818E52" w14:textId="5EAA292C" w:rsidR="007C20B5" w:rsidRPr="007C20B5" w:rsidRDefault="0028263C" w:rsidP="007C20B5">
            <w:pPr>
              <w:jc w:val="center"/>
              <w:rPr>
                <w:rFonts w:cs="Arial"/>
                <w:color w:val="000000"/>
                <w:lang w:eastAsia="fr-CA"/>
              </w:rPr>
            </w:pPr>
            <w:r>
              <w:rPr>
                <w:rFonts w:cs="Arial"/>
                <w:color w:val="000000"/>
                <w:sz w:val="20"/>
                <w:szCs w:val="20"/>
                <w:lang w:eastAsia="fr-CA"/>
              </w:rPr>
              <w:t>1,92</w:t>
            </w:r>
            <w:r w:rsidR="007C20B5" w:rsidRPr="007C20B5">
              <w:rPr>
                <w:rFonts w:cs="Arial"/>
                <w:color w:val="000000"/>
                <w:sz w:val="20"/>
                <w:szCs w:val="20"/>
                <w:lang w:eastAsia="fr-CA"/>
              </w:rPr>
              <w:t xml:space="preserve"> $</w:t>
            </w:r>
          </w:p>
        </w:tc>
      </w:tr>
      <w:tr w:rsidR="007C20B5" w:rsidRPr="007C20B5" w14:paraId="281AEA54" w14:textId="77777777" w:rsidTr="007C20B5">
        <w:trPr>
          <w:trHeight w:val="315"/>
        </w:trPr>
        <w:tc>
          <w:tcPr>
            <w:tcW w:w="156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14:paraId="591DA398" w14:textId="0AD32AB8" w:rsidR="007C20B5" w:rsidRPr="007C20B5" w:rsidRDefault="007C20B5" w:rsidP="007C20B5">
            <w:pPr>
              <w:jc w:val="center"/>
              <w:rPr>
                <w:rFonts w:cs="Arial"/>
                <w:color w:val="000000"/>
                <w:lang w:eastAsia="fr-CA"/>
              </w:rPr>
            </w:pPr>
            <w:r w:rsidRPr="007C20B5">
              <w:rPr>
                <w:rFonts w:cs="Arial"/>
                <w:color w:val="000000"/>
                <w:sz w:val="20"/>
                <w:szCs w:val="20"/>
                <w:lang w:eastAsia="fr-CA"/>
              </w:rPr>
              <w:t>202</w:t>
            </w:r>
            <w:r w:rsidR="00E621D7">
              <w:rPr>
                <w:rFonts w:cs="Arial"/>
                <w:color w:val="000000"/>
                <w:sz w:val="20"/>
                <w:szCs w:val="20"/>
                <w:lang w:eastAsia="fr-CA"/>
              </w:rPr>
              <w:t>4</w:t>
            </w:r>
            <w:r w:rsidRPr="007C20B5">
              <w:rPr>
                <w:rFonts w:cs="Arial"/>
                <w:color w:val="000000"/>
                <w:sz w:val="20"/>
                <w:szCs w:val="20"/>
                <w:lang w:eastAsia="fr-CA"/>
              </w:rPr>
              <w:t>-0</w:t>
            </w:r>
            <w:r w:rsidR="00E621D7">
              <w:rPr>
                <w:rFonts w:cs="Arial"/>
                <w:color w:val="000000"/>
                <w:sz w:val="20"/>
                <w:szCs w:val="20"/>
                <w:lang w:eastAsia="fr-CA"/>
              </w:rPr>
              <w:t>7</w:t>
            </w:r>
            <w:r w:rsidRPr="007C20B5">
              <w:rPr>
                <w:rFonts w:cs="Arial"/>
                <w:color w:val="000000"/>
                <w:sz w:val="20"/>
                <w:szCs w:val="20"/>
                <w:lang w:eastAsia="fr-CA"/>
              </w:rPr>
              <w:t>-01</w:t>
            </w:r>
          </w:p>
        </w:tc>
        <w:tc>
          <w:tcPr>
            <w:tcW w:w="1646"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14:paraId="6119E937" w14:textId="624294E5" w:rsidR="007C20B5" w:rsidRPr="007C20B5" w:rsidRDefault="007C20B5" w:rsidP="007C20B5">
            <w:pPr>
              <w:jc w:val="center"/>
              <w:rPr>
                <w:rFonts w:cs="Arial"/>
                <w:color w:val="000000"/>
                <w:lang w:eastAsia="fr-CA"/>
              </w:rPr>
            </w:pPr>
            <w:r w:rsidRPr="007C20B5">
              <w:rPr>
                <w:rFonts w:cs="Arial"/>
                <w:color w:val="000000"/>
                <w:sz w:val="20"/>
                <w:szCs w:val="20"/>
                <w:lang w:eastAsia="fr-CA"/>
              </w:rPr>
              <w:t>202</w:t>
            </w:r>
            <w:r w:rsidR="00E621D7">
              <w:rPr>
                <w:rFonts w:cs="Arial"/>
                <w:color w:val="000000"/>
                <w:sz w:val="20"/>
                <w:szCs w:val="20"/>
                <w:lang w:eastAsia="fr-CA"/>
              </w:rPr>
              <w:t>4-09-30</w:t>
            </w:r>
          </w:p>
        </w:tc>
        <w:tc>
          <w:tcPr>
            <w:tcW w:w="123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14:paraId="3A14CB82" w14:textId="37925B42" w:rsidR="007C20B5" w:rsidRPr="007C20B5" w:rsidRDefault="00E621D7" w:rsidP="007C20B5">
            <w:pPr>
              <w:jc w:val="center"/>
              <w:rPr>
                <w:rFonts w:cs="Arial"/>
                <w:color w:val="000000"/>
                <w:lang w:eastAsia="fr-CA"/>
              </w:rPr>
            </w:pPr>
            <w:r>
              <w:rPr>
                <w:rFonts w:cs="Arial"/>
                <w:color w:val="000000"/>
                <w:sz w:val="20"/>
                <w:szCs w:val="20"/>
                <w:lang w:eastAsia="fr-CA"/>
              </w:rPr>
              <w:t>4</w:t>
            </w:r>
            <w:r w:rsidR="007C20B5" w:rsidRPr="007C20B5">
              <w:rPr>
                <w:rFonts w:cs="Arial"/>
                <w:color w:val="000000"/>
                <w:sz w:val="20"/>
                <w:szCs w:val="20"/>
                <w:lang w:eastAsia="fr-CA"/>
              </w:rPr>
              <w:t>,75 %</w:t>
            </w:r>
          </w:p>
        </w:tc>
        <w:tc>
          <w:tcPr>
            <w:tcW w:w="182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14:paraId="4ACFFC9D" w14:textId="69DDB7B2" w:rsidR="007C20B5" w:rsidRPr="007C20B5" w:rsidRDefault="00E621D7" w:rsidP="007C20B5">
            <w:pPr>
              <w:jc w:val="center"/>
              <w:rPr>
                <w:rFonts w:cs="Arial"/>
                <w:color w:val="000000"/>
                <w:lang w:eastAsia="fr-CA"/>
              </w:rPr>
            </w:pPr>
            <w:r>
              <w:rPr>
                <w:rFonts w:cs="Arial"/>
                <w:color w:val="000000"/>
                <w:sz w:val="20"/>
                <w:szCs w:val="20"/>
                <w:lang w:eastAsia="fr-CA"/>
              </w:rPr>
              <w:t>1,87</w:t>
            </w:r>
            <w:r w:rsidR="007C20B5" w:rsidRPr="007C20B5">
              <w:rPr>
                <w:rFonts w:cs="Arial"/>
                <w:color w:val="000000"/>
                <w:sz w:val="20"/>
                <w:szCs w:val="20"/>
                <w:lang w:eastAsia="fr-CA"/>
              </w:rPr>
              <w:t xml:space="preserve"> $</w:t>
            </w:r>
          </w:p>
        </w:tc>
      </w:tr>
      <w:tr w:rsidR="007C20B5" w:rsidRPr="007C20B5" w14:paraId="06E8DDA4" w14:textId="77777777" w:rsidTr="007C20B5">
        <w:trPr>
          <w:trHeight w:val="315"/>
        </w:trPr>
        <w:tc>
          <w:tcPr>
            <w:tcW w:w="156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14:paraId="2B9C6372" w14:textId="5725458F" w:rsidR="007C20B5" w:rsidRPr="007C20B5" w:rsidRDefault="00E621D7" w:rsidP="007C20B5">
            <w:pPr>
              <w:jc w:val="center"/>
              <w:rPr>
                <w:rFonts w:cs="Arial"/>
                <w:color w:val="000000"/>
                <w:lang w:eastAsia="fr-CA"/>
              </w:rPr>
            </w:pPr>
            <w:r>
              <w:rPr>
                <w:rFonts w:cs="Arial"/>
                <w:color w:val="000000"/>
                <w:sz w:val="20"/>
                <w:szCs w:val="20"/>
                <w:lang w:eastAsia="fr-CA"/>
              </w:rPr>
              <w:t>2024-10-01</w:t>
            </w:r>
          </w:p>
        </w:tc>
        <w:tc>
          <w:tcPr>
            <w:tcW w:w="1646"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14:paraId="299FD878" w14:textId="3FE3CF44" w:rsidR="007C20B5" w:rsidRPr="007C20B5" w:rsidRDefault="00E621D7" w:rsidP="007C20B5">
            <w:pPr>
              <w:jc w:val="center"/>
              <w:rPr>
                <w:rFonts w:cs="Arial"/>
                <w:color w:val="000000"/>
                <w:lang w:eastAsia="fr-CA"/>
              </w:rPr>
            </w:pPr>
            <w:r>
              <w:rPr>
                <w:rFonts w:cs="Arial"/>
                <w:color w:val="000000"/>
                <w:sz w:val="20"/>
                <w:szCs w:val="20"/>
                <w:lang w:eastAsia="fr-CA"/>
              </w:rPr>
              <w:t>2024-12-31</w:t>
            </w:r>
          </w:p>
        </w:tc>
        <w:tc>
          <w:tcPr>
            <w:tcW w:w="123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14:paraId="74403514" w14:textId="2576B428" w:rsidR="007C20B5" w:rsidRPr="007C20B5" w:rsidRDefault="007C20B5" w:rsidP="007C20B5">
            <w:pPr>
              <w:jc w:val="center"/>
              <w:rPr>
                <w:rFonts w:cs="Arial"/>
                <w:color w:val="000000"/>
                <w:lang w:eastAsia="fr-CA"/>
              </w:rPr>
            </w:pPr>
            <w:r w:rsidRPr="007C20B5">
              <w:rPr>
                <w:rFonts w:cs="Arial"/>
                <w:color w:val="000000"/>
                <w:sz w:val="20"/>
                <w:szCs w:val="20"/>
                <w:lang w:eastAsia="fr-CA"/>
              </w:rPr>
              <w:t>4,</w:t>
            </w:r>
            <w:r w:rsidR="00E621D7">
              <w:rPr>
                <w:rFonts w:cs="Arial"/>
                <w:color w:val="000000"/>
                <w:sz w:val="20"/>
                <w:szCs w:val="20"/>
                <w:lang w:eastAsia="fr-CA"/>
              </w:rPr>
              <w:t>7</w:t>
            </w:r>
            <w:r w:rsidRPr="007C20B5">
              <w:rPr>
                <w:rFonts w:cs="Arial"/>
                <w:color w:val="000000"/>
                <w:sz w:val="20"/>
                <w:szCs w:val="20"/>
                <w:lang w:eastAsia="fr-CA"/>
              </w:rPr>
              <w:t>5 %</w:t>
            </w:r>
          </w:p>
        </w:tc>
        <w:tc>
          <w:tcPr>
            <w:tcW w:w="182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14:paraId="5E413707" w14:textId="30387995" w:rsidR="007C20B5" w:rsidRPr="007C20B5" w:rsidRDefault="00E621D7" w:rsidP="007C20B5">
            <w:pPr>
              <w:jc w:val="center"/>
              <w:rPr>
                <w:rFonts w:cs="Arial"/>
                <w:color w:val="000000"/>
                <w:lang w:eastAsia="fr-CA"/>
              </w:rPr>
            </w:pPr>
            <w:r>
              <w:rPr>
                <w:rFonts w:cs="Arial"/>
                <w:color w:val="000000"/>
                <w:sz w:val="20"/>
                <w:szCs w:val="20"/>
                <w:lang w:eastAsia="fr-CA"/>
              </w:rPr>
              <w:t>1,89</w:t>
            </w:r>
            <w:r w:rsidR="007C20B5" w:rsidRPr="007C20B5">
              <w:rPr>
                <w:rFonts w:cs="Arial"/>
                <w:color w:val="000000"/>
                <w:sz w:val="20"/>
                <w:szCs w:val="20"/>
                <w:lang w:eastAsia="fr-CA"/>
              </w:rPr>
              <w:t xml:space="preserve"> $</w:t>
            </w:r>
          </w:p>
        </w:tc>
      </w:tr>
      <w:tr w:rsidR="007C20B5" w:rsidRPr="007C20B5" w14:paraId="371B8369" w14:textId="77777777" w:rsidTr="007C20B5">
        <w:trPr>
          <w:trHeight w:val="315"/>
        </w:trPr>
        <w:tc>
          <w:tcPr>
            <w:tcW w:w="156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14:paraId="2E8B84BE" w14:textId="089FF0A0" w:rsidR="007C20B5" w:rsidRPr="007C20B5" w:rsidRDefault="007C20B5" w:rsidP="007C20B5">
            <w:pPr>
              <w:jc w:val="center"/>
              <w:rPr>
                <w:rFonts w:cs="Arial"/>
                <w:color w:val="000000"/>
                <w:lang w:eastAsia="fr-CA"/>
              </w:rPr>
            </w:pPr>
            <w:r w:rsidRPr="007C20B5">
              <w:rPr>
                <w:rFonts w:cs="Arial"/>
                <w:color w:val="000000"/>
                <w:sz w:val="20"/>
                <w:szCs w:val="20"/>
                <w:lang w:eastAsia="fr-CA"/>
              </w:rPr>
              <w:t>202</w:t>
            </w:r>
            <w:r w:rsidR="00E621D7">
              <w:rPr>
                <w:rFonts w:cs="Arial"/>
                <w:color w:val="000000"/>
                <w:sz w:val="20"/>
                <w:szCs w:val="20"/>
                <w:lang w:eastAsia="fr-CA"/>
              </w:rPr>
              <w:t>5-01-01</w:t>
            </w:r>
          </w:p>
        </w:tc>
        <w:tc>
          <w:tcPr>
            <w:tcW w:w="1646"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14:paraId="39702E49" w14:textId="7E86F3B1" w:rsidR="007C20B5" w:rsidRPr="007C20B5" w:rsidRDefault="007C20B5" w:rsidP="007C20B5">
            <w:pPr>
              <w:jc w:val="center"/>
              <w:rPr>
                <w:rFonts w:cs="Arial"/>
                <w:color w:val="000000"/>
                <w:lang w:eastAsia="fr-CA"/>
              </w:rPr>
            </w:pPr>
            <w:r w:rsidRPr="007C20B5">
              <w:rPr>
                <w:rFonts w:cs="Arial"/>
                <w:color w:val="000000"/>
                <w:sz w:val="20"/>
                <w:szCs w:val="20"/>
                <w:lang w:eastAsia="fr-CA"/>
              </w:rPr>
              <w:t>202</w:t>
            </w:r>
            <w:r w:rsidR="00E621D7">
              <w:rPr>
                <w:rFonts w:cs="Arial"/>
                <w:color w:val="000000"/>
                <w:sz w:val="20"/>
                <w:szCs w:val="20"/>
                <w:lang w:eastAsia="fr-CA"/>
              </w:rPr>
              <w:t>5-02-17</w:t>
            </w:r>
          </w:p>
        </w:tc>
        <w:tc>
          <w:tcPr>
            <w:tcW w:w="1234"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14:paraId="1FAC8861" w14:textId="72B91625" w:rsidR="007C20B5" w:rsidRPr="007C20B5" w:rsidRDefault="00E621D7" w:rsidP="007C20B5">
            <w:pPr>
              <w:jc w:val="center"/>
              <w:rPr>
                <w:rFonts w:cs="Arial"/>
                <w:color w:val="000000"/>
                <w:lang w:eastAsia="fr-CA"/>
              </w:rPr>
            </w:pPr>
            <w:r>
              <w:rPr>
                <w:rFonts w:cs="Arial"/>
                <w:color w:val="000000"/>
                <w:sz w:val="20"/>
                <w:szCs w:val="20"/>
                <w:lang w:eastAsia="fr-CA"/>
              </w:rPr>
              <w:t>3,50</w:t>
            </w:r>
            <w:r w:rsidR="007C20B5" w:rsidRPr="007C20B5">
              <w:rPr>
                <w:rFonts w:cs="Arial"/>
                <w:color w:val="000000"/>
                <w:sz w:val="20"/>
                <w:szCs w:val="20"/>
                <w:lang w:eastAsia="fr-CA"/>
              </w:rPr>
              <w:t xml:space="preserve"> %</w:t>
            </w:r>
          </w:p>
        </w:tc>
        <w:tc>
          <w:tcPr>
            <w:tcW w:w="182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14:paraId="38F8AD42" w14:textId="688BB9A2" w:rsidR="007C20B5" w:rsidRPr="007C20B5" w:rsidRDefault="00E621D7" w:rsidP="007C20B5">
            <w:pPr>
              <w:jc w:val="center"/>
              <w:rPr>
                <w:rFonts w:cs="Arial"/>
                <w:color w:val="000000"/>
                <w:lang w:eastAsia="fr-CA"/>
              </w:rPr>
            </w:pPr>
            <w:r>
              <w:rPr>
                <w:rFonts w:cs="Arial"/>
                <w:color w:val="000000"/>
                <w:sz w:val="20"/>
                <w:szCs w:val="20"/>
                <w:lang w:eastAsia="fr-CA"/>
              </w:rPr>
              <w:t>0,73</w:t>
            </w:r>
            <w:r w:rsidR="007C20B5" w:rsidRPr="007C20B5">
              <w:rPr>
                <w:rFonts w:cs="Arial"/>
                <w:color w:val="000000"/>
                <w:sz w:val="20"/>
                <w:szCs w:val="20"/>
                <w:lang w:eastAsia="fr-CA"/>
              </w:rPr>
              <w:t xml:space="preserve"> $</w:t>
            </w:r>
          </w:p>
        </w:tc>
      </w:tr>
      <w:tr w:rsidR="007C20B5" w:rsidRPr="007C20B5" w14:paraId="5D6EA1C2" w14:textId="77777777" w:rsidTr="007C20B5">
        <w:trPr>
          <w:trHeight w:val="390"/>
        </w:trPr>
        <w:tc>
          <w:tcPr>
            <w:tcW w:w="3206" w:type="dxa"/>
            <w:gridSpan w:val="2"/>
            <w:tcBorders>
              <w:top w:val="nil"/>
              <w:left w:val="single" w:sz="8" w:space="0" w:color="auto"/>
              <w:bottom w:val="single" w:sz="8" w:space="0" w:color="auto"/>
              <w:right w:val="single" w:sz="8" w:space="0" w:color="auto"/>
            </w:tcBorders>
            <w:shd w:val="clear" w:color="auto" w:fill="BFBFBF"/>
            <w:noWrap/>
            <w:vAlign w:val="center"/>
            <w:hideMark/>
          </w:tcPr>
          <w:p w14:paraId="358D2318" w14:textId="77777777" w:rsidR="007C20B5" w:rsidRPr="007C20B5" w:rsidRDefault="007C20B5" w:rsidP="007C20B5">
            <w:pPr>
              <w:jc w:val="center"/>
              <w:rPr>
                <w:rFonts w:cs="Arial"/>
                <w:color w:val="000000"/>
                <w:lang w:eastAsia="fr-CA"/>
              </w:rPr>
            </w:pPr>
            <w:r w:rsidRPr="007C20B5">
              <w:rPr>
                <w:rFonts w:cs="Arial"/>
                <w:b/>
                <w:bCs/>
                <w:color w:val="000000"/>
                <w:sz w:val="20"/>
                <w:szCs w:val="20"/>
                <w:lang w:eastAsia="fr-CA"/>
              </w:rPr>
              <w:t>TOTAL DES INTÉRÊTS PAYABLES</w:t>
            </w:r>
          </w:p>
        </w:tc>
        <w:tc>
          <w:tcPr>
            <w:tcW w:w="1234" w:type="dxa"/>
            <w:tcBorders>
              <w:top w:val="nil"/>
              <w:left w:val="nil"/>
              <w:bottom w:val="single" w:sz="8" w:space="0" w:color="auto"/>
              <w:right w:val="single" w:sz="8" w:space="0" w:color="auto"/>
            </w:tcBorders>
            <w:shd w:val="clear" w:color="auto" w:fill="BFBFBF"/>
            <w:noWrap/>
            <w:tcMar>
              <w:top w:w="0" w:type="dxa"/>
              <w:left w:w="70" w:type="dxa"/>
              <w:bottom w:w="0" w:type="dxa"/>
              <w:right w:w="70" w:type="dxa"/>
            </w:tcMar>
            <w:vAlign w:val="center"/>
            <w:hideMark/>
          </w:tcPr>
          <w:p w14:paraId="0288224B" w14:textId="77777777" w:rsidR="007C20B5" w:rsidRPr="007C20B5" w:rsidRDefault="007C20B5" w:rsidP="007C20B5">
            <w:pPr>
              <w:jc w:val="center"/>
              <w:rPr>
                <w:rFonts w:cs="Arial"/>
                <w:color w:val="000000"/>
                <w:lang w:eastAsia="fr-CA"/>
              </w:rPr>
            </w:pPr>
            <w:r w:rsidRPr="007C20B5">
              <w:rPr>
                <w:rFonts w:cs="Arial"/>
                <w:b/>
                <w:bCs/>
                <w:color w:val="000000"/>
                <w:sz w:val="20"/>
                <w:szCs w:val="20"/>
                <w:lang w:eastAsia="fr-CA"/>
              </w:rPr>
              <w:t> </w:t>
            </w:r>
          </w:p>
        </w:tc>
        <w:tc>
          <w:tcPr>
            <w:tcW w:w="1820" w:type="dxa"/>
            <w:tcBorders>
              <w:top w:val="nil"/>
              <w:left w:val="nil"/>
              <w:bottom w:val="single" w:sz="8" w:space="0" w:color="auto"/>
              <w:right w:val="single" w:sz="8" w:space="0" w:color="auto"/>
            </w:tcBorders>
            <w:shd w:val="clear" w:color="auto" w:fill="BFBFBF"/>
            <w:noWrap/>
            <w:tcMar>
              <w:top w:w="0" w:type="dxa"/>
              <w:left w:w="70" w:type="dxa"/>
              <w:bottom w:w="0" w:type="dxa"/>
              <w:right w:w="70" w:type="dxa"/>
            </w:tcMar>
            <w:vAlign w:val="center"/>
            <w:hideMark/>
          </w:tcPr>
          <w:p w14:paraId="3B98512B" w14:textId="77777777" w:rsidR="007C20B5" w:rsidRPr="007C20B5" w:rsidRDefault="007C20B5" w:rsidP="007C20B5">
            <w:pPr>
              <w:jc w:val="center"/>
              <w:rPr>
                <w:rFonts w:cs="Arial"/>
                <w:color w:val="000000"/>
                <w:lang w:eastAsia="fr-CA"/>
              </w:rPr>
            </w:pPr>
            <w:r w:rsidRPr="007C20B5">
              <w:rPr>
                <w:rFonts w:cs="Arial"/>
                <w:b/>
                <w:bCs/>
                <w:color w:val="000000"/>
                <w:sz w:val="20"/>
                <w:szCs w:val="20"/>
                <w:lang w:eastAsia="fr-CA"/>
              </w:rPr>
              <w:t>14,39 $</w:t>
            </w:r>
          </w:p>
        </w:tc>
      </w:tr>
    </w:tbl>
    <w:p w14:paraId="59D64606" w14:textId="057DC49A" w:rsidR="007C20B5" w:rsidRDefault="001138DC" w:rsidP="005A426F">
      <w:pPr>
        <w:pStyle w:val="Paragraphe"/>
        <w:tabs>
          <w:tab w:val="left" w:pos="851"/>
        </w:tabs>
      </w:pPr>
      <w:r>
        <w:t>Après la réception de cette décision, l’employeur devra ajouter à ce total, l’intérêt dû jusqu’à l’exécution de la présente ordonnance.</w:t>
      </w:r>
    </w:p>
    <w:p w14:paraId="24C3436A" w14:textId="39DA64A4" w:rsidR="000B4E3B" w:rsidRPr="0055246B" w:rsidRDefault="000B4E3B" w:rsidP="005A426F">
      <w:pPr>
        <w:pStyle w:val="Paragraphe"/>
        <w:tabs>
          <w:tab w:val="left" w:pos="851"/>
        </w:tabs>
      </w:pPr>
      <w:r>
        <w:t>Ainsi, l’employeur devra ajouter un intérêt supplémentaire de 0,01</w:t>
      </w:r>
      <w:r w:rsidR="00C70C64">
        <w:t xml:space="preserve"> $ par jour jusqu’à l’émission du paiement au travailleur.</w:t>
      </w:r>
    </w:p>
    <w:bookmarkEnd w:id="3"/>
    <w:p w14:paraId="095C195A" w14:textId="77777777" w:rsidR="00BC573D" w:rsidRPr="007C5C8A" w:rsidRDefault="00BC573D" w:rsidP="00BC573D">
      <w:pPr>
        <w:pStyle w:val="Paragraphe"/>
        <w:numPr>
          <w:ilvl w:val="0"/>
          <w:numId w:val="0"/>
        </w:numPr>
        <w:tabs>
          <w:tab w:val="left" w:pos="851"/>
        </w:tabs>
      </w:pPr>
    </w:p>
    <w:p w14:paraId="126FD006" w14:textId="609206CB" w:rsidR="007F48ED" w:rsidRDefault="00873BB3" w:rsidP="00351678">
      <w:pPr>
        <w:pStyle w:val="Titre1"/>
        <w:tabs>
          <w:tab w:val="left" w:pos="851"/>
        </w:tabs>
        <w:rPr>
          <w:kern w:val="28"/>
          <w:szCs w:val="24"/>
        </w:rPr>
      </w:pPr>
      <w:r w:rsidRPr="007C5C8A">
        <w:rPr>
          <w:kern w:val="28"/>
          <w:szCs w:val="24"/>
        </w:rPr>
        <w:t>pour ces motifs, la commission</w:t>
      </w:r>
      <w:r w:rsidR="002A2BC6" w:rsidRPr="007C5C8A">
        <w:rPr>
          <w:kern w:val="28"/>
          <w:szCs w:val="24"/>
        </w:rPr>
        <w:t> :</w:t>
      </w:r>
    </w:p>
    <w:p w14:paraId="73BAE611" w14:textId="77777777" w:rsidR="00BC573D" w:rsidRPr="00BC573D" w:rsidRDefault="00BC573D" w:rsidP="00BC573D">
      <w:pPr>
        <w:pStyle w:val="Paragraphe"/>
        <w:numPr>
          <w:ilvl w:val="0"/>
          <w:numId w:val="0"/>
        </w:numPr>
      </w:pPr>
    </w:p>
    <w:p w14:paraId="1F220971" w14:textId="6091F3B1" w:rsidR="00C8275A" w:rsidRPr="007C5C8A" w:rsidRDefault="00C8275A" w:rsidP="00090853">
      <w:pPr>
        <w:pStyle w:val="paragconclusion0"/>
        <w:spacing w:before="160" w:beforeAutospacing="0" w:after="160" w:afterAutospacing="0"/>
        <w:jc w:val="both"/>
        <w:rPr>
          <w:rFonts w:ascii="Arial" w:hAnsi="Arial" w:cs="Arial"/>
          <w:color w:val="000000"/>
        </w:rPr>
      </w:pPr>
      <w:r w:rsidRPr="007C5C8A">
        <w:rPr>
          <w:rFonts w:ascii="Arial" w:hAnsi="Arial" w:cs="Arial"/>
          <w:b/>
          <w:bCs/>
          <w:color w:val="000000"/>
        </w:rPr>
        <w:t xml:space="preserve">ACCUEILLE </w:t>
      </w:r>
      <w:r w:rsidRPr="007C5C8A">
        <w:rPr>
          <w:rFonts w:ascii="Arial" w:hAnsi="Arial" w:cs="Arial"/>
          <w:color w:val="000000"/>
        </w:rPr>
        <w:t xml:space="preserve">la plainte </w:t>
      </w:r>
      <w:r w:rsidR="00F32708" w:rsidRPr="007C5C8A">
        <w:rPr>
          <w:rFonts w:ascii="Arial" w:hAnsi="Arial" w:cs="Arial"/>
          <w:color w:val="000000"/>
        </w:rPr>
        <w:t>LAN24-033</w:t>
      </w:r>
      <w:r w:rsidRPr="007C5C8A">
        <w:rPr>
          <w:rFonts w:ascii="Arial" w:hAnsi="Arial" w:cs="Arial"/>
          <w:color w:val="000000"/>
        </w:rPr>
        <w:t xml:space="preserve"> déposée par l</w:t>
      </w:r>
      <w:r w:rsidR="00F32708" w:rsidRPr="007C5C8A">
        <w:rPr>
          <w:rFonts w:ascii="Arial" w:hAnsi="Arial" w:cs="Arial"/>
          <w:color w:val="000000"/>
        </w:rPr>
        <w:t>e</w:t>
      </w:r>
      <w:r w:rsidRPr="007C5C8A">
        <w:rPr>
          <w:rFonts w:ascii="Arial" w:hAnsi="Arial" w:cs="Arial"/>
          <w:color w:val="000000"/>
        </w:rPr>
        <w:t xml:space="preserve"> travaille</w:t>
      </w:r>
      <w:r w:rsidR="00F32708" w:rsidRPr="007C5C8A">
        <w:rPr>
          <w:rFonts w:ascii="Arial" w:hAnsi="Arial" w:cs="Arial"/>
          <w:color w:val="000000"/>
        </w:rPr>
        <w:t>ur</w:t>
      </w:r>
      <w:r w:rsidRPr="007C5C8A">
        <w:rPr>
          <w:rFonts w:ascii="Arial" w:hAnsi="Arial" w:cs="Arial"/>
          <w:color w:val="000000"/>
        </w:rPr>
        <w:t xml:space="preserve"> le </w:t>
      </w:r>
      <w:r w:rsidR="002315BD" w:rsidRPr="007C5C8A">
        <w:rPr>
          <w:rFonts w:ascii="Arial" w:hAnsi="Arial" w:cs="Arial"/>
          <w:color w:val="000000"/>
        </w:rPr>
        <w:t>20</w:t>
      </w:r>
      <w:r w:rsidRPr="007C5C8A">
        <w:rPr>
          <w:rFonts w:ascii="Arial" w:hAnsi="Arial" w:cs="Arial"/>
          <w:color w:val="000000"/>
        </w:rPr>
        <w:t xml:space="preserve"> </w:t>
      </w:r>
      <w:r w:rsidR="002315BD" w:rsidRPr="007C5C8A">
        <w:rPr>
          <w:rFonts w:ascii="Arial" w:hAnsi="Arial" w:cs="Arial"/>
          <w:color w:val="000000"/>
        </w:rPr>
        <w:t>février</w:t>
      </w:r>
      <w:r w:rsidRPr="007C5C8A">
        <w:rPr>
          <w:rFonts w:ascii="Arial" w:hAnsi="Arial" w:cs="Arial"/>
          <w:color w:val="000000"/>
        </w:rPr>
        <w:t xml:space="preserve"> 202</w:t>
      </w:r>
      <w:r w:rsidR="002315BD" w:rsidRPr="007C5C8A">
        <w:rPr>
          <w:rFonts w:ascii="Arial" w:hAnsi="Arial" w:cs="Arial"/>
          <w:color w:val="000000"/>
        </w:rPr>
        <w:t>4</w:t>
      </w:r>
      <w:r w:rsidRPr="007C5C8A">
        <w:rPr>
          <w:rFonts w:ascii="Arial" w:hAnsi="Arial" w:cs="Arial"/>
          <w:color w:val="000000"/>
        </w:rPr>
        <w:t>;</w:t>
      </w:r>
    </w:p>
    <w:p w14:paraId="180D2B90" w14:textId="5EC8BC1E" w:rsidR="00F03A92" w:rsidRDefault="00090853" w:rsidP="00F03A92">
      <w:pPr>
        <w:pStyle w:val="paragconclusion0"/>
        <w:spacing w:before="160" w:beforeAutospacing="0" w:after="160" w:afterAutospacing="0"/>
        <w:jc w:val="both"/>
        <w:rPr>
          <w:rFonts w:ascii="Arial" w:hAnsi="Arial" w:cs="Arial"/>
          <w:color w:val="000000"/>
        </w:rPr>
      </w:pPr>
      <w:r w:rsidRPr="007C5C8A">
        <w:rPr>
          <w:rFonts w:ascii="Arial" w:hAnsi="Arial" w:cs="Arial"/>
          <w:b/>
          <w:bCs/>
          <w:color w:val="000000"/>
        </w:rPr>
        <w:t>ORDONNE</w:t>
      </w:r>
      <w:r w:rsidRPr="007C5C8A">
        <w:rPr>
          <w:rFonts w:ascii="Arial" w:hAnsi="Arial" w:cs="Arial"/>
          <w:color w:val="000000"/>
        </w:rPr>
        <w:t xml:space="preserve"> à l’employeur de verser </w:t>
      </w:r>
      <w:r w:rsidR="002315BD" w:rsidRPr="007C5C8A">
        <w:rPr>
          <w:rFonts w:ascii="Arial" w:hAnsi="Arial" w:cs="Arial"/>
          <w:color w:val="000000"/>
        </w:rPr>
        <w:t>au</w:t>
      </w:r>
      <w:r w:rsidRPr="007C5C8A">
        <w:rPr>
          <w:rFonts w:ascii="Arial" w:hAnsi="Arial" w:cs="Arial"/>
          <w:color w:val="000000"/>
        </w:rPr>
        <w:t xml:space="preserve"> travailleu</w:t>
      </w:r>
      <w:r w:rsidR="00F03A92" w:rsidRPr="007C5C8A">
        <w:rPr>
          <w:rFonts w:ascii="Arial" w:hAnsi="Arial" w:cs="Arial"/>
          <w:color w:val="000000"/>
        </w:rPr>
        <w:t>r</w:t>
      </w:r>
      <w:r w:rsidR="005E1027" w:rsidRPr="007C5C8A">
        <w:rPr>
          <w:rFonts w:ascii="Arial" w:hAnsi="Arial" w:cs="Arial"/>
          <w:color w:val="000000"/>
        </w:rPr>
        <w:t xml:space="preserve"> </w:t>
      </w:r>
      <w:r w:rsidR="00DE48E3">
        <w:rPr>
          <w:rFonts w:ascii="Arial" w:hAnsi="Arial" w:cs="Arial"/>
          <w:color w:val="000000"/>
        </w:rPr>
        <w:t xml:space="preserve">le montant de 153,44$ à titre de «Boni </w:t>
      </w:r>
      <w:r w:rsidR="00B01A6F">
        <w:rPr>
          <w:rFonts w:ascii="Arial" w:hAnsi="Arial" w:cs="Arial"/>
          <w:color w:val="000000"/>
        </w:rPr>
        <w:t>REER» supplémentaire et ce, dans les huit jours de la notification de la présent</w:t>
      </w:r>
      <w:r w:rsidR="00A8014E">
        <w:rPr>
          <w:rFonts w:ascii="Arial" w:hAnsi="Arial" w:cs="Arial"/>
          <w:color w:val="000000"/>
        </w:rPr>
        <w:t>e</w:t>
      </w:r>
      <w:r w:rsidR="001924A7">
        <w:rPr>
          <w:rStyle w:val="Appelnotedebasdep"/>
          <w:rFonts w:ascii="Arial" w:hAnsi="Arial" w:cs="Arial"/>
          <w:color w:val="000000"/>
        </w:rPr>
        <w:footnoteReference w:id="4"/>
      </w:r>
      <w:r w:rsidR="00B01A6F">
        <w:rPr>
          <w:rFonts w:ascii="Arial" w:hAnsi="Arial" w:cs="Arial"/>
          <w:color w:val="000000"/>
        </w:rPr>
        <w:t xml:space="preserve">; </w:t>
      </w:r>
    </w:p>
    <w:p w14:paraId="346E4D69" w14:textId="5A4350D3" w:rsidR="005A0B86" w:rsidRDefault="005A0B86" w:rsidP="00F03A92">
      <w:pPr>
        <w:pStyle w:val="paragconclusion0"/>
        <w:spacing w:before="160" w:beforeAutospacing="0" w:after="160" w:afterAutospacing="0"/>
        <w:jc w:val="both"/>
        <w:rPr>
          <w:rFonts w:ascii="Arial" w:hAnsi="Arial" w:cs="Arial"/>
          <w:color w:val="000000"/>
        </w:rPr>
      </w:pPr>
      <w:r>
        <w:rPr>
          <w:rFonts w:ascii="Arial" w:hAnsi="Arial" w:cs="Arial"/>
          <w:b/>
          <w:bCs/>
          <w:color w:val="000000"/>
        </w:rPr>
        <w:t xml:space="preserve">ORDONNE </w:t>
      </w:r>
      <w:r>
        <w:rPr>
          <w:rFonts w:ascii="Arial" w:hAnsi="Arial" w:cs="Arial"/>
          <w:color w:val="000000"/>
        </w:rPr>
        <w:t>à l’employeur d’ajouter la somme des intérêts sur cette somme, soit un montant de 14,39 $</w:t>
      </w:r>
      <w:r w:rsidR="009C6CBF">
        <w:rPr>
          <w:rFonts w:ascii="Arial" w:hAnsi="Arial" w:cs="Arial"/>
          <w:color w:val="000000"/>
        </w:rPr>
        <w:t xml:space="preserve"> en date de la présente ;</w:t>
      </w:r>
    </w:p>
    <w:p w14:paraId="56AA884E" w14:textId="38793AD7" w:rsidR="009C6CBF" w:rsidRPr="009C6CBF" w:rsidRDefault="009C6CBF" w:rsidP="00F03A92">
      <w:pPr>
        <w:pStyle w:val="paragconclusion0"/>
        <w:spacing w:before="160" w:beforeAutospacing="0" w:after="160" w:afterAutospacing="0"/>
        <w:jc w:val="both"/>
        <w:rPr>
          <w:rFonts w:ascii="Arial" w:hAnsi="Arial" w:cs="Arial"/>
          <w:color w:val="000000"/>
        </w:rPr>
      </w:pPr>
      <w:r>
        <w:rPr>
          <w:rFonts w:ascii="Arial" w:hAnsi="Arial" w:cs="Arial"/>
          <w:b/>
          <w:bCs/>
          <w:color w:val="000000"/>
        </w:rPr>
        <w:t xml:space="preserve">ORDONNE </w:t>
      </w:r>
      <w:r>
        <w:rPr>
          <w:rFonts w:ascii="Arial" w:hAnsi="Arial" w:cs="Arial"/>
          <w:color w:val="000000"/>
        </w:rPr>
        <w:t>à l’employeur de verser au travailleur un intérêt supplémentaire au tau</w:t>
      </w:r>
      <w:r w:rsidR="00966C0E">
        <w:rPr>
          <w:rFonts w:ascii="Arial" w:hAnsi="Arial" w:cs="Arial"/>
          <w:color w:val="000000"/>
        </w:rPr>
        <w:t>x</w:t>
      </w:r>
      <w:r>
        <w:rPr>
          <w:rFonts w:ascii="Arial" w:hAnsi="Arial" w:cs="Arial"/>
          <w:color w:val="000000"/>
        </w:rPr>
        <w:t xml:space="preserve"> de </w:t>
      </w:r>
      <w:r w:rsidR="00966C0E">
        <w:rPr>
          <w:rFonts w:ascii="Arial" w:hAnsi="Arial" w:cs="Arial"/>
          <w:color w:val="000000"/>
        </w:rPr>
        <w:t>3</w:t>
      </w:r>
      <w:r>
        <w:rPr>
          <w:rFonts w:ascii="Arial" w:hAnsi="Arial" w:cs="Arial"/>
          <w:color w:val="000000"/>
        </w:rPr>
        <w:t>,</w:t>
      </w:r>
      <w:r w:rsidR="00966C0E">
        <w:rPr>
          <w:rFonts w:ascii="Arial" w:hAnsi="Arial" w:cs="Arial"/>
          <w:color w:val="000000"/>
        </w:rPr>
        <w:t>5</w:t>
      </w:r>
      <w:r>
        <w:rPr>
          <w:rFonts w:ascii="Arial" w:hAnsi="Arial" w:cs="Arial"/>
          <w:color w:val="000000"/>
        </w:rPr>
        <w:t xml:space="preserve">0 </w:t>
      </w:r>
      <w:r w:rsidR="00966C0E">
        <w:rPr>
          <w:rFonts w:ascii="Arial" w:hAnsi="Arial" w:cs="Arial"/>
          <w:color w:val="000000"/>
        </w:rPr>
        <w:t xml:space="preserve">% qui s’ajoute chaque jour jusqu’à l’exécution de la présente décision, le tout selon le paragraphe </w:t>
      </w:r>
      <w:r w:rsidR="005D1454">
        <w:rPr>
          <w:rFonts w:ascii="Arial" w:hAnsi="Arial" w:cs="Arial"/>
          <w:color w:val="000000"/>
        </w:rPr>
        <w:t>78 ci-haut mentionné.</w:t>
      </w:r>
    </w:p>
    <w:tbl>
      <w:tblPr>
        <w:tblW w:w="9505" w:type="dxa"/>
        <w:tblLayout w:type="fixed"/>
        <w:tblCellMar>
          <w:left w:w="70" w:type="dxa"/>
          <w:right w:w="70" w:type="dxa"/>
        </w:tblCellMar>
        <w:tblLook w:val="0000" w:firstRow="0" w:lastRow="0" w:firstColumn="0" w:lastColumn="0" w:noHBand="0" w:noVBand="0"/>
      </w:tblPr>
      <w:tblGrid>
        <w:gridCol w:w="2230"/>
        <w:gridCol w:w="2637"/>
        <w:gridCol w:w="4638"/>
      </w:tblGrid>
      <w:tr w:rsidR="007F48ED" w14:paraId="4EA6A265" w14:textId="77777777">
        <w:trPr>
          <w:trHeight w:val="576"/>
        </w:trPr>
        <w:tc>
          <w:tcPr>
            <w:tcW w:w="9505" w:type="dxa"/>
            <w:gridSpan w:val="3"/>
          </w:tcPr>
          <w:p w14:paraId="03F0EB58" w14:textId="77777777" w:rsidR="002B6B4B" w:rsidRDefault="002B6B4B">
            <w:pPr>
              <w:keepNext/>
              <w:keepLines/>
            </w:pPr>
          </w:p>
          <w:p w14:paraId="17B36C02" w14:textId="77777777" w:rsidR="00BC573D" w:rsidRDefault="00BC573D">
            <w:pPr>
              <w:keepNext/>
              <w:keepLines/>
            </w:pPr>
          </w:p>
          <w:p w14:paraId="0629A8E2" w14:textId="77777777" w:rsidR="00BC573D" w:rsidRDefault="00BC573D">
            <w:pPr>
              <w:keepNext/>
              <w:keepLines/>
            </w:pPr>
          </w:p>
          <w:p w14:paraId="526ACA4B" w14:textId="77777777" w:rsidR="00BC573D" w:rsidRDefault="00BC573D">
            <w:pPr>
              <w:keepNext/>
              <w:keepLines/>
            </w:pPr>
          </w:p>
          <w:p w14:paraId="4A06E939" w14:textId="77777777" w:rsidR="00BC573D" w:rsidRDefault="00BC573D">
            <w:pPr>
              <w:keepNext/>
              <w:keepLines/>
            </w:pPr>
          </w:p>
          <w:p w14:paraId="3008A7D5" w14:textId="77777777" w:rsidR="00BC573D" w:rsidRDefault="00BC573D">
            <w:pPr>
              <w:keepNext/>
              <w:keepLines/>
            </w:pPr>
          </w:p>
          <w:p w14:paraId="52484A8B" w14:textId="77777777" w:rsidR="00BC573D" w:rsidRDefault="00BC573D">
            <w:pPr>
              <w:keepNext/>
              <w:keepLines/>
            </w:pPr>
          </w:p>
          <w:p w14:paraId="241B3599" w14:textId="77777777" w:rsidR="00BC573D" w:rsidRDefault="00BC573D">
            <w:pPr>
              <w:keepNext/>
              <w:keepLines/>
            </w:pPr>
          </w:p>
          <w:p w14:paraId="4040D320" w14:textId="77777777" w:rsidR="00BC573D" w:rsidRDefault="00BC573D">
            <w:pPr>
              <w:keepNext/>
              <w:keepLines/>
            </w:pPr>
          </w:p>
          <w:p w14:paraId="148DC71A" w14:textId="77777777" w:rsidR="00BC573D" w:rsidRDefault="00BC573D">
            <w:pPr>
              <w:keepNext/>
              <w:keepLines/>
            </w:pPr>
          </w:p>
          <w:p w14:paraId="472E19F5" w14:textId="77777777" w:rsidR="00BC573D" w:rsidRDefault="00BC573D">
            <w:pPr>
              <w:keepNext/>
              <w:keepLines/>
            </w:pPr>
          </w:p>
        </w:tc>
      </w:tr>
      <w:tr w:rsidR="007F48ED" w14:paraId="1934E912" w14:textId="77777777">
        <w:tblPrEx>
          <w:tblCellMar>
            <w:left w:w="0" w:type="dxa"/>
            <w:right w:w="0" w:type="dxa"/>
          </w:tblCellMar>
        </w:tblPrEx>
        <w:trPr>
          <w:cantSplit/>
        </w:trPr>
        <w:tc>
          <w:tcPr>
            <w:tcW w:w="4867" w:type="dxa"/>
            <w:gridSpan w:val="2"/>
          </w:tcPr>
          <w:p w14:paraId="69B0E716" w14:textId="77777777" w:rsidR="007F48ED" w:rsidRDefault="007F48ED"/>
        </w:tc>
        <w:tc>
          <w:tcPr>
            <w:tcW w:w="4638" w:type="dxa"/>
          </w:tcPr>
          <w:p w14:paraId="429E347F" w14:textId="77777777" w:rsidR="007F48ED" w:rsidRDefault="007F48ED">
            <w:pPr>
              <w:pStyle w:val="zSoquijdatSignature3Juge"/>
            </w:pPr>
            <w:r>
              <w:t>__________________________________</w:t>
            </w:r>
          </w:p>
          <w:p w14:paraId="29CD0632" w14:textId="782268EF" w:rsidR="00AE6C7A" w:rsidRDefault="00EF2B5B" w:rsidP="00AE6C7A">
            <w:pPr>
              <w:pStyle w:val="zSoquijdatSignature3Juge"/>
            </w:pPr>
            <w:r>
              <w:t xml:space="preserve"> </w:t>
            </w:r>
            <w:r>
              <w:br/>
            </w:r>
            <w:r w:rsidR="00C95CA4">
              <w:t>Karine O’Driscoll</w:t>
            </w:r>
          </w:p>
          <w:p w14:paraId="4A50CF7E" w14:textId="490D99AB" w:rsidR="007F48ED" w:rsidRDefault="00ED68E0" w:rsidP="00AE6C7A">
            <w:pPr>
              <w:pStyle w:val="zSoquijdatSignature3Juge"/>
            </w:pPr>
            <w:r>
              <w:t>Médiateur</w:t>
            </w:r>
            <w:r w:rsidR="007F48ED">
              <w:t xml:space="preserve">-décideur </w:t>
            </w:r>
          </w:p>
        </w:tc>
      </w:tr>
      <w:tr w:rsidR="00351678" w14:paraId="6D24234E" w14:textId="77777777" w:rsidTr="0005207A">
        <w:tblPrEx>
          <w:tblCellMar>
            <w:left w:w="0" w:type="dxa"/>
            <w:right w:w="0" w:type="dxa"/>
          </w:tblCellMar>
        </w:tblPrEx>
        <w:trPr>
          <w:cantSplit/>
        </w:trPr>
        <w:tc>
          <w:tcPr>
            <w:tcW w:w="9505" w:type="dxa"/>
            <w:gridSpan w:val="3"/>
          </w:tcPr>
          <w:p w14:paraId="1CDD3417" w14:textId="77777777" w:rsidR="00351678" w:rsidRDefault="00351678" w:rsidP="00351678"/>
        </w:tc>
      </w:tr>
      <w:tr w:rsidR="00351678" w14:paraId="31C2A3D3" w14:textId="77777777" w:rsidTr="0005207A">
        <w:tblPrEx>
          <w:tblCellMar>
            <w:left w:w="0" w:type="dxa"/>
            <w:right w:w="0" w:type="dxa"/>
          </w:tblCellMar>
        </w:tblPrEx>
        <w:trPr>
          <w:cantSplit/>
        </w:trPr>
        <w:tc>
          <w:tcPr>
            <w:tcW w:w="9505" w:type="dxa"/>
            <w:gridSpan w:val="3"/>
          </w:tcPr>
          <w:p w14:paraId="29A172EC" w14:textId="77777777" w:rsidR="00351678" w:rsidRDefault="00351678" w:rsidP="00351678"/>
        </w:tc>
      </w:tr>
      <w:tr w:rsidR="00351678" w14:paraId="5D6E4F0A" w14:textId="77777777" w:rsidTr="0005207A">
        <w:tblPrEx>
          <w:tblCellMar>
            <w:left w:w="0" w:type="dxa"/>
            <w:right w:w="0" w:type="dxa"/>
          </w:tblCellMar>
        </w:tblPrEx>
        <w:trPr>
          <w:cantSplit/>
        </w:trPr>
        <w:tc>
          <w:tcPr>
            <w:tcW w:w="9505" w:type="dxa"/>
            <w:gridSpan w:val="3"/>
          </w:tcPr>
          <w:p w14:paraId="39CB3BC7" w14:textId="31EEF63E" w:rsidR="00344553" w:rsidRDefault="00E86248" w:rsidP="00344553">
            <w:pPr>
              <w:pStyle w:val="zSoquijdatNomProcureurDem"/>
            </w:pPr>
            <w:bookmarkStart w:id="4" w:name="_Hlk55395274"/>
            <w:r>
              <w:t xml:space="preserve">Me </w:t>
            </w:r>
            <w:r w:rsidR="00774C0F">
              <w:t>Maxime Roberge</w:t>
            </w:r>
          </w:p>
          <w:p w14:paraId="44C116B6" w14:textId="3C7ACDFF" w:rsidR="00344553" w:rsidRDefault="004A67D8" w:rsidP="00344553">
            <w:pPr>
              <w:pStyle w:val="zSoquijdatNomProcureurDem"/>
            </w:pPr>
            <w:r>
              <w:t>TUAC Section locale 501</w:t>
            </w:r>
          </w:p>
          <w:p w14:paraId="3E9120A7" w14:textId="66BA5380" w:rsidR="00344553" w:rsidRDefault="00344553" w:rsidP="00344553">
            <w:pPr>
              <w:pStyle w:val="zSoquijdatNomProcureurDem"/>
            </w:pPr>
            <w:r>
              <w:t>Représentant d</w:t>
            </w:r>
            <w:r w:rsidR="004A67D8">
              <w:t>u</w:t>
            </w:r>
            <w:r w:rsidR="00916FDC">
              <w:t xml:space="preserve"> travailleu</w:t>
            </w:r>
            <w:r w:rsidR="004A67D8">
              <w:t>r</w:t>
            </w:r>
          </w:p>
          <w:p w14:paraId="44B7E238" w14:textId="3C7DD84F" w:rsidR="00351678" w:rsidRDefault="00351678" w:rsidP="00351678">
            <w:pPr>
              <w:pStyle w:val="zSoquijdatNomProcureurDem"/>
            </w:pPr>
          </w:p>
        </w:tc>
      </w:tr>
      <w:tr w:rsidR="00344553" w14:paraId="196FE5D3" w14:textId="77777777" w:rsidTr="0005207A">
        <w:tblPrEx>
          <w:tblCellMar>
            <w:left w:w="0" w:type="dxa"/>
            <w:right w:w="0" w:type="dxa"/>
          </w:tblCellMar>
        </w:tblPrEx>
        <w:trPr>
          <w:cantSplit/>
        </w:trPr>
        <w:tc>
          <w:tcPr>
            <w:tcW w:w="9505" w:type="dxa"/>
            <w:gridSpan w:val="3"/>
          </w:tcPr>
          <w:p w14:paraId="4BEE8BA4" w14:textId="77777777" w:rsidR="00344553" w:rsidRDefault="00344553" w:rsidP="00344553">
            <w:pPr>
              <w:pStyle w:val="zSoquijdatNomProcureurDem"/>
            </w:pPr>
          </w:p>
        </w:tc>
      </w:tr>
      <w:tr w:rsidR="00351678" w:rsidRPr="00C4286F" w14:paraId="7F6AB849" w14:textId="77777777" w:rsidTr="0005207A">
        <w:tblPrEx>
          <w:tblCellMar>
            <w:left w:w="0" w:type="dxa"/>
            <w:right w:w="0" w:type="dxa"/>
          </w:tblCellMar>
        </w:tblPrEx>
        <w:trPr>
          <w:cantSplit/>
        </w:trPr>
        <w:tc>
          <w:tcPr>
            <w:tcW w:w="9505" w:type="dxa"/>
            <w:gridSpan w:val="3"/>
          </w:tcPr>
          <w:p w14:paraId="37602B52" w14:textId="7EA2D34E" w:rsidR="00351678" w:rsidRPr="00C4286F" w:rsidRDefault="00351678" w:rsidP="00351678">
            <w:pPr>
              <w:pStyle w:val="zSoquijdatCabinetProcureurDem"/>
            </w:pPr>
          </w:p>
        </w:tc>
      </w:tr>
      <w:tr w:rsidR="00351678" w14:paraId="4A885763" w14:textId="77777777" w:rsidTr="0005207A">
        <w:tblPrEx>
          <w:tblCellMar>
            <w:left w:w="0" w:type="dxa"/>
            <w:right w:w="0" w:type="dxa"/>
          </w:tblCellMar>
        </w:tblPrEx>
        <w:trPr>
          <w:cantSplit/>
        </w:trPr>
        <w:tc>
          <w:tcPr>
            <w:tcW w:w="9505" w:type="dxa"/>
            <w:gridSpan w:val="3"/>
          </w:tcPr>
          <w:p w14:paraId="2573120E" w14:textId="671C2095" w:rsidR="00351678" w:rsidRDefault="00351678" w:rsidP="00351678">
            <w:pPr>
              <w:pStyle w:val="zSoquijlblProcureurDem"/>
            </w:pPr>
          </w:p>
        </w:tc>
      </w:tr>
      <w:bookmarkEnd w:id="4"/>
      <w:tr w:rsidR="00351678" w14:paraId="25620B35" w14:textId="77777777" w:rsidTr="0005207A">
        <w:tblPrEx>
          <w:tblCellMar>
            <w:left w:w="0" w:type="dxa"/>
            <w:right w:w="0" w:type="dxa"/>
          </w:tblCellMar>
        </w:tblPrEx>
        <w:trPr>
          <w:cantSplit/>
        </w:trPr>
        <w:tc>
          <w:tcPr>
            <w:tcW w:w="9505" w:type="dxa"/>
            <w:gridSpan w:val="3"/>
          </w:tcPr>
          <w:p w14:paraId="772A1B30" w14:textId="77777777" w:rsidR="00351678" w:rsidRDefault="00351678" w:rsidP="00351678"/>
        </w:tc>
      </w:tr>
      <w:tr w:rsidR="00351678" w14:paraId="12B25D96" w14:textId="77777777" w:rsidTr="0005207A">
        <w:tblPrEx>
          <w:tblCellMar>
            <w:left w:w="0" w:type="dxa"/>
            <w:right w:w="0" w:type="dxa"/>
          </w:tblCellMar>
        </w:tblPrEx>
        <w:trPr>
          <w:cantSplit/>
        </w:trPr>
        <w:tc>
          <w:tcPr>
            <w:tcW w:w="9505" w:type="dxa"/>
            <w:gridSpan w:val="3"/>
          </w:tcPr>
          <w:p w14:paraId="3DE8452B" w14:textId="19279CD0" w:rsidR="00351678" w:rsidRDefault="00052AD7" w:rsidP="00351678">
            <w:pPr>
              <w:pStyle w:val="zSoquijdatNomProcureurDef"/>
            </w:pPr>
            <w:r>
              <w:t xml:space="preserve">Me </w:t>
            </w:r>
            <w:r w:rsidR="00A30CDE">
              <w:t>Lucie Guimond</w:t>
            </w:r>
            <w:r>
              <w:t xml:space="preserve"> </w:t>
            </w:r>
          </w:p>
        </w:tc>
      </w:tr>
      <w:tr w:rsidR="00351678" w:rsidRPr="0011675C" w14:paraId="15F12FF8" w14:textId="77777777" w:rsidTr="0005207A">
        <w:tblPrEx>
          <w:tblCellMar>
            <w:left w:w="0" w:type="dxa"/>
            <w:right w:w="0" w:type="dxa"/>
          </w:tblCellMar>
        </w:tblPrEx>
        <w:trPr>
          <w:cantSplit/>
        </w:trPr>
        <w:tc>
          <w:tcPr>
            <w:tcW w:w="9505" w:type="dxa"/>
            <w:gridSpan w:val="3"/>
          </w:tcPr>
          <w:p w14:paraId="29BEC0A5" w14:textId="57751AA8" w:rsidR="00351678" w:rsidRPr="0011675C" w:rsidRDefault="00704604" w:rsidP="00351678">
            <w:pPr>
              <w:pStyle w:val="zSoquijdatCabinetProcureurDef"/>
            </w:pPr>
            <w:r>
              <w:t>Ogleetree Deakins</w:t>
            </w:r>
            <w:r w:rsidR="00052AD7">
              <w:t>, S.E.N.C.R.L.</w:t>
            </w:r>
            <w:r w:rsidR="00900B6D">
              <w:t xml:space="preserve">, </w:t>
            </w:r>
            <w:r>
              <w:t>s.r.l.</w:t>
            </w:r>
          </w:p>
        </w:tc>
      </w:tr>
      <w:tr w:rsidR="00052AD7" w:rsidRPr="0011675C" w14:paraId="6E3F0F68" w14:textId="77777777" w:rsidTr="0005207A">
        <w:tblPrEx>
          <w:tblCellMar>
            <w:left w:w="0" w:type="dxa"/>
            <w:right w:w="0" w:type="dxa"/>
          </w:tblCellMar>
        </w:tblPrEx>
        <w:trPr>
          <w:cantSplit/>
        </w:trPr>
        <w:tc>
          <w:tcPr>
            <w:tcW w:w="9505" w:type="dxa"/>
            <w:gridSpan w:val="3"/>
          </w:tcPr>
          <w:p w14:paraId="16C71360" w14:textId="6F5FD5EA" w:rsidR="00052AD7" w:rsidRDefault="00052AD7" w:rsidP="00351678">
            <w:pPr>
              <w:pStyle w:val="zSoquijdatCabinetProcureurDef"/>
            </w:pPr>
            <w:r>
              <w:t>Représentant</w:t>
            </w:r>
            <w:r w:rsidR="00704604">
              <w:t>e</w:t>
            </w:r>
            <w:r>
              <w:t xml:space="preserve"> de l’employeur</w:t>
            </w:r>
          </w:p>
        </w:tc>
      </w:tr>
      <w:tr w:rsidR="00351678" w14:paraId="30D297EF" w14:textId="77777777" w:rsidTr="0005207A">
        <w:tblPrEx>
          <w:tblCellMar>
            <w:left w:w="0" w:type="dxa"/>
            <w:right w:w="0" w:type="dxa"/>
          </w:tblCellMar>
        </w:tblPrEx>
        <w:trPr>
          <w:cantSplit/>
        </w:trPr>
        <w:tc>
          <w:tcPr>
            <w:tcW w:w="9505" w:type="dxa"/>
            <w:gridSpan w:val="3"/>
          </w:tcPr>
          <w:p w14:paraId="655CB682" w14:textId="31AF8D80" w:rsidR="00351678" w:rsidRDefault="00351678" w:rsidP="00351678">
            <w:pPr>
              <w:pStyle w:val="zSoquijlblProcureurDef"/>
            </w:pPr>
          </w:p>
        </w:tc>
      </w:tr>
      <w:tr w:rsidR="007F48ED" w14:paraId="5E63E01F" w14:textId="77777777">
        <w:tc>
          <w:tcPr>
            <w:tcW w:w="9505" w:type="dxa"/>
            <w:gridSpan w:val="3"/>
          </w:tcPr>
          <w:p w14:paraId="01E236FB" w14:textId="77777777" w:rsidR="0046290F" w:rsidRDefault="0046290F" w:rsidP="008A2C8A"/>
        </w:tc>
      </w:tr>
      <w:tr w:rsidR="007F48ED" w14:paraId="657D9DDC" w14:textId="77777777">
        <w:tc>
          <w:tcPr>
            <w:tcW w:w="2230" w:type="dxa"/>
          </w:tcPr>
          <w:p w14:paraId="3899F429" w14:textId="05409649" w:rsidR="00BC5B21" w:rsidRDefault="00BC5B21" w:rsidP="00D91E34">
            <w:pPr>
              <w:pStyle w:val="zSoquijlblDateAudience"/>
              <w:ind w:left="-75"/>
            </w:pPr>
          </w:p>
        </w:tc>
        <w:tc>
          <w:tcPr>
            <w:tcW w:w="7275" w:type="dxa"/>
            <w:gridSpan w:val="2"/>
          </w:tcPr>
          <w:p w14:paraId="05388CC9" w14:textId="24B89576" w:rsidR="007F48ED" w:rsidRDefault="007F48ED">
            <w:pPr>
              <w:pStyle w:val="zSoquijdatDateAudience"/>
            </w:pPr>
          </w:p>
        </w:tc>
      </w:tr>
    </w:tbl>
    <w:p w14:paraId="1F1DEC85" w14:textId="6A855EAF" w:rsidR="002B6B4B" w:rsidRDefault="002B6B4B" w:rsidP="009D3114"/>
    <w:sectPr w:rsidR="002B6B4B">
      <w:headerReference w:type="even" r:id="rId8"/>
      <w:headerReference w:type="default" r:id="rId9"/>
      <w:footerReference w:type="even" r:id="rId10"/>
      <w:footerReference w:type="default" r:id="rId11"/>
      <w:headerReference w:type="first" r:id="rId12"/>
      <w:footerReference w:type="first" r:id="rId13"/>
      <w:pgSz w:w="12242" w:h="15842" w:code="1"/>
      <w:pgMar w:top="1440" w:right="1008" w:bottom="1440" w:left="1872" w:header="1440" w:footer="79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35B1DD" w14:textId="77777777" w:rsidR="00CD6FF0" w:rsidRDefault="00CD6FF0">
      <w:r>
        <w:separator/>
      </w:r>
    </w:p>
  </w:endnote>
  <w:endnote w:type="continuationSeparator" w:id="0">
    <w:p w14:paraId="55897862" w14:textId="77777777" w:rsidR="00CD6FF0" w:rsidRDefault="00CD6FF0">
      <w:r>
        <w:continuationSeparator/>
      </w:r>
    </w:p>
  </w:endnote>
  <w:endnote w:type="continuationNotice" w:id="1">
    <w:p w14:paraId="3B182569" w14:textId="77777777" w:rsidR="00CD6FF0" w:rsidRDefault="00CD6FF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3CA5E1" w14:textId="77777777" w:rsidR="00CA3521" w:rsidRDefault="00CA3521">
    <w:pPr>
      <w:framePr w:wrap="around" w:vAnchor="text" w:hAnchor="margin" w:xAlign="right" w:y="1"/>
    </w:pPr>
    <w:r>
      <w:fldChar w:fldCharType="begin"/>
    </w:r>
    <w:r>
      <w:instrText xml:space="preserve">PAGE  </w:instrText>
    </w:r>
    <w:r>
      <w:fldChar w:fldCharType="end"/>
    </w:r>
  </w:p>
  <w:p w14:paraId="6CB48E0A" w14:textId="77777777" w:rsidR="00CA3521" w:rsidRDefault="00CA3521">
    <w:pP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A550DB" w14:textId="77777777" w:rsidR="000A6D31" w:rsidRDefault="000A6D31">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9FB7C4" w14:textId="77777777" w:rsidR="000A6D31" w:rsidRDefault="000A6D3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B9B264" w14:textId="77777777" w:rsidR="00CD6FF0" w:rsidRDefault="00CD6FF0">
      <w:r>
        <w:separator/>
      </w:r>
    </w:p>
  </w:footnote>
  <w:footnote w:type="continuationSeparator" w:id="0">
    <w:p w14:paraId="63B87681" w14:textId="77777777" w:rsidR="00CD6FF0" w:rsidRDefault="00CD6FF0">
      <w:r>
        <w:continuationSeparator/>
      </w:r>
    </w:p>
  </w:footnote>
  <w:footnote w:type="continuationNotice" w:id="1">
    <w:p w14:paraId="44A74425" w14:textId="77777777" w:rsidR="00CD6FF0" w:rsidRDefault="00CD6FF0"/>
  </w:footnote>
  <w:footnote w:id="2">
    <w:p w14:paraId="43CADB9F" w14:textId="2A8CC5CD" w:rsidR="004C6720" w:rsidRDefault="004C6720">
      <w:pPr>
        <w:pStyle w:val="Notedebasdepage"/>
      </w:pPr>
      <w:r>
        <w:rPr>
          <w:rStyle w:val="Appelnotedebasdep"/>
        </w:rPr>
        <w:footnoteRef/>
      </w:r>
      <w:r>
        <w:t xml:space="preserve"> </w:t>
      </w:r>
      <w:r>
        <w:rPr>
          <w:rFonts w:cs="Arial"/>
          <w:color w:val="000000"/>
        </w:rPr>
        <w:t>[2006] C.L.P. 1424</w:t>
      </w:r>
    </w:p>
  </w:footnote>
  <w:footnote w:id="3">
    <w:p w14:paraId="57EC9425" w14:textId="41B8B648" w:rsidR="00600F5D" w:rsidRDefault="00600F5D">
      <w:pPr>
        <w:pStyle w:val="Notedebasdepage"/>
      </w:pPr>
      <w:r>
        <w:rPr>
          <w:rStyle w:val="Appelnotedebasdep"/>
        </w:rPr>
        <w:footnoteRef/>
      </w:r>
      <w:r>
        <w:t xml:space="preserve"> 2002 CanLII</w:t>
      </w:r>
      <w:r w:rsidR="00043A57">
        <w:t xml:space="preserve"> 76457 (QC CLP), </w:t>
      </w:r>
      <w:r w:rsidR="00043A57">
        <w:rPr>
          <w:rStyle w:val="reflex3-block"/>
          <w:rFonts w:cs="Arial"/>
          <w:color w:val="000000"/>
        </w:rPr>
        <w:t>[2002] C.L.P. 77</w:t>
      </w:r>
    </w:p>
  </w:footnote>
  <w:footnote w:id="4">
    <w:p w14:paraId="55E5AA6E" w14:textId="0E8433B1" w:rsidR="001924A7" w:rsidRDefault="001924A7">
      <w:pPr>
        <w:pStyle w:val="Notedebasdepage"/>
      </w:pPr>
      <w:r>
        <w:rPr>
          <w:rStyle w:val="Appelnotedebasdep"/>
        </w:rPr>
        <w:footnoteRef/>
      </w:r>
      <w:r>
        <w:t xml:space="preserve"> </w:t>
      </w:r>
      <w:r w:rsidR="007D2C40">
        <w:t>Article 260 LATMP</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7F7A13" w14:textId="77777777" w:rsidR="000A6D31" w:rsidRDefault="000A6D31">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197D77" w14:textId="2C6CAC2F" w:rsidR="00CA3521" w:rsidRDefault="00B86B6A">
    <w:pPr>
      <w:tabs>
        <w:tab w:val="center" w:pos="4709"/>
        <w:tab w:val="right" w:pos="9360"/>
      </w:tabs>
      <w:ind w:right="524"/>
    </w:pPr>
    <w:r>
      <w:t>LAN24-033</w:t>
    </w:r>
    <w:r w:rsidR="00CA3521">
      <w:tab/>
    </w:r>
    <w:r w:rsidR="00CA3521">
      <w:tab/>
      <w:t xml:space="preserve">PAGE : </w:t>
    </w:r>
    <w:r w:rsidR="00CA3521">
      <w:fldChar w:fldCharType="begin"/>
    </w:r>
    <w:r w:rsidR="00CA3521">
      <w:instrText xml:space="preserve"> PAGE </w:instrText>
    </w:r>
    <w:r w:rsidR="00CA3521">
      <w:fldChar w:fldCharType="separate"/>
    </w:r>
    <w:r w:rsidR="00344034">
      <w:rPr>
        <w:noProof/>
      </w:rPr>
      <w:t>13</w:t>
    </w:r>
    <w:r w:rsidR="00CA3521">
      <w:fldChar w:fldCharType="end"/>
    </w:r>
  </w:p>
  <w:p w14:paraId="04EF446E" w14:textId="77777777" w:rsidR="00CA3521" w:rsidRDefault="00CA3521">
    <w:pPr>
      <w:tabs>
        <w:tab w:val="center" w:pos="4709"/>
        <w:tab w:val="right" w:pos="9360"/>
      </w:tabs>
      <w:ind w:right="524"/>
    </w:pPr>
  </w:p>
  <w:p w14:paraId="6A20EFB9" w14:textId="77777777" w:rsidR="00CA3521" w:rsidRDefault="00CA3521">
    <w:pPr>
      <w:tabs>
        <w:tab w:val="center" w:pos="4709"/>
        <w:tab w:val="right" w:pos="9090"/>
      </w:tabs>
      <w:ind w:right="524"/>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C84902" w14:textId="77777777" w:rsidR="000A6D31" w:rsidRDefault="000A6D31">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C6292A"/>
    <w:multiLevelType w:val="hybridMultilevel"/>
    <w:tmpl w:val="BDEEF0C2"/>
    <w:lvl w:ilvl="0" w:tplc="0C0C0001">
      <w:start w:val="1"/>
      <w:numFmt w:val="bullet"/>
      <w:lvlText w:val=""/>
      <w:lvlJc w:val="left"/>
      <w:pPr>
        <w:tabs>
          <w:tab w:val="num" w:pos="1440"/>
        </w:tabs>
        <w:ind w:left="1440" w:hanging="360"/>
      </w:pPr>
      <w:rPr>
        <w:rFonts w:ascii="Symbol" w:hAnsi="Symbol" w:hint="default"/>
      </w:rPr>
    </w:lvl>
    <w:lvl w:ilvl="1" w:tplc="0C0C0003" w:tentative="1">
      <w:start w:val="1"/>
      <w:numFmt w:val="bullet"/>
      <w:lvlText w:val="o"/>
      <w:lvlJc w:val="left"/>
      <w:pPr>
        <w:tabs>
          <w:tab w:val="num" w:pos="2160"/>
        </w:tabs>
        <w:ind w:left="2160" w:hanging="360"/>
      </w:pPr>
      <w:rPr>
        <w:rFonts w:ascii="Courier New" w:hAnsi="Courier New" w:cs="Courier New" w:hint="default"/>
      </w:rPr>
    </w:lvl>
    <w:lvl w:ilvl="2" w:tplc="0C0C0005" w:tentative="1">
      <w:start w:val="1"/>
      <w:numFmt w:val="bullet"/>
      <w:lvlText w:val=""/>
      <w:lvlJc w:val="left"/>
      <w:pPr>
        <w:tabs>
          <w:tab w:val="num" w:pos="2880"/>
        </w:tabs>
        <w:ind w:left="2880" w:hanging="360"/>
      </w:pPr>
      <w:rPr>
        <w:rFonts w:ascii="Wingdings" w:hAnsi="Wingdings" w:hint="default"/>
      </w:rPr>
    </w:lvl>
    <w:lvl w:ilvl="3" w:tplc="0C0C0001" w:tentative="1">
      <w:start w:val="1"/>
      <w:numFmt w:val="bullet"/>
      <w:lvlText w:val=""/>
      <w:lvlJc w:val="left"/>
      <w:pPr>
        <w:tabs>
          <w:tab w:val="num" w:pos="3600"/>
        </w:tabs>
        <w:ind w:left="3600" w:hanging="360"/>
      </w:pPr>
      <w:rPr>
        <w:rFonts w:ascii="Symbol" w:hAnsi="Symbol" w:hint="default"/>
      </w:rPr>
    </w:lvl>
    <w:lvl w:ilvl="4" w:tplc="0C0C0003" w:tentative="1">
      <w:start w:val="1"/>
      <w:numFmt w:val="bullet"/>
      <w:lvlText w:val="o"/>
      <w:lvlJc w:val="left"/>
      <w:pPr>
        <w:tabs>
          <w:tab w:val="num" w:pos="4320"/>
        </w:tabs>
        <w:ind w:left="4320" w:hanging="360"/>
      </w:pPr>
      <w:rPr>
        <w:rFonts w:ascii="Courier New" w:hAnsi="Courier New" w:cs="Courier New" w:hint="default"/>
      </w:rPr>
    </w:lvl>
    <w:lvl w:ilvl="5" w:tplc="0C0C0005" w:tentative="1">
      <w:start w:val="1"/>
      <w:numFmt w:val="bullet"/>
      <w:lvlText w:val=""/>
      <w:lvlJc w:val="left"/>
      <w:pPr>
        <w:tabs>
          <w:tab w:val="num" w:pos="5040"/>
        </w:tabs>
        <w:ind w:left="5040" w:hanging="360"/>
      </w:pPr>
      <w:rPr>
        <w:rFonts w:ascii="Wingdings" w:hAnsi="Wingdings" w:hint="default"/>
      </w:rPr>
    </w:lvl>
    <w:lvl w:ilvl="6" w:tplc="0C0C0001" w:tentative="1">
      <w:start w:val="1"/>
      <w:numFmt w:val="bullet"/>
      <w:lvlText w:val=""/>
      <w:lvlJc w:val="left"/>
      <w:pPr>
        <w:tabs>
          <w:tab w:val="num" w:pos="5760"/>
        </w:tabs>
        <w:ind w:left="5760" w:hanging="360"/>
      </w:pPr>
      <w:rPr>
        <w:rFonts w:ascii="Symbol" w:hAnsi="Symbol" w:hint="default"/>
      </w:rPr>
    </w:lvl>
    <w:lvl w:ilvl="7" w:tplc="0C0C0003" w:tentative="1">
      <w:start w:val="1"/>
      <w:numFmt w:val="bullet"/>
      <w:lvlText w:val="o"/>
      <w:lvlJc w:val="left"/>
      <w:pPr>
        <w:tabs>
          <w:tab w:val="num" w:pos="6480"/>
        </w:tabs>
        <w:ind w:left="6480" w:hanging="360"/>
      </w:pPr>
      <w:rPr>
        <w:rFonts w:ascii="Courier New" w:hAnsi="Courier New" w:cs="Courier New" w:hint="default"/>
      </w:rPr>
    </w:lvl>
    <w:lvl w:ilvl="8" w:tplc="0C0C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1E2366BE"/>
    <w:multiLevelType w:val="multilevel"/>
    <w:tmpl w:val="93E43824"/>
    <w:lvl w:ilvl="0">
      <w:start w:val="1"/>
      <w:numFmt w:val="bullet"/>
      <w:lvlText w:val=""/>
      <w:lvlJc w:val="left"/>
      <w:pPr>
        <w:tabs>
          <w:tab w:val="num" w:pos="1068"/>
        </w:tabs>
        <w:ind w:left="1068" w:hanging="360"/>
      </w:pPr>
      <w:rPr>
        <w:rFonts w:ascii="Symbol" w:hAnsi="Symbol" w:hint="default"/>
      </w:rPr>
    </w:lvl>
    <w:lvl w:ilvl="1">
      <w:start w:val="1"/>
      <w:numFmt w:val="decimal"/>
      <w:lvlText w:val="%1.%2."/>
      <w:lvlJc w:val="left"/>
      <w:pPr>
        <w:tabs>
          <w:tab w:val="num" w:pos="1500"/>
        </w:tabs>
        <w:ind w:left="1500" w:hanging="432"/>
      </w:pPr>
      <w:rPr>
        <w:rFonts w:hint="default"/>
      </w:rPr>
    </w:lvl>
    <w:lvl w:ilvl="2">
      <w:start w:val="1"/>
      <w:numFmt w:val="decimal"/>
      <w:lvlText w:val="%1.%2.%3."/>
      <w:lvlJc w:val="left"/>
      <w:pPr>
        <w:tabs>
          <w:tab w:val="num" w:pos="2508"/>
        </w:tabs>
        <w:ind w:left="1932" w:hanging="504"/>
      </w:pPr>
      <w:rPr>
        <w:rFonts w:hint="default"/>
      </w:rPr>
    </w:lvl>
    <w:lvl w:ilvl="3">
      <w:start w:val="1"/>
      <w:numFmt w:val="decimal"/>
      <w:lvlText w:val="%1.%2.%3.%4."/>
      <w:lvlJc w:val="left"/>
      <w:pPr>
        <w:tabs>
          <w:tab w:val="num" w:pos="2868"/>
        </w:tabs>
        <w:ind w:left="2436" w:hanging="648"/>
      </w:pPr>
      <w:rPr>
        <w:rFonts w:hint="default"/>
      </w:rPr>
    </w:lvl>
    <w:lvl w:ilvl="4">
      <w:start w:val="1"/>
      <w:numFmt w:val="decimal"/>
      <w:lvlText w:val="%1.%2.%3.%4.%5."/>
      <w:lvlJc w:val="left"/>
      <w:pPr>
        <w:tabs>
          <w:tab w:val="num" w:pos="3588"/>
        </w:tabs>
        <w:ind w:left="2940" w:hanging="792"/>
      </w:pPr>
      <w:rPr>
        <w:rFonts w:hint="default"/>
      </w:rPr>
    </w:lvl>
    <w:lvl w:ilvl="5">
      <w:start w:val="1"/>
      <w:numFmt w:val="decimal"/>
      <w:lvlText w:val="%1.%2.%3.%4.%5.%6."/>
      <w:lvlJc w:val="left"/>
      <w:pPr>
        <w:tabs>
          <w:tab w:val="num" w:pos="4308"/>
        </w:tabs>
        <w:ind w:left="3444" w:hanging="936"/>
      </w:pPr>
      <w:rPr>
        <w:rFonts w:hint="default"/>
      </w:rPr>
    </w:lvl>
    <w:lvl w:ilvl="6">
      <w:start w:val="1"/>
      <w:numFmt w:val="decimal"/>
      <w:lvlText w:val="%1.%2.%3.%4.%5.%6.%7."/>
      <w:lvlJc w:val="left"/>
      <w:pPr>
        <w:tabs>
          <w:tab w:val="num" w:pos="5028"/>
        </w:tabs>
        <w:ind w:left="3948" w:hanging="1080"/>
      </w:pPr>
      <w:rPr>
        <w:rFonts w:hint="default"/>
      </w:rPr>
    </w:lvl>
    <w:lvl w:ilvl="7">
      <w:start w:val="1"/>
      <w:numFmt w:val="decimal"/>
      <w:lvlText w:val="%1.%2.%3.%4.%5.%6.%7.%8."/>
      <w:lvlJc w:val="left"/>
      <w:pPr>
        <w:tabs>
          <w:tab w:val="num" w:pos="5388"/>
        </w:tabs>
        <w:ind w:left="4452" w:hanging="1224"/>
      </w:pPr>
      <w:rPr>
        <w:rFonts w:hint="default"/>
      </w:rPr>
    </w:lvl>
    <w:lvl w:ilvl="8">
      <w:start w:val="1"/>
      <w:numFmt w:val="decimal"/>
      <w:lvlText w:val="%1.%2.%3.%4.%5.%6.%7.%8.%9."/>
      <w:lvlJc w:val="left"/>
      <w:pPr>
        <w:tabs>
          <w:tab w:val="num" w:pos="6108"/>
        </w:tabs>
        <w:ind w:left="5028" w:hanging="1440"/>
      </w:pPr>
      <w:rPr>
        <w:rFonts w:hint="default"/>
      </w:rPr>
    </w:lvl>
  </w:abstractNum>
  <w:abstractNum w:abstractNumId="2" w15:restartNumberingAfterBreak="0">
    <w:nsid w:val="227E7F5C"/>
    <w:multiLevelType w:val="hybridMultilevel"/>
    <w:tmpl w:val="07521E6E"/>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3" w15:restartNumberingAfterBreak="0">
    <w:nsid w:val="29125631"/>
    <w:multiLevelType w:val="hybridMultilevel"/>
    <w:tmpl w:val="D4C4F3AE"/>
    <w:lvl w:ilvl="0" w:tplc="0C0C0001">
      <w:start w:val="1"/>
      <w:numFmt w:val="bullet"/>
      <w:lvlText w:val=""/>
      <w:lvlJc w:val="left"/>
      <w:pPr>
        <w:tabs>
          <w:tab w:val="num" w:pos="720"/>
        </w:tabs>
        <w:ind w:left="720" w:hanging="360"/>
      </w:pPr>
      <w:rPr>
        <w:rFonts w:ascii="Symbol" w:hAnsi="Symbol" w:hint="default"/>
      </w:rPr>
    </w:lvl>
    <w:lvl w:ilvl="1" w:tplc="0C0C0003" w:tentative="1">
      <w:start w:val="1"/>
      <w:numFmt w:val="bullet"/>
      <w:lvlText w:val="o"/>
      <w:lvlJc w:val="left"/>
      <w:pPr>
        <w:tabs>
          <w:tab w:val="num" w:pos="1440"/>
        </w:tabs>
        <w:ind w:left="1440" w:hanging="360"/>
      </w:pPr>
      <w:rPr>
        <w:rFonts w:ascii="Courier New" w:hAnsi="Courier New" w:cs="Courier New" w:hint="default"/>
      </w:rPr>
    </w:lvl>
    <w:lvl w:ilvl="2" w:tplc="0C0C0005" w:tentative="1">
      <w:start w:val="1"/>
      <w:numFmt w:val="bullet"/>
      <w:lvlText w:val=""/>
      <w:lvlJc w:val="left"/>
      <w:pPr>
        <w:tabs>
          <w:tab w:val="num" w:pos="2160"/>
        </w:tabs>
        <w:ind w:left="2160" w:hanging="360"/>
      </w:pPr>
      <w:rPr>
        <w:rFonts w:ascii="Wingdings" w:hAnsi="Wingdings" w:hint="default"/>
      </w:rPr>
    </w:lvl>
    <w:lvl w:ilvl="3" w:tplc="0C0C0001" w:tentative="1">
      <w:start w:val="1"/>
      <w:numFmt w:val="bullet"/>
      <w:lvlText w:val=""/>
      <w:lvlJc w:val="left"/>
      <w:pPr>
        <w:tabs>
          <w:tab w:val="num" w:pos="2880"/>
        </w:tabs>
        <w:ind w:left="2880" w:hanging="360"/>
      </w:pPr>
      <w:rPr>
        <w:rFonts w:ascii="Symbol" w:hAnsi="Symbol" w:hint="default"/>
      </w:rPr>
    </w:lvl>
    <w:lvl w:ilvl="4" w:tplc="0C0C0003" w:tentative="1">
      <w:start w:val="1"/>
      <w:numFmt w:val="bullet"/>
      <w:lvlText w:val="o"/>
      <w:lvlJc w:val="left"/>
      <w:pPr>
        <w:tabs>
          <w:tab w:val="num" w:pos="3600"/>
        </w:tabs>
        <w:ind w:left="3600" w:hanging="360"/>
      </w:pPr>
      <w:rPr>
        <w:rFonts w:ascii="Courier New" w:hAnsi="Courier New" w:cs="Courier New" w:hint="default"/>
      </w:rPr>
    </w:lvl>
    <w:lvl w:ilvl="5" w:tplc="0C0C0005" w:tentative="1">
      <w:start w:val="1"/>
      <w:numFmt w:val="bullet"/>
      <w:lvlText w:val=""/>
      <w:lvlJc w:val="left"/>
      <w:pPr>
        <w:tabs>
          <w:tab w:val="num" w:pos="4320"/>
        </w:tabs>
        <w:ind w:left="4320" w:hanging="360"/>
      </w:pPr>
      <w:rPr>
        <w:rFonts w:ascii="Wingdings" w:hAnsi="Wingdings" w:hint="default"/>
      </w:rPr>
    </w:lvl>
    <w:lvl w:ilvl="6" w:tplc="0C0C0001" w:tentative="1">
      <w:start w:val="1"/>
      <w:numFmt w:val="bullet"/>
      <w:lvlText w:val=""/>
      <w:lvlJc w:val="left"/>
      <w:pPr>
        <w:tabs>
          <w:tab w:val="num" w:pos="5040"/>
        </w:tabs>
        <w:ind w:left="5040" w:hanging="360"/>
      </w:pPr>
      <w:rPr>
        <w:rFonts w:ascii="Symbol" w:hAnsi="Symbol" w:hint="default"/>
      </w:rPr>
    </w:lvl>
    <w:lvl w:ilvl="7" w:tplc="0C0C0003" w:tentative="1">
      <w:start w:val="1"/>
      <w:numFmt w:val="bullet"/>
      <w:lvlText w:val="o"/>
      <w:lvlJc w:val="left"/>
      <w:pPr>
        <w:tabs>
          <w:tab w:val="num" w:pos="5760"/>
        </w:tabs>
        <w:ind w:left="5760" w:hanging="360"/>
      </w:pPr>
      <w:rPr>
        <w:rFonts w:ascii="Courier New" w:hAnsi="Courier New" w:cs="Courier New" w:hint="default"/>
      </w:rPr>
    </w:lvl>
    <w:lvl w:ilvl="8" w:tplc="0C0C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5123094"/>
    <w:multiLevelType w:val="multilevel"/>
    <w:tmpl w:val="9E08FF36"/>
    <w:lvl w:ilvl="0">
      <w:start w:val="2"/>
      <w:numFmt w:val="decimal"/>
      <w:lvlText w:val="[%1]"/>
      <w:lvlJc w:val="left"/>
      <w:pPr>
        <w:tabs>
          <w:tab w:val="num" w:pos="720"/>
        </w:tabs>
        <w:ind w:left="360" w:firstLine="0"/>
      </w:pPr>
      <w:rPr>
        <w:rFonts w:ascii="Arial" w:hAnsi="Arial" w:hint="default"/>
        <w:b w:val="0"/>
        <w:i w:val="0"/>
        <w:sz w:val="24"/>
      </w:rPr>
    </w:lvl>
    <w:lvl w:ilvl="1">
      <w:start w:val="1"/>
      <w:numFmt w:val="decimal"/>
      <w:lvlText w:val="%1.%2."/>
      <w:lvlJc w:val="left"/>
      <w:pPr>
        <w:tabs>
          <w:tab w:val="num" w:pos="1152"/>
        </w:tabs>
        <w:ind w:left="1152" w:hanging="432"/>
      </w:pPr>
      <w:rPr>
        <w:rFonts w:hint="default"/>
      </w:rPr>
    </w:lvl>
    <w:lvl w:ilvl="2">
      <w:start w:val="1"/>
      <w:numFmt w:val="decimal"/>
      <w:lvlText w:val="%1.%2.%3."/>
      <w:lvlJc w:val="left"/>
      <w:pPr>
        <w:tabs>
          <w:tab w:val="num" w:pos="1800"/>
        </w:tabs>
        <w:ind w:left="1584" w:hanging="504"/>
      </w:pPr>
      <w:rPr>
        <w:rFonts w:hint="default"/>
      </w:rPr>
    </w:lvl>
    <w:lvl w:ilvl="3">
      <w:start w:val="1"/>
      <w:numFmt w:val="decimal"/>
      <w:lvlText w:val="%1.%2.%3.%4."/>
      <w:lvlJc w:val="left"/>
      <w:pPr>
        <w:tabs>
          <w:tab w:val="num" w:pos="2088"/>
        </w:tabs>
        <w:ind w:left="2088" w:hanging="648"/>
      </w:pPr>
      <w:rPr>
        <w:rFonts w:hint="default"/>
      </w:rPr>
    </w:lvl>
    <w:lvl w:ilvl="4">
      <w:start w:val="1"/>
      <w:numFmt w:val="decimal"/>
      <w:lvlText w:val="%1.%2.%3.%4.%5."/>
      <w:lvlJc w:val="left"/>
      <w:pPr>
        <w:tabs>
          <w:tab w:val="num" w:pos="2880"/>
        </w:tabs>
        <w:ind w:left="2592" w:hanging="792"/>
      </w:pPr>
      <w:rPr>
        <w:rFonts w:hint="default"/>
      </w:rPr>
    </w:lvl>
    <w:lvl w:ilvl="5">
      <w:start w:val="1"/>
      <w:numFmt w:val="decimal"/>
      <w:lvlText w:val="%1.%2.%3.%4.%5.%6."/>
      <w:lvlJc w:val="left"/>
      <w:pPr>
        <w:tabs>
          <w:tab w:val="num" w:pos="3600"/>
        </w:tabs>
        <w:ind w:left="3096" w:hanging="936"/>
      </w:pPr>
      <w:rPr>
        <w:rFonts w:hint="default"/>
      </w:rPr>
    </w:lvl>
    <w:lvl w:ilvl="6">
      <w:start w:val="1"/>
      <w:numFmt w:val="decimal"/>
      <w:lvlText w:val="%1.%2.%3.%4.%5.%6.%7."/>
      <w:lvlJc w:val="left"/>
      <w:pPr>
        <w:tabs>
          <w:tab w:val="num" w:pos="3960"/>
        </w:tabs>
        <w:ind w:left="3600" w:hanging="1080"/>
      </w:pPr>
      <w:rPr>
        <w:rFonts w:hint="default"/>
      </w:rPr>
    </w:lvl>
    <w:lvl w:ilvl="7">
      <w:start w:val="1"/>
      <w:numFmt w:val="decimal"/>
      <w:lvlText w:val="%1.%2.%3.%4.%5.%6.%7.%8."/>
      <w:lvlJc w:val="left"/>
      <w:pPr>
        <w:tabs>
          <w:tab w:val="num" w:pos="4680"/>
        </w:tabs>
        <w:ind w:left="4104" w:hanging="1224"/>
      </w:pPr>
      <w:rPr>
        <w:rFonts w:hint="default"/>
      </w:rPr>
    </w:lvl>
    <w:lvl w:ilvl="8">
      <w:start w:val="1"/>
      <w:numFmt w:val="decimal"/>
      <w:lvlText w:val="%1.%2.%3.%4.%5.%6.%7.%8.%9."/>
      <w:lvlJc w:val="left"/>
      <w:pPr>
        <w:tabs>
          <w:tab w:val="num" w:pos="5400"/>
        </w:tabs>
        <w:ind w:left="4680" w:hanging="1440"/>
      </w:pPr>
      <w:rPr>
        <w:rFonts w:hint="default"/>
      </w:rPr>
    </w:lvl>
  </w:abstractNum>
  <w:abstractNum w:abstractNumId="5" w15:restartNumberingAfterBreak="0">
    <w:nsid w:val="364D625A"/>
    <w:multiLevelType w:val="hybridMultilevel"/>
    <w:tmpl w:val="A5C04DE2"/>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 w15:restartNumberingAfterBreak="0">
    <w:nsid w:val="3C071F9D"/>
    <w:multiLevelType w:val="hybridMultilevel"/>
    <w:tmpl w:val="E70C67FA"/>
    <w:lvl w:ilvl="0" w:tplc="0C0C0001">
      <w:start w:val="1"/>
      <w:numFmt w:val="bullet"/>
      <w:lvlText w:val=""/>
      <w:lvlJc w:val="left"/>
      <w:pPr>
        <w:tabs>
          <w:tab w:val="num" w:pos="720"/>
        </w:tabs>
        <w:ind w:left="720" w:hanging="360"/>
      </w:pPr>
      <w:rPr>
        <w:rFonts w:ascii="Symbol" w:hAnsi="Symbol" w:hint="default"/>
      </w:rPr>
    </w:lvl>
    <w:lvl w:ilvl="1" w:tplc="0C0C0003" w:tentative="1">
      <w:start w:val="1"/>
      <w:numFmt w:val="bullet"/>
      <w:lvlText w:val="o"/>
      <w:lvlJc w:val="left"/>
      <w:pPr>
        <w:tabs>
          <w:tab w:val="num" w:pos="1440"/>
        </w:tabs>
        <w:ind w:left="1440" w:hanging="360"/>
      </w:pPr>
      <w:rPr>
        <w:rFonts w:ascii="Courier New" w:hAnsi="Courier New" w:cs="Courier New" w:hint="default"/>
      </w:rPr>
    </w:lvl>
    <w:lvl w:ilvl="2" w:tplc="0C0C0005" w:tentative="1">
      <w:start w:val="1"/>
      <w:numFmt w:val="bullet"/>
      <w:lvlText w:val=""/>
      <w:lvlJc w:val="left"/>
      <w:pPr>
        <w:tabs>
          <w:tab w:val="num" w:pos="2160"/>
        </w:tabs>
        <w:ind w:left="2160" w:hanging="360"/>
      </w:pPr>
      <w:rPr>
        <w:rFonts w:ascii="Wingdings" w:hAnsi="Wingdings" w:hint="default"/>
      </w:rPr>
    </w:lvl>
    <w:lvl w:ilvl="3" w:tplc="0C0C0001" w:tentative="1">
      <w:start w:val="1"/>
      <w:numFmt w:val="bullet"/>
      <w:lvlText w:val=""/>
      <w:lvlJc w:val="left"/>
      <w:pPr>
        <w:tabs>
          <w:tab w:val="num" w:pos="2880"/>
        </w:tabs>
        <w:ind w:left="2880" w:hanging="360"/>
      </w:pPr>
      <w:rPr>
        <w:rFonts w:ascii="Symbol" w:hAnsi="Symbol" w:hint="default"/>
      </w:rPr>
    </w:lvl>
    <w:lvl w:ilvl="4" w:tplc="0C0C0003" w:tentative="1">
      <w:start w:val="1"/>
      <w:numFmt w:val="bullet"/>
      <w:lvlText w:val="o"/>
      <w:lvlJc w:val="left"/>
      <w:pPr>
        <w:tabs>
          <w:tab w:val="num" w:pos="3600"/>
        </w:tabs>
        <w:ind w:left="3600" w:hanging="360"/>
      </w:pPr>
      <w:rPr>
        <w:rFonts w:ascii="Courier New" w:hAnsi="Courier New" w:cs="Courier New" w:hint="default"/>
      </w:rPr>
    </w:lvl>
    <w:lvl w:ilvl="5" w:tplc="0C0C0005" w:tentative="1">
      <w:start w:val="1"/>
      <w:numFmt w:val="bullet"/>
      <w:lvlText w:val=""/>
      <w:lvlJc w:val="left"/>
      <w:pPr>
        <w:tabs>
          <w:tab w:val="num" w:pos="4320"/>
        </w:tabs>
        <w:ind w:left="4320" w:hanging="360"/>
      </w:pPr>
      <w:rPr>
        <w:rFonts w:ascii="Wingdings" w:hAnsi="Wingdings" w:hint="default"/>
      </w:rPr>
    </w:lvl>
    <w:lvl w:ilvl="6" w:tplc="0C0C0001" w:tentative="1">
      <w:start w:val="1"/>
      <w:numFmt w:val="bullet"/>
      <w:lvlText w:val=""/>
      <w:lvlJc w:val="left"/>
      <w:pPr>
        <w:tabs>
          <w:tab w:val="num" w:pos="5040"/>
        </w:tabs>
        <w:ind w:left="5040" w:hanging="360"/>
      </w:pPr>
      <w:rPr>
        <w:rFonts w:ascii="Symbol" w:hAnsi="Symbol" w:hint="default"/>
      </w:rPr>
    </w:lvl>
    <w:lvl w:ilvl="7" w:tplc="0C0C0003" w:tentative="1">
      <w:start w:val="1"/>
      <w:numFmt w:val="bullet"/>
      <w:lvlText w:val="o"/>
      <w:lvlJc w:val="left"/>
      <w:pPr>
        <w:tabs>
          <w:tab w:val="num" w:pos="5760"/>
        </w:tabs>
        <w:ind w:left="5760" w:hanging="360"/>
      </w:pPr>
      <w:rPr>
        <w:rFonts w:ascii="Courier New" w:hAnsi="Courier New" w:cs="Courier New" w:hint="default"/>
      </w:rPr>
    </w:lvl>
    <w:lvl w:ilvl="8" w:tplc="0C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F5A2F00"/>
    <w:multiLevelType w:val="multilevel"/>
    <w:tmpl w:val="931061D0"/>
    <w:lvl w:ilvl="0">
      <w:start w:val="1"/>
      <w:numFmt w:val="decimal"/>
      <w:lvlText w:val="[%1]"/>
      <w:lvlJc w:val="left"/>
      <w:pPr>
        <w:tabs>
          <w:tab w:val="num" w:pos="1428"/>
        </w:tabs>
        <w:ind w:left="1428" w:hanging="720"/>
      </w:pPr>
      <w:rPr>
        <w:rFonts w:hint="default"/>
      </w:rPr>
    </w:lvl>
    <w:lvl w:ilvl="1">
      <w:start w:val="1"/>
      <w:numFmt w:val="bullet"/>
      <w:lvlText w:val=""/>
      <w:lvlJc w:val="left"/>
      <w:pPr>
        <w:tabs>
          <w:tab w:val="num" w:pos="1500"/>
        </w:tabs>
        <w:ind w:left="1500" w:hanging="432"/>
      </w:pPr>
      <w:rPr>
        <w:rFonts w:ascii="Symbol" w:hAnsi="Symbol" w:hint="default"/>
      </w:rPr>
    </w:lvl>
    <w:lvl w:ilvl="2">
      <w:start w:val="1"/>
      <w:numFmt w:val="decimal"/>
      <w:lvlText w:val="%1.%2.%3."/>
      <w:lvlJc w:val="left"/>
      <w:pPr>
        <w:tabs>
          <w:tab w:val="num" w:pos="2508"/>
        </w:tabs>
        <w:ind w:left="1932" w:hanging="504"/>
      </w:pPr>
      <w:rPr>
        <w:rFonts w:hint="default"/>
      </w:rPr>
    </w:lvl>
    <w:lvl w:ilvl="3">
      <w:start w:val="1"/>
      <w:numFmt w:val="decimal"/>
      <w:lvlText w:val="%1.%2.%3.%4."/>
      <w:lvlJc w:val="left"/>
      <w:pPr>
        <w:tabs>
          <w:tab w:val="num" w:pos="2868"/>
        </w:tabs>
        <w:ind w:left="2436" w:hanging="648"/>
      </w:pPr>
      <w:rPr>
        <w:rFonts w:hint="default"/>
      </w:rPr>
    </w:lvl>
    <w:lvl w:ilvl="4">
      <w:start w:val="1"/>
      <w:numFmt w:val="decimal"/>
      <w:lvlText w:val="%1.%2.%3.%4.%5."/>
      <w:lvlJc w:val="left"/>
      <w:pPr>
        <w:tabs>
          <w:tab w:val="num" w:pos="3588"/>
        </w:tabs>
        <w:ind w:left="2940" w:hanging="792"/>
      </w:pPr>
      <w:rPr>
        <w:rFonts w:hint="default"/>
      </w:rPr>
    </w:lvl>
    <w:lvl w:ilvl="5">
      <w:start w:val="1"/>
      <w:numFmt w:val="decimal"/>
      <w:lvlText w:val="%1.%2.%3.%4.%5.%6."/>
      <w:lvlJc w:val="left"/>
      <w:pPr>
        <w:tabs>
          <w:tab w:val="num" w:pos="4308"/>
        </w:tabs>
        <w:ind w:left="3444" w:hanging="936"/>
      </w:pPr>
      <w:rPr>
        <w:rFonts w:hint="default"/>
      </w:rPr>
    </w:lvl>
    <w:lvl w:ilvl="6">
      <w:start w:val="1"/>
      <w:numFmt w:val="decimal"/>
      <w:lvlText w:val="%1.%2.%3.%4.%5.%6.%7."/>
      <w:lvlJc w:val="left"/>
      <w:pPr>
        <w:tabs>
          <w:tab w:val="num" w:pos="5028"/>
        </w:tabs>
        <w:ind w:left="3948" w:hanging="1080"/>
      </w:pPr>
      <w:rPr>
        <w:rFonts w:hint="default"/>
      </w:rPr>
    </w:lvl>
    <w:lvl w:ilvl="7">
      <w:start w:val="1"/>
      <w:numFmt w:val="decimal"/>
      <w:lvlText w:val="%1.%2.%3.%4.%5.%6.%7.%8."/>
      <w:lvlJc w:val="left"/>
      <w:pPr>
        <w:tabs>
          <w:tab w:val="num" w:pos="5388"/>
        </w:tabs>
        <w:ind w:left="4452" w:hanging="1224"/>
      </w:pPr>
      <w:rPr>
        <w:rFonts w:hint="default"/>
      </w:rPr>
    </w:lvl>
    <w:lvl w:ilvl="8">
      <w:start w:val="1"/>
      <w:numFmt w:val="decimal"/>
      <w:lvlText w:val="%1.%2.%3.%4.%5.%6.%7.%8.%9."/>
      <w:lvlJc w:val="left"/>
      <w:pPr>
        <w:tabs>
          <w:tab w:val="num" w:pos="6108"/>
        </w:tabs>
        <w:ind w:left="5028" w:hanging="1440"/>
      </w:pPr>
      <w:rPr>
        <w:rFonts w:hint="default"/>
      </w:rPr>
    </w:lvl>
  </w:abstractNum>
  <w:abstractNum w:abstractNumId="8" w15:restartNumberingAfterBreak="0">
    <w:nsid w:val="609C0DCC"/>
    <w:multiLevelType w:val="multilevel"/>
    <w:tmpl w:val="4D8C58B0"/>
    <w:lvl w:ilvl="0">
      <w:start w:val="1"/>
      <w:numFmt w:val="decimal"/>
      <w:lvlText w:val="[%1]"/>
      <w:lvlJc w:val="left"/>
      <w:pPr>
        <w:tabs>
          <w:tab w:val="num" w:pos="360"/>
        </w:tabs>
        <w:ind w:left="0" w:firstLine="0"/>
      </w:pPr>
      <w:rPr>
        <w:rFonts w:ascii="Arial" w:hAnsi="Arial" w:hint="default"/>
        <w:b w:val="0"/>
        <w:i w:val="0"/>
        <w:sz w:val="24"/>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9" w15:restartNumberingAfterBreak="0">
    <w:nsid w:val="650650B3"/>
    <w:multiLevelType w:val="hybridMultilevel"/>
    <w:tmpl w:val="97F2C978"/>
    <w:lvl w:ilvl="0" w:tplc="F8B6F6F4">
      <w:start w:val="6"/>
      <w:numFmt w:val="decimal"/>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10" w15:restartNumberingAfterBreak="0">
    <w:nsid w:val="6F6A0AB1"/>
    <w:multiLevelType w:val="multilevel"/>
    <w:tmpl w:val="93D04006"/>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20"/>
        </w:tabs>
        <w:ind w:left="720" w:hanging="360"/>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1"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2" w15:restartNumberingAfterBreak="0">
    <w:nsid w:val="7BB76507"/>
    <w:multiLevelType w:val="multilevel"/>
    <w:tmpl w:val="0F8CC720"/>
    <w:lvl w:ilvl="0">
      <w:start w:val="1"/>
      <w:numFmt w:val="decimal"/>
      <w:pStyle w:val="Paragraphe"/>
      <w:lvlText w:val="[%1]"/>
      <w:lvlJc w:val="left"/>
      <w:pPr>
        <w:tabs>
          <w:tab w:val="num" w:pos="2136"/>
        </w:tabs>
        <w:ind w:left="2136" w:hanging="720"/>
      </w:pPr>
      <w:rPr>
        <w:rFonts w:hint="default"/>
        <w:i w:val="0"/>
        <w:iCs w:val="0"/>
      </w:rPr>
    </w:lvl>
    <w:lvl w:ilvl="1">
      <w:start w:val="1"/>
      <w:numFmt w:val="decimal"/>
      <w:pStyle w:val="Sous-paragraphe"/>
      <w:lvlText w:val="%1.%2."/>
      <w:lvlJc w:val="left"/>
      <w:pPr>
        <w:tabs>
          <w:tab w:val="num" w:pos="2208"/>
        </w:tabs>
        <w:ind w:left="2208" w:hanging="432"/>
      </w:pPr>
      <w:rPr>
        <w:rFonts w:hint="default"/>
      </w:rPr>
    </w:lvl>
    <w:lvl w:ilvl="2">
      <w:start w:val="1"/>
      <w:numFmt w:val="decimal"/>
      <w:lvlText w:val="%1.%2.%3."/>
      <w:lvlJc w:val="left"/>
      <w:pPr>
        <w:tabs>
          <w:tab w:val="num" w:pos="3216"/>
        </w:tabs>
        <w:ind w:left="2640" w:hanging="504"/>
      </w:pPr>
      <w:rPr>
        <w:rFonts w:hint="default"/>
      </w:rPr>
    </w:lvl>
    <w:lvl w:ilvl="3">
      <w:start w:val="1"/>
      <w:numFmt w:val="decimal"/>
      <w:lvlText w:val="%1.%2.%3.%4."/>
      <w:lvlJc w:val="left"/>
      <w:pPr>
        <w:tabs>
          <w:tab w:val="num" w:pos="3576"/>
        </w:tabs>
        <w:ind w:left="3144" w:hanging="648"/>
      </w:pPr>
      <w:rPr>
        <w:rFonts w:hint="default"/>
      </w:rPr>
    </w:lvl>
    <w:lvl w:ilvl="4">
      <w:start w:val="1"/>
      <w:numFmt w:val="decimal"/>
      <w:lvlText w:val="%1.%2.%3.%4.%5."/>
      <w:lvlJc w:val="left"/>
      <w:pPr>
        <w:tabs>
          <w:tab w:val="num" w:pos="4296"/>
        </w:tabs>
        <w:ind w:left="3648" w:hanging="792"/>
      </w:pPr>
      <w:rPr>
        <w:rFonts w:hint="default"/>
      </w:rPr>
    </w:lvl>
    <w:lvl w:ilvl="5">
      <w:start w:val="1"/>
      <w:numFmt w:val="decimal"/>
      <w:lvlText w:val="%1.%2.%3.%4.%5.%6."/>
      <w:lvlJc w:val="left"/>
      <w:pPr>
        <w:tabs>
          <w:tab w:val="num" w:pos="5016"/>
        </w:tabs>
        <w:ind w:left="4152" w:hanging="936"/>
      </w:pPr>
      <w:rPr>
        <w:rFonts w:hint="default"/>
      </w:rPr>
    </w:lvl>
    <w:lvl w:ilvl="6">
      <w:start w:val="1"/>
      <w:numFmt w:val="decimal"/>
      <w:lvlText w:val="%1.%2.%3.%4.%5.%6.%7."/>
      <w:lvlJc w:val="left"/>
      <w:pPr>
        <w:tabs>
          <w:tab w:val="num" w:pos="5736"/>
        </w:tabs>
        <w:ind w:left="4656" w:hanging="1080"/>
      </w:pPr>
      <w:rPr>
        <w:rFonts w:hint="default"/>
      </w:rPr>
    </w:lvl>
    <w:lvl w:ilvl="7">
      <w:start w:val="1"/>
      <w:numFmt w:val="decimal"/>
      <w:lvlText w:val="%1.%2.%3.%4.%5.%6.%7.%8."/>
      <w:lvlJc w:val="left"/>
      <w:pPr>
        <w:tabs>
          <w:tab w:val="num" w:pos="6096"/>
        </w:tabs>
        <w:ind w:left="5160" w:hanging="1224"/>
      </w:pPr>
      <w:rPr>
        <w:rFonts w:hint="default"/>
      </w:rPr>
    </w:lvl>
    <w:lvl w:ilvl="8">
      <w:start w:val="1"/>
      <w:numFmt w:val="decimal"/>
      <w:lvlText w:val="%1.%2.%3.%4.%5.%6.%7.%8.%9."/>
      <w:lvlJc w:val="left"/>
      <w:pPr>
        <w:tabs>
          <w:tab w:val="num" w:pos="6816"/>
        </w:tabs>
        <w:ind w:left="5736" w:hanging="1440"/>
      </w:pPr>
      <w:rPr>
        <w:rFonts w:hint="default"/>
      </w:rPr>
    </w:lvl>
  </w:abstractNum>
  <w:num w:numId="1">
    <w:abstractNumId w:val="8"/>
  </w:num>
  <w:num w:numId="2">
    <w:abstractNumId w:val="12"/>
  </w:num>
  <w:num w:numId="3">
    <w:abstractNumId w:val="4"/>
  </w:num>
  <w:num w:numId="4">
    <w:abstractNumId w:val="8"/>
  </w:num>
  <w:num w:numId="5">
    <w:abstractNumId w:val="12"/>
  </w:num>
  <w:num w:numId="6">
    <w:abstractNumId w:val="1"/>
  </w:num>
  <w:num w:numId="7">
    <w:abstractNumId w:val="0"/>
  </w:num>
  <w:num w:numId="8">
    <w:abstractNumId w:val="10"/>
  </w:num>
  <w:num w:numId="9">
    <w:abstractNumId w:val="6"/>
  </w:num>
  <w:num w:numId="10">
    <w:abstractNumId w:val="3"/>
  </w:num>
  <w:num w:numId="11">
    <w:abstractNumId w:val="7"/>
  </w:num>
  <w:num w:numId="12">
    <w:abstractNumId w:val="5"/>
  </w:num>
  <w:num w:numId="13">
    <w:abstractNumId w:val="11"/>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num>
  <w:num w:numId="18">
    <w:abstractNumId w:val="2"/>
  </w:num>
  <w:num w:numId="1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7601"/>
    <w:rsid w:val="000109C9"/>
    <w:rsid w:val="00012CE2"/>
    <w:rsid w:val="00013399"/>
    <w:rsid w:val="00016074"/>
    <w:rsid w:val="00016221"/>
    <w:rsid w:val="0002183D"/>
    <w:rsid w:val="000223A9"/>
    <w:rsid w:val="000225A9"/>
    <w:rsid w:val="00022B0D"/>
    <w:rsid w:val="00023BC3"/>
    <w:rsid w:val="00025F02"/>
    <w:rsid w:val="0002784F"/>
    <w:rsid w:val="00031A6F"/>
    <w:rsid w:val="000324B8"/>
    <w:rsid w:val="00032FE3"/>
    <w:rsid w:val="00033BDB"/>
    <w:rsid w:val="00034269"/>
    <w:rsid w:val="00042492"/>
    <w:rsid w:val="0004313C"/>
    <w:rsid w:val="000436BF"/>
    <w:rsid w:val="00043A57"/>
    <w:rsid w:val="000453B2"/>
    <w:rsid w:val="00045B23"/>
    <w:rsid w:val="00051D97"/>
    <w:rsid w:val="00051E98"/>
    <w:rsid w:val="00051EDD"/>
    <w:rsid w:val="0005207A"/>
    <w:rsid w:val="00052AD7"/>
    <w:rsid w:val="00053DEE"/>
    <w:rsid w:val="000549D8"/>
    <w:rsid w:val="00055FFE"/>
    <w:rsid w:val="00057393"/>
    <w:rsid w:val="00057F20"/>
    <w:rsid w:val="0006108B"/>
    <w:rsid w:val="00061B88"/>
    <w:rsid w:val="00061BBB"/>
    <w:rsid w:val="00061E0F"/>
    <w:rsid w:val="000628BC"/>
    <w:rsid w:val="00063596"/>
    <w:rsid w:val="00067614"/>
    <w:rsid w:val="00071141"/>
    <w:rsid w:val="00074428"/>
    <w:rsid w:val="000769BB"/>
    <w:rsid w:val="000859CA"/>
    <w:rsid w:val="00085A1C"/>
    <w:rsid w:val="00087C9D"/>
    <w:rsid w:val="0009084E"/>
    <w:rsid w:val="00090853"/>
    <w:rsid w:val="00092116"/>
    <w:rsid w:val="00093999"/>
    <w:rsid w:val="000958FA"/>
    <w:rsid w:val="000968C0"/>
    <w:rsid w:val="000A30B8"/>
    <w:rsid w:val="000A5529"/>
    <w:rsid w:val="000A6D31"/>
    <w:rsid w:val="000B4E3B"/>
    <w:rsid w:val="000B5983"/>
    <w:rsid w:val="000B5B70"/>
    <w:rsid w:val="000C1940"/>
    <w:rsid w:val="000C25CF"/>
    <w:rsid w:val="000C4F2D"/>
    <w:rsid w:val="000D0B8E"/>
    <w:rsid w:val="000D2ADD"/>
    <w:rsid w:val="000D3684"/>
    <w:rsid w:val="000E1952"/>
    <w:rsid w:val="000E1F55"/>
    <w:rsid w:val="000E3485"/>
    <w:rsid w:val="000E4A80"/>
    <w:rsid w:val="000E55DF"/>
    <w:rsid w:val="000E6720"/>
    <w:rsid w:val="000E7D57"/>
    <w:rsid w:val="000F129E"/>
    <w:rsid w:val="000F4BB1"/>
    <w:rsid w:val="000F5490"/>
    <w:rsid w:val="0010004C"/>
    <w:rsid w:val="0010111B"/>
    <w:rsid w:val="00101878"/>
    <w:rsid w:val="001018A5"/>
    <w:rsid w:val="00102FE3"/>
    <w:rsid w:val="00104115"/>
    <w:rsid w:val="001071B6"/>
    <w:rsid w:val="00112562"/>
    <w:rsid w:val="001138DC"/>
    <w:rsid w:val="001157C6"/>
    <w:rsid w:val="0011675C"/>
    <w:rsid w:val="00120214"/>
    <w:rsid w:val="0012046D"/>
    <w:rsid w:val="00121582"/>
    <w:rsid w:val="001234D8"/>
    <w:rsid w:val="00125165"/>
    <w:rsid w:val="001278A5"/>
    <w:rsid w:val="00130D43"/>
    <w:rsid w:val="00131392"/>
    <w:rsid w:val="00134D7D"/>
    <w:rsid w:val="00142D0C"/>
    <w:rsid w:val="001432A5"/>
    <w:rsid w:val="00145263"/>
    <w:rsid w:val="0014758A"/>
    <w:rsid w:val="00151697"/>
    <w:rsid w:val="00151D2B"/>
    <w:rsid w:val="0016368A"/>
    <w:rsid w:val="001704BF"/>
    <w:rsid w:val="00173315"/>
    <w:rsid w:val="001734CD"/>
    <w:rsid w:val="001772BE"/>
    <w:rsid w:val="00177DE4"/>
    <w:rsid w:val="00182C8A"/>
    <w:rsid w:val="0018336A"/>
    <w:rsid w:val="00190A89"/>
    <w:rsid w:val="001924A7"/>
    <w:rsid w:val="001939D1"/>
    <w:rsid w:val="001A02B6"/>
    <w:rsid w:val="001A343F"/>
    <w:rsid w:val="001A3545"/>
    <w:rsid w:val="001A3745"/>
    <w:rsid w:val="001A6134"/>
    <w:rsid w:val="001A7067"/>
    <w:rsid w:val="001A731A"/>
    <w:rsid w:val="001B0445"/>
    <w:rsid w:val="001B11FB"/>
    <w:rsid w:val="001B22A1"/>
    <w:rsid w:val="001B5ABC"/>
    <w:rsid w:val="001B6B6F"/>
    <w:rsid w:val="001B6BC5"/>
    <w:rsid w:val="001C584D"/>
    <w:rsid w:val="001D2C66"/>
    <w:rsid w:val="001D51D7"/>
    <w:rsid w:val="001E318B"/>
    <w:rsid w:val="001E3803"/>
    <w:rsid w:val="001E45FA"/>
    <w:rsid w:val="001E5779"/>
    <w:rsid w:val="001E68EC"/>
    <w:rsid w:val="001F01BB"/>
    <w:rsid w:val="001F3664"/>
    <w:rsid w:val="001F76D6"/>
    <w:rsid w:val="001F78C0"/>
    <w:rsid w:val="002104B1"/>
    <w:rsid w:val="0021352F"/>
    <w:rsid w:val="00213F95"/>
    <w:rsid w:val="00216343"/>
    <w:rsid w:val="002216BA"/>
    <w:rsid w:val="00221BFD"/>
    <w:rsid w:val="00221CBA"/>
    <w:rsid w:val="00226771"/>
    <w:rsid w:val="00230184"/>
    <w:rsid w:val="002304B5"/>
    <w:rsid w:val="002315BD"/>
    <w:rsid w:val="00231939"/>
    <w:rsid w:val="00232516"/>
    <w:rsid w:val="00233D58"/>
    <w:rsid w:val="002348E7"/>
    <w:rsid w:val="00235777"/>
    <w:rsid w:val="00236B06"/>
    <w:rsid w:val="00236F7F"/>
    <w:rsid w:val="0024429C"/>
    <w:rsid w:val="002446BE"/>
    <w:rsid w:val="00245C7E"/>
    <w:rsid w:val="00246E51"/>
    <w:rsid w:val="002474C9"/>
    <w:rsid w:val="00247C5B"/>
    <w:rsid w:val="002530EC"/>
    <w:rsid w:val="002552D0"/>
    <w:rsid w:val="00270976"/>
    <w:rsid w:val="00271D0F"/>
    <w:rsid w:val="00273ECC"/>
    <w:rsid w:val="00274B94"/>
    <w:rsid w:val="00276403"/>
    <w:rsid w:val="00281C41"/>
    <w:rsid w:val="00282512"/>
    <w:rsid w:val="0028261F"/>
    <w:rsid w:val="0028263C"/>
    <w:rsid w:val="00282F77"/>
    <w:rsid w:val="002837BE"/>
    <w:rsid w:val="00287DA0"/>
    <w:rsid w:val="0029041B"/>
    <w:rsid w:val="00294467"/>
    <w:rsid w:val="002944BD"/>
    <w:rsid w:val="002961C0"/>
    <w:rsid w:val="002A0727"/>
    <w:rsid w:val="002A2BC6"/>
    <w:rsid w:val="002A3BA9"/>
    <w:rsid w:val="002A79C8"/>
    <w:rsid w:val="002B0D5B"/>
    <w:rsid w:val="002B6B4B"/>
    <w:rsid w:val="002B7FA6"/>
    <w:rsid w:val="002C12BA"/>
    <w:rsid w:val="002C513E"/>
    <w:rsid w:val="002C6FE3"/>
    <w:rsid w:val="002D0BCA"/>
    <w:rsid w:val="002D2E90"/>
    <w:rsid w:val="002E2661"/>
    <w:rsid w:val="002E7062"/>
    <w:rsid w:val="002F12EC"/>
    <w:rsid w:val="002F1DDB"/>
    <w:rsid w:val="00301270"/>
    <w:rsid w:val="00302146"/>
    <w:rsid w:val="0030301B"/>
    <w:rsid w:val="003040D5"/>
    <w:rsid w:val="00306FB6"/>
    <w:rsid w:val="00312602"/>
    <w:rsid w:val="00313A28"/>
    <w:rsid w:val="003153DE"/>
    <w:rsid w:val="00317B19"/>
    <w:rsid w:val="003264B8"/>
    <w:rsid w:val="0033240F"/>
    <w:rsid w:val="00334EEB"/>
    <w:rsid w:val="00337316"/>
    <w:rsid w:val="00340D61"/>
    <w:rsid w:val="00344034"/>
    <w:rsid w:val="00344553"/>
    <w:rsid w:val="00345CB2"/>
    <w:rsid w:val="00351678"/>
    <w:rsid w:val="00357278"/>
    <w:rsid w:val="00364F44"/>
    <w:rsid w:val="003661DB"/>
    <w:rsid w:val="00366B52"/>
    <w:rsid w:val="00366B82"/>
    <w:rsid w:val="00367EDB"/>
    <w:rsid w:val="003736CC"/>
    <w:rsid w:val="00380475"/>
    <w:rsid w:val="00387314"/>
    <w:rsid w:val="003964F2"/>
    <w:rsid w:val="003A2189"/>
    <w:rsid w:val="003A441A"/>
    <w:rsid w:val="003A4F2B"/>
    <w:rsid w:val="003A65FE"/>
    <w:rsid w:val="003B663B"/>
    <w:rsid w:val="003C3D1F"/>
    <w:rsid w:val="003C401A"/>
    <w:rsid w:val="003C4C78"/>
    <w:rsid w:val="003C5E39"/>
    <w:rsid w:val="003D21BE"/>
    <w:rsid w:val="003D23DE"/>
    <w:rsid w:val="003D3744"/>
    <w:rsid w:val="003D5031"/>
    <w:rsid w:val="003D6AAB"/>
    <w:rsid w:val="003F0123"/>
    <w:rsid w:val="003F1654"/>
    <w:rsid w:val="003F2AD2"/>
    <w:rsid w:val="003F3796"/>
    <w:rsid w:val="00401723"/>
    <w:rsid w:val="00402B52"/>
    <w:rsid w:val="00403F5B"/>
    <w:rsid w:val="004103B1"/>
    <w:rsid w:val="0041063C"/>
    <w:rsid w:val="00411104"/>
    <w:rsid w:val="00412612"/>
    <w:rsid w:val="00412BA4"/>
    <w:rsid w:val="00413741"/>
    <w:rsid w:val="0042793C"/>
    <w:rsid w:val="004316CF"/>
    <w:rsid w:val="004320FA"/>
    <w:rsid w:val="0043311D"/>
    <w:rsid w:val="004431EA"/>
    <w:rsid w:val="00444C2B"/>
    <w:rsid w:val="00447A69"/>
    <w:rsid w:val="00451D08"/>
    <w:rsid w:val="004526EC"/>
    <w:rsid w:val="004536A6"/>
    <w:rsid w:val="00453A1E"/>
    <w:rsid w:val="00455719"/>
    <w:rsid w:val="00456BDA"/>
    <w:rsid w:val="004573AE"/>
    <w:rsid w:val="00457649"/>
    <w:rsid w:val="004578AC"/>
    <w:rsid w:val="0046290F"/>
    <w:rsid w:val="00463B0B"/>
    <w:rsid w:val="0046672B"/>
    <w:rsid w:val="00470F88"/>
    <w:rsid w:val="00480F55"/>
    <w:rsid w:val="0048575C"/>
    <w:rsid w:val="00485FAB"/>
    <w:rsid w:val="0048671F"/>
    <w:rsid w:val="00486F8E"/>
    <w:rsid w:val="00487564"/>
    <w:rsid w:val="004925F5"/>
    <w:rsid w:val="00493EEA"/>
    <w:rsid w:val="00494D6B"/>
    <w:rsid w:val="00497D7E"/>
    <w:rsid w:val="004A2A98"/>
    <w:rsid w:val="004A389A"/>
    <w:rsid w:val="004A62A5"/>
    <w:rsid w:val="004A67D8"/>
    <w:rsid w:val="004B0D2E"/>
    <w:rsid w:val="004B15AB"/>
    <w:rsid w:val="004B277C"/>
    <w:rsid w:val="004B652F"/>
    <w:rsid w:val="004B6A78"/>
    <w:rsid w:val="004B6DFF"/>
    <w:rsid w:val="004B6E29"/>
    <w:rsid w:val="004B72B4"/>
    <w:rsid w:val="004C396A"/>
    <w:rsid w:val="004C3BC2"/>
    <w:rsid w:val="004C538C"/>
    <w:rsid w:val="004C554B"/>
    <w:rsid w:val="004C5F05"/>
    <w:rsid w:val="004C6720"/>
    <w:rsid w:val="004C6B67"/>
    <w:rsid w:val="004C6E79"/>
    <w:rsid w:val="004C72B4"/>
    <w:rsid w:val="004C766A"/>
    <w:rsid w:val="004D1C6C"/>
    <w:rsid w:val="004D21F4"/>
    <w:rsid w:val="004D4C33"/>
    <w:rsid w:val="004D710A"/>
    <w:rsid w:val="004D774B"/>
    <w:rsid w:val="004E0D2F"/>
    <w:rsid w:val="004E2E67"/>
    <w:rsid w:val="004E60D4"/>
    <w:rsid w:val="004E7361"/>
    <w:rsid w:val="004F2B34"/>
    <w:rsid w:val="004F2CB9"/>
    <w:rsid w:val="004F3444"/>
    <w:rsid w:val="004F51AD"/>
    <w:rsid w:val="004F58C0"/>
    <w:rsid w:val="005012D6"/>
    <w:rsid w:val="005026D8"/>
    <w:rsid w:val="00502921"/>
    <w:rsid w:val="00504EA0"/>
    <w:rsid w:val="00512DC5"/>
    <w:rsid w:val="00514E76"/>
    <w:rsid w:val="00515251"/>
    <w:rsid w:val="00515908"/>
    <w:rsid w:val="005162BA"/>
    <w:rsid w:val="005201A3"/>
    <w:rsid w:val="00520408"/>
    <w:rsid w:val="00523886"/>
    <w:rsid w:val="00524A55"/>
    <w:rsid w:val="00530D60"/>
    <w:rsid w:val="0053181D"/>
    <w:rsid w:val="0053277F"/>
    <w:rsid w:val="005337EA"/>
    <w:rsid w:val="00533CDB"/>
    <w:rsid w:val="00534B41"/>
    <w:rsid w:val="00534E14"/>
    <w:rsid w:val="005375F6"/>
    <w:rsid w:val="00537601"/>
    <w:rsid w:val="005426B2"/>
    <w:rsid w:val="005518CA"/>
    <w:rsid w:val="0055246B"/>
    <w:rsid w:val="005561FA"/>
    <w:rsid w:val="005577A5"/>
    <w:rsid w:val="00562DA0"/>
    <w:rsid w:val="0056417F"/>
    <w:rsid w:val="0056425C"/>
    <w:rsid w:val="0056464E"/>
    <w:rsid w:val="00565CD6"/>
    <w:rsid w:val="005727CB"/>
    <w:rsid w:val="00575D71"/>
    <w:rsid w:val="00581BC3"/>
    <w:rsid w:val="0058282D"/>
    <w:rsid w:val="005834AB"/>
    <w:rsid w:val="00584438"/>
    <w:rsid w:val="0058487B"/>
    <w:rsid w:val="00584A88"/>
    <w:rsid w:val="00584B5D"/>
    <w:rsid w:val="005857E6"/>
    <w:rsid w:val="00591BAB"/>
    <w:rsid w:val="005949D9"/>
    <w:rsid w:val="00597B23"/>
    <w:rsid w:val="005A0B86"/>
    <w:rsid w:val="005A142D"/>
    <w:rsid w:val="005A2421"/>
    <w:rsid w:val="005A3840"/>
    <w:rsid w:val="005A3AA8"/>
    <w:rsid w:val="005A426F"/>
    <w:rsid w:val="005B0ADB"/>
    <w:rsid w:val="005B1D5C"/>
    <w:rsid w:val="005B27B0"/>
    <w:rsid w:val="005B2E29"/>
    <w:rsid w:val="005B4910"/>
    <w:rsid w:val="005B4EC8"/>
    <w:rsid w:val="005B59F4"/>
    <w:rsid w:val="005B66E9"/>
    <w:rsid w:val="005C13B0"/>
    <w:rsid w:val="005C201E"/>
    <w:rsid w:val="005C2BD7"/>
    <w:rsid w:val="005C2EB0"/>
    <w:rsid w:val="005C3E03"/>
    <w:rsid w:val="005C6EC8"/>
    <w:rsid w:val="005C7482"/>
    <w:rsid w:val="005C7A36"/>
    <w:rsid w:val="005D1454"/>
    <w:rsid w:val="005D2BAC"/>
    <w:rsid w:val="005D2C3B"/>
    <w:rsid w:val="005D5766"/>
    <w:rsid w:val="005E0ECC"/>
    <w:rsid w:val="005E1027"/>
    <w:rsid w:val="005E13B3"/>
    <w:rsid w:val="005E1433"/>
    <w:rsid w:val="005E3A00"/>
    <w:rsid w:val="005E5EA5"/>
    <w:rsid w:val="005E6733"/>
    <w:rsid w:val="005E7C65"/>
    <w:rsid w:val="005F3052"/>
    <w:rsid w:val="005F5EA5"/>
    <w:rsid w:val="005F7336"/>
    <w:rsid w:val="00600F5D"/>
    <w:rsid w:val="00601829"/>
    <w:rsid w:val="006102BB"/>
    <w:rsid w:val="00612EA1"/>
    <w:rsid w:val="00613168"/>
    <w:rsid w:val="006200E1"/>
    <w:rsid w:val="006203C6"/>
    <w:rsid w:val="006208AE"/>
    <w:rsid w:val="00624080"/>
    <w:rsid w:val="00626DAF"/>
    <w:rsid w:val="00627B8B"/>
    <w:rsid w:val="00632448"/>
    <w:rsid w:val="0063495D"/>
    <w:rsid w:val="0064120E"/>
    <w:rsid w:val="00650951"/>
    <w:rsid w:val="00650C02"/>
    <w:rsid w:val="00650FDE"/>
    <w:rsid w:val="00652052"/>
    <w:rsid w:val="00652B54"/>
    <w:rsid w:val="00652EF3"/>
    <w:rsid w:val="006550EA"/>
    <w:rsid w:val="00656243"/>
    <w:rsid w:val="00656AB5"/>
    <w:rsid w:val="00657DB7"/>
    <w:rsid w:val="00660783"/>
    <w:rsid w:val="00661573"/>
    <w:rsid w:val="006629B1"/>
    <w:rsid w:val="00663107"/>
    <w:rsid w:val="006660B8"/>
    <w:rsid w:val="00667EB7"/>
    <w:rsid w:val="00672D5A"/>
    <w:rsid w:val="0067435A"/>
    <w:rsid w:val="00675114"/>
    <w:rsid w:val="00675C7A"/>
    <w:rsid w:val="00676BD5"/>
    <w:rsid w:val="00682280"/>
    <w:rsid w:val="006854F6"/>
    <w:rsid w:val="006875B7"/>
    <w:rsid w:val="00687898"/>
    <w:rsid w:val="00691D71"/>
    <w:rsid w:val="00693033"/>
    <w:rsid w:val="00693BD2"/>
    <w:rsid w:val="00695C5D"/>
    <w:rsid w:val="006967E0"/>
    <w:rsid w:val="00696AD2"/>
    <w:rsid w:val="00696BF8"/>
    <w:rsid w:val="006A052A"/>
    <w:rsid w:val="006A2D5F"/>
    <w:rsid w:val="006A5D82"/>
    <w:rsid w:val="006A61A4"/>
    <w:rsid w:val="006B097A"/>
    <w:rsid w:val="006B1867"/>
    <w:rsid w:val="006B60CE"/>
    <w:rsid w:val="006B6A73"/>
    <w:rsid w:val="006B79D7"/>
    <w:rsid w:val="006C680C"/>
    <w:rsid w:val="006C6DB1"/>
    <w:rsid w:val="006C7289"/>
    <w:rsid w:val="006C7BA8"/>
    <w:rsid w:val="006D01DC"/>
    <w:rsid w:val="006D0782"/>
    <w:rsid w:val="006D1F19"/>
    <w:rsid w:val="006D52DA"/>
    <w:rsid w:val="006D69CD"/>
    <w:rsid w:val="006E0353"/>
    <w:rsid w:val="006E2834"/>
    <w:rsid w:val="006E38A0"/>
    <w:rsid w:val="006E5BC4"/>
    <w:rsid w:val="006E7A09"/>
    <w:rsid w:val="006F0F0A"/>
    <w:rsid w:val="006F2A13"/>
    <w:rsid w:val="006F460A"/>
    <w:rsid w:val="00701709"/>
    <w:rsid w:val="00704604"/>
    <w:rsid w:val="0071585D"/>
    <w:rsid w:val="00720FFC"/>
    <w:rsid w:val="007239DF"/>
    <w:rsid w:val="00724268"/>
    <w:rsid w:val="00724A0E"/>
    <w:rsid w:val="00725EA0"/>
    <w:rsid w:val="00727599"/>
    <w:rsid w:val="00730622"/>
    <w:rsid w:val="00731BE8"/>
    <w:rsid w:val="00734B00"/>
    <w:rsid w:val="00741B70"/>
    <w:rsid w:val="007421EF"/>
    <w:rsid w:val="00743BF4"/>
    <w:rsid w:val="00746F7D"/>
    <w:rsid w:val="0074780C"/>
    <w:rsid w:val="00747DCA"/>
    <w:rsid w:val="007507C6"/>
    <w:rsid w:val="00752BC2"/>
    <w:rsid w:val="00752DEC"/>
    <w:rsid w:val="00753235"/>
    <w:rsid w:val="00753BCE"/>
    <w:rsid w:val="007553A7"/>
    <w:rsid w:val="00761C4B"/>
    <w:rsid w:val="0076208C"/>
    <w:rsid w:val="0076332D"/>
    <w:rsid w:val="00767153"/>
    <w:rsid w:val="00767F8B"/>
    <w:rsid w:val="00771C06"/>
    <w:rsid w:val="007735CA"/>
    <w:rsid w:val="00774C0F"/>
    <w:rsid w:val="00780F68"/>
    <w:rsid w:val="0078368C"/>
    <w:rsid w:val="00784338"/>
    <w:rsid w:val="00784590"/>
    <w:rsid w:val="00784ACD"/>
    <w:rsid w:val="00784C09"/>
    <w:rsid w:val="00785EC3"/>
    <w:rsid w:val="007A1A23"/>
    <w:rsid w:val="007A23F3"/>
    <w:rsid w:val="007B07F0"/>
    <w:rsid w:val="007B2798"/>
    <w:rsid w:val="007C20B5"/>
    <w:rsid w:val="007C5C8A"/>
    <w:rsid w:val="007C5D58"/>
    <w:rsid w:val="007C6A26"/>
    <w:rsid w:val="007C7DCB"/>
    <w:rsid w:val="007C7EF7"/>
    <w:rsid w:val="007D0F5D"/>
    <w:rsid w:val="007D1271"/>
    <w:rsid w:val="007D2C40"/>
    <w:rsid w:val="007D4E63"/>
    <w:rsid w:val="007D70D7"/>
    <w:rsid w:val="007E04DC"/>
    <w:rsid w:val="007E13A2"/>
    <w:rsid w:val="007E1DD4"/>
    <w:rsid w:val="007E602D"/>
    <w:rsid w:val="007E6CB9"/>
    <w:rsid w:val="007F35DA"/>
    <w:rsid w:val="007F48ED"/>
    <w:rsid w:val="007F7965"/>
    <w:rsid w:val="008044BD"/>
    <w:rsid w:val="0080540F"/>
    <w:rsid w:val="00807E9C"/>
    <w:rsid w:val="00811ED9"/>
    <w:rsid w:val="00816E18"/>
    <w:rsid w:val="00817312"/>
    <w:rsid w:val="00820DF3"/>
    <w:rsid w:val="00823103"/>
    <w:rsid w:val="0082326C"/>
    <w:rsid w:val="00825C7F"/>
    <w:rsid w:val="00826D45"/>
    <w:rsid w:val="00830C6A"/>
    <w:rsid w:val="00836337"/>
    <w:rsid w:val="00837523"/>
    <w:rsid w:val="0083789E"/>
    <w:rsid w:val="00842BA9"/>
    <w:rsid w:val="00843C72"/>
    <w:rsid w:val="00844199"/>
    <w:rsid w:val="00844B16"/>
    <w:rsid w:val="00845BEA"/>
    <w:rsid w:val="0084764D"/>
    <w:rsid w:val="0085300B"/>
    <w:rsid w:val="008534A6"/>
    <w:rsid w:val="0085360F"/>
    <w:rsid w:val="008549F3"/>
    <w:rsid w:val="0085731B"/>
    <w:rsid w:val="0086337E"/>
    <w:rsid w:val="00863A01"/>
    <w:rsid w:val="00865F4B"/>
    <w:rsid w:val="00872881"/>
    <w:rsid w:val="00872D3B"/>
    <w:rsid w:val="00873BB3"/>
    <w:rsid w:val="00875314"/>
    <w:rsid w:val="0087636C"/>
    <w:rsid w:val="008765D2"/>
    <w:rsid w:val="00880E90"/>
    <w:rsid w:val="00884093"/>
    <w:rsid w:val="008843D4"/>
    <w:rsid w:val="008844DD"/>
    <w:rsid w:val="008865AD"/>
    <w:rsid w:val="00886755"/>
    <w:rsid w:val="00894AFA"/>
    <w:rsid w:val="00895431"/>
    <w:rsid w:val="0089752F"/>
    <w:rsid w:val="008A0AA2"/>
    <w:rsid w:val="008A193F"/>
    <w:rsid w:val="008A1DF5"/>
    <w:rsid w:val="008A1E82"/>
    <w:rsid w:val="008A2C8A"/>
    <w:rsid w:val="008A3B81"/>
    <w:rsid w:val="008A3BAC"/>
    <w:rsid w:val="008B19CF"/>
    <w:rsid w:val="008B1B03"/>
    <w:rsid w:val="008B1D32"/>
    <w:rsid w:val="008B6932"/>
    <w:rsid w:val="008B6978"/>
    <w:rsid w:val="008B74A1"/>
    <w:rsid w:val="008B7E04"/>
    <w:rsid w:val="008C0216"/>
    <w:rsid w:val="008C0905"/>
    <w:rsid w:val="008C31AB"/>
    <w:rsid w:val="008C42DB"/>
    <w:rsid w:val="008C4B7F"/>
    <w:rsid w:val="008C60D4"/>
    <w:rsid w:val="008C613B"/>
    <w:rsid w:val="008D1C3C"/>
    <w:rsid w:val="008D5DDE"/>
    <w:rsid w:val="008D6232"/>
    <w:rsid w:val="008D7FBC"/>
    <w:rsid w:val="008E0932"/>
    <w:rsid w:val="008E58C7"/>
    <w:rsid w:val="008E79DC"/>
    <w:rsid w:val="008F10D0"/>
    <w:rsid w:val="008F17F7"/>
    <w:rsid w:val="008F28E1"/>
    <w:rsid w:val="008F71F7"/>
    <w:rsid w:val="00900B6D"/>
    <w:rsid w:val="00900C8E"/>
    <w:rsid w:val="00901178"/>
    <w:rsid w:val="009014AD"/>
    <w:rsid w:val="00904176"/>
    <w:rsid w:val="0090570A"/>
    <w:rsid w:val="00907263"/>
    <w:rsid w:val="009138C0"/>
    <w:rsid w:val="00913998"/>
    <w:rsid w:val="00914367"/>
    <w:rsid w:val="00916FDC"/>
    <w:rsid w:val="00920F83"/>
    <w:rsid w:val="00921F35"/>
    <w:rsid w:val="0092548C"/>
    <w:rsid w:val="00926B0A"/>
    <w:rsid w:val="00931A40"/>
    <w:rsid w:val="00931CF2"/>
    <w:rsid w:val="00935D11"/>
    <w:rsid w:val="00935F3E"/>
    <w:rsid w:val="00937F15"/>
    <w:rsid w:val="00941C6B"/>
    <w:rsid w:val="00942941"/>
    <w:rsid w:val="009446DF"/>
    <w:rsid w:val="00945145"/>
    <w:rsid w:val="00945E50"/>
    <w:rsid w:val="00946919"/>
    <w:rsid w:val="009475B6"/>
    <w:rsid w:val="00954466"/>
    <w:rsid w:val="00955CFE"/>
    <w:rsid w:val="00956A6A"/>
    <w:rsid w:val="00957AC9"/>
    <w:rsid w:val="0096177C"/>
    <w:rsid w:val="009639FE"/>
    <w:rsid w:val="00963A70"/>
    <w:rsid w:val="00966C0E"/>
    <w:rsid w:val="00971C9E"/>
    <w:rsid w:val="00974464"/>
    <w:rsid w:val="0097776D"/>
    <w:rsid w:val="009811D6"/>
    <w:rsid w:val="00984DE4"/>
    <w:rsid w:val="00986825"/>
    <w:rsid w:val="00990FB1"/>
    <w:rsid w:val="00991069"/>
    <w:rsid w:val="009912A7"/>
    <w:rsid w:val="009A048B"/>
    <w:rsid w:val="009A2AF8"/>
    <w:rsid w:val="009A4982"/>
    <w:rsid w:val="009A4D57"/>
    <w:rsid w:val="009B03D0"/>
    <w:rsid w:val="009B28DB"/>
    <w:rsid w:val="009B3153"/>
    <w:rsid w:val="009B5916"/>
    <w:rsid w:val="009C27B7"/>
    <w:rsid w:val="009C3C14"/>
    <w:rsid w:val="009C5106"/>
    <w:rsid w:val="009C51DB"/>
    <w:rsid w:val="009C6CBF"/>
    <w:rsid w:val="009D09E6"/>
    <w:rsid w:val="009D3114"/>
    <w:rsid w:val="009D431D"/>
    <w:rsid w:val="009D5667"/>
    <w:rsid w:val="009D57CA"/>
    <w:rsid w:val="009D6D30"/>
    <w:rsid w:val="009D78B5"/>
    <w:rsid w:val="009E1172"/>
    <w:rsid w:val="009E1649"/>
    <w:rsid w:val="009E2A6C"/>
    <w:rsid w:val="009F0AC9"/>
    <w:rsid w:val="009F7210"/>
    <w:rsid w:val="009F7C99"/>
    <w:rsid w:val="00A061FA"/>
    <w:rsid w:val="00A0626B"/>
    <w:rsid w:val="00A072C1"/>
    <w:rsid w:val="00A14B89"/>
    <w:rsid w:val="00A200F5"/>
    <w:rsid w:val="00A22912"/>
    <w:rsid w:val="00A24A6E"/>
    <w:rsid w:val="00A24AAC"/>
    <w:rsid w:val="00A25C9B"/>
    <w:rsid w:val="00A26E63"/>
    <w:rsid w:val="00A27055"/>
    <w:rsid w:val="00A27874"/>
    <w:rsid w:val="00A30CDB"/>
    <w:rsid w:val="00A30CDE"/>
    <w:rsid w:val="00A32E39"/>
    <w:rsid w:val="00A3397D"/>
    <w:rsid w:val="00A3449D"/>
    <w:rsid w:val="00A3648E"/>
    <w:rsid w:val="00A368E4"/>
    <w:rsid w:val="00A37D48"/>
    <w:rsid w:val="00A4146E"/>
    <w:rsid w:val="00A449F0"/>
    <w:rsid w:val="00A511C4"/>
    <w:rsid w:val="00A56438"/>
    <w:rsid w:val="00A575AE"/>
    <w:rsid w:val="00A621DC"/>
    <w:rsid w:val="00A62A8F"/>
    <w:rsid w:val="00A63221"/>
    <w:rsid w:val="00A63FD1"/>
    <w:rsid w:val="00A65DA4"/>
    <w:rsid w:val="00A67C48"/>
    <w:rsid w:val="00A71A30"/>
    <w:rsid w:val="00A747FD"/>
    <w:rsid w:val="00A74A49"/>
    <w:rsid w:val="00A750C4"/>
    <w:rsid w:val="00A767FC"/>
    <w:rsid w:val="00A8014E"/>
    <w:rsid w:val="00A86390"/>
    <w:rsid w:val="00A8661E"/>
    <w:rsid w:val="00A86BEF"/>
    <w:rsid w:val="00A877D6"/>
    <w:rsid w:val="00A95466"/>
    <w:rsid w:val="00A96F50"/>
    <w:rsid w:val="00AA1282"/>
    <w:rsid w:val="00AA1C70"/>
    <w:rsid w:val="00AB1B2F"/>
    <w:rsid w:val="00AB5148"/>
    <w:rsid w:val="00AB6222"/>
    <w:rsid w:val="00AB7A45"/>
    <w:rsid w:val="00AB7B73"/>
    <w:rsid w:val="00AB7CE1"/>
    <w:rsid w:val="00AC0B21"/>
    <w:rsid w:val="00AC1327"/>
    <w:rsid w:val="00AC2D58"/>
    <w:rsid w:val="00AC3D16"/>
    <w:rsid w:val="00AC42DF"/>
    <w:rsid w:val="00AC5129"/>
    <w:rsid w:val="00AC5A1B"/>
    <w:rsid w:val="00AC7749"/>
    <w:rsid w:val="00AD145E"/>
    <w:rsid w:val="00AD14F2"/>
    <w:rsid w:val="00AD2F4A"/>
    <w:rsid w:val="00AD3394"/>
    <w:rsid w:val="00AD38C5"/>
    <w:rsid w:val="00AD65EF"/>
    <w:rsid w:val="00AE4C8E"/>
    <w:rsid w:val="00AE5521"/>
    <w:rsid w:val="00AE6C7A"/>
    <w:rsid w:val="00AE7CF9"/>
    <w:rsid w:val="00AF1E6A"/>
    <w:rsid w:val="00AF3A0E"/>
    <w:rsid w:val="00AF7067"/>
    <w:rsid w:val="00B01A6F"/>
    <w:rsid w:val="00B020F0"/>
    <w:rsid w:val="00B04021"/>
    <w:rsid w:val="00B047A4"/>
    <w:rsid w:val="00B07DC0"/>
    <w:rsid w:val="00B106A1"/>
    <w:rsid w:val="00B11E4C"/>
    <w:rsid w:val="00B15391"/>
    <w:rsid w:val="00B1641A"/>
    <w:rsid w:val="00B16796"/>
    <w:rsid w:val="00B20F34"/>
    <w:rsid w:val="00B22DCA"/>
    <w:rsid w:val="00B326AF"/>
    <w:rsid w:val="00B3281B"/>
    <w:rsid w:val="00B336BF"/>
    <w:rsid w:val="00B3667C"/>
    <w:rsid w:val="00B41BF7"/>
    <w:rsid w:val="00B42315"/>
    <w:rsid w:val="00B46CFD"/>
    <w:rsid w:val="00B4705C"/>
    <w:rsid w:val="00B47BDA"/>
    <w:rsid w:val="00B517AD"/>
    <w:rsid w:val="00B54BBA"/>
    <w:rsid w:val="00B5625B"/>
    <w:rsid w:val="00B577B2"/>
    <w:rsid w:val="00B60911"/>
    <w:rsid w:val="00B6117E"/>
    <w:rsid w:val="00B63BE4"/>
    <w:rsid w:val="00B65939"/>
    <w:rsid w:val="00B6724F"/>
    <w:rsid w:val="00B6749E"/>
    <w:rsid w:val="00B67DCA"/>
    <w:rsid w:val="00B72040"/>
    <w:rsid w:val="00B7282A"/>
    <w:rsid w:val="00B73432"/>
    <w:rsid w:val="00B74635"/>
    <w:rsid w:val="00B8185D"/>
    <w:rsid w:val="00B8518E"/>
    <w:rsid w:val="00B86B6A"/>
    <w:rsid w:val="00B87020"/>
    <w:rsid w:val="00B907E6"/>
    <w:rsid w:val="00B9244A"/>
    <w:rsid w:val="00B96A80"/>
    <w:rsid w:val="00B96C67"/>
    <w:rsid w:val="00BA0FCD"/>
    <w:rsid w:val="00BA6B39"/>
    <w:rsid w:val="00BB0411"/>
    <w:rsid w:val="00BB1CFB"/>
    <w:rsid w:val="00BB1F0B"/>
    <w:rsid w:val="00BB1FA8"/>
    <w:rsid w:val="00BB2072"/>
    <w:rsid w:val="00BB2FFB"/>
    <w:rsid w:val="00BB4F23"/>
    <w:rsid w:val="00BB68AF"/>
    <w:rsid w:val="00BB7B89"/>
    <w:rsid w:val="00BC06F4"/>
    <w:rsid w:val="00BC0DBA"/>
    <w:rsid w:val="00BC1410"/>
    <w:rsid w:val="00BC317E"/>
    <w:rsid w:val="00BC4287"/>
    <w:rsid w:val="00BC573D"/>
    <w:rsid w:val="00BC5B21"/>
    <w:rsid w:val="00BD16C3"/>
    <w:rsid w:val="00BD22EF"/>
    <w:rsid w:val="00BD2573"/>
    <w:rsid w:val="00BD4223"/>
    <w:rsid w:val="00BD6CED"/>
    <w:rsid w:val="00BD6FBB"/>
    <w:rsid w:val="00BE3342"/>
    <w:rsid w:val="00BE4E3B"/>
    <w:rsid w:val="00BF04EB"/>
    <w:rsid w:val="00BF1069"/>
    <w:rsid w:val="00BF1201"/>
    <w:rsid w:val="00BF1B14"/>
    <w:rsid w:val="00BF2FE6"/>
    <w:rsid w:val="00BF34EA"/>
    <w:rsid w:val="00BF4136"/>
    <w:rsid w:val="00BF6009"/>
    <w:rsid w:val="00C00FCB"/>
    <w:rsid w:val="00C02613"/>
    <w:rsid w:val="00C02DA2"/>
    <w:rsid w:val="00C15962"/>
    <w:rsid w:val="00C15B3B"/>
    <w:rsid w:val="00C174DF"/>
    <w:rsid w:val="00C226CC"/>
    <w:rsid w:val="00C27919"/>
    <w:rsid w:val="00C3039C"/>
    <w:rsid w:val="00C31BAE"/>
    <w:rsid w:val="00C33C5D"/>
    <w:rsid w:val="00C365AD"/>
    <w:rsid w:val="00C4286F"/>
    <w:rsid w:val="00C4407B"/>
    <w:rsid w:val="00C4437C"/>
    <w:rsid w:val="00C4543E"/>
    <w:rsid w:val="00C46635"/>
    <w:rsid w:val="00C47087"/>
    <w:rsid w:val="00C501B4"/>
    <w:rsid w:val="00C50D0B"/>
    <w:rsid w:val="00C51903"/>
    <w:rsid w:val="00C529E8"/>
    <w:rsid w:val="00C52DEA"/>
    <w:rsid w:val="00C55942"/>
    <w:rsid w:val="00C55F95"/>
    <w:rsid w:val="00C615AA"/>
    <w:rsid w:val="00C627A3"/>
    <w:rsid w:val="00C6315C"/>
    <w:rsid w:val="00C6378F"/>
    <w:rsid w:val="00C63F21"/>
    <w:rsid w:val="00C64B1F"/>
    <w:rsid w:val="00C66A4D"/>
    <w:rsid w:val="00C7003B"/>
    <w:rsid w:val="00C70C64"/>
    <w:rsid w:val="00C7160C"/>
    <w:rsid w:val="00C719B2"/>
    <w:rsid w:val="00C74AC2"/>
    <w:rsid w:val="00C80F1F"/>
    <w:rsid w:val="00C8275A"/>
    <w:rsid w:val="00C841FB"/>
    <w:rsid w:val="00C92B02"/>
    <w:rsid w:val="00C92E89"/>
    <w:rsid w:val="00C93F66"/>
    <w:rsid w:val="00C95CA4"/>
    <w:rsid w:val="00CA17A3"/>
    <w:rsid w:val="00CA3521"/>
    <w:rsid w:val="00CA499B"/>
    <w:rsid w:val="00CA4E4F"/>
    <w:rsid w:val="00CA569A"/>
    <w:rsid w:val="00CA7509"/>
    <w:rsid w:val="00CA7C8C"/>
    <w:rsid w:val="00CA7EB4"/>
    <w:rsid w:val="00CB080E"/>
    <w:rsid w:val="00CB1B54"/>
    <w:rsid w:val="00CB5A6C"/>
    <w:rsid w:val="00CB7580"/>
    <w:rsid w:val="00CC3F7B"/>
    <w:rsid w:val="00CC4274"/>
    <w:rsid w:val="00CC6EB3"/>
    <w:rsid w:val="00CC7D51"/>
    <w:rsid w:val="00CD2986"/>
    <w:rsid w:val="00CD53B0"/>
    <w:rsid w:val="00CD635D"/>
    <w:rsid w:val="00CD6FF0"/>
    <w:rsid w:val="00CD7E1D"/>
    <w:rsid w:val="00CE006C"/>
    <w:rsid w:val="00CE2828"/>
    <w:rsid w:val="00CE2B13"/>
    <w:rsid w:val="00CE4944"/>
    <w:rsid w:val="00CE5571"/>
    <w:rsid w:val="00CF2E94"/>
    <w:rsid w:val="00CF3F93"/>
    <w:rsid w:val="00CF6F73"/>
    <w:rsid w:val="00CF75A7"/>
    <w:rsid w:val="00D00414"/>
    <w:rsid w:val="00D02EB1"/>
    <w:rsid w:val="00D05BB8"/>
    <w:rsid w:val="00D06C91"/>
    <w:rsid w:val="00D10136"/>
    <w:rsid w:val="00D11DB2"/>
    <w:rsid w:val="00D12215"/>
    <w:rsid w:val="00D14CEC"/>
    <w:rsid w:val="00D15D8C"/>
    <w:rsid w:val="00D1655B"/>
    <w:rsid w:val="00D16C61"/>
    <w:rsid w:val="00D2350F"/>
    <w:rsid w:val="00D23AC1"/>
    <w:rsid w:val="00D27AE3"/>
    <w:rsid w:val="00D33526"/>
    <w:rsid w:val="00D35752"/>
    <w:rsid w:val="00D359DE"/>
    <w:rsid w:val="00D35D2F"/>
    <w:rsid w:val="00D404F7"/>
    <w:rsid w:val="00D43121"/>
    <w:rsid w:val="00D43EF5"/>
    <w:rsid w:val="00D45DF4"/>
    <w:rsid w:val="00D502CA"/>
    <w:rsid w:val="00D51D62"/>
    <w:rsid w:val="00D5465F"/>
    <w:rsid w:val="00D56C7D"/>
    <w:rsid w:val="00D60331"/>
    <w:rsid w:val="00D6531A"/>
    <w:rsid w:val="00D6775D"/>
    <w:rsid w:val="00D67C75"/>
    <w:rsid w:val="00D712EB"/>
    <w:rsid w:val="00D72A9A"/>
    <w:rsid w:val="00D752EE"/>
    <w:rsid w:val="00D80397"/>
    <w:rsid w:val="00D822E0"/>
    <w:rsid w:val="00D83742"/>
    <w:rsid w:val="00D91E34"/>
    <w:rsid w:val="00D93D7D"/>
    <w:rsid w:val="00D94268"/>
    <w:rsid w:val="00D96ED0"/>
    <w:rsid w:val="00D97137"/>
    <w:rsid w:val="00DA0364"/>
    <w:rsid w:val="00DA3CCE"/>
    <w:rsid w:val="00DA4F3C"/>
    <w:rsid w:val="00DA552F"/>
    <w:rsid w:val="00DA567C"/>
    <w:rsid w:val="00DA5777"/>
    <w:rsid w:val="00DA6286"/>
    <w:rsid w:val="00DB00C9"/>
    <w:rsid w:val="00DB390C"/>
    <w:rsid w:val="00DB414B"/>
    <w:rsid w:val="00DC0266"/>
    <w:rsid w:val="00DC34B6"/>
    <w:rsid w:val="00DC44A3"/>
    <w:rsid w:val="00DD1F21"/>
    <w:rsid w:val="00DD6A4C"/>
    <w:rsid w:val="00DE0772"/>
    <w:rsid w:val="00DE1A4C"/>
    <w:rsid w:val="00DE48E3"/>
    <w:rsid w:val="00DE6653"/>
    <w:rsid w:val="00DE6764"/>
    <w:rsid w:val="00DF0B99"/>
    <w:rsid w:val="00DF382F"/>
    <w:rsid w:val="00DF45EF"/>
    <w:rsid w:val="00DF59FC"/>
    <w:rsid w:val="00DF6F9E"/>
    <w:rsid w:val="00E05031"/>
    <w:rsid w:val="00E069EE"/>
    <w:rsid w:val="00E06BD1"/>
    <w:rsid w:val="00E10661"/>
    <w:rsid w:val="00E10C5B"/>
    <w:rsid w:val="00E140C6"/>
    <w:rsid w:val="00E1733E"/>
    <w:rsid w:val="00E251B0"/>
    <w:rsid w:val="00E25802"/>
    <w:rsid w:val="00E2674C"/>
    <w:rsid w:val="00E273EB"/>
    <w:rsid w:val="00E27FD5"/>
    <w:rsid w:val="00E3400F"/>
    <w:rsid w:val="00E35CA2"/>
    <w:rsid w:val="00E365E6"/>
    <w:rsid w:val="00E36FB0"/>
    <w:rsid w:val="00E40EF4"/>
    <w:rsid w:val="00E41268"/>
    <w:rsid w:val="00E4167C"/>
    <w:rsid w:val="00E5049D"/>
    <w:rsid w:val="00E53989"/>
    <w:rsid w:val="00E54B3A"/>
    <w:rsid w:val="00E57774"/>
    <w:rsid w:val="00E60046"/>
    <w:rsid w:val="00E6134A"/>
    <w:rsid w:val="00E621D7"/>
    <w:rsid w:val="00E62717"/>
    <w:rsid w:val="00E65162"/>
    <w:rsid w:val="00E7057C"/>
    <w:rsid w:val="00E70A97"/>
    <w:rsid w:val="00E71F32"/>
    <w:rsid w:val="00E755B9"/>
    <w:rsid w:val="00E75845"/>
    <w:rsid w:val="00E75AC4"/>
    <w:rsid w:val="00E8349D"/>
    <w:rsid w:val="00E84D97"/>
    <w:rsid w:val="00E86248"/>
    <w:rsid w:val="00E87902"/>
    <w:rsid w:val="00E90F84"/>
    <w:rsid w:val="00E9249F"/>
    <w:rsid w:val="00E92D87"/>
    <w:rsid w:val="00E93947"/>
    <w:rsid w:val="00E95AFE"/>
    <w:rsid w:val="00E967B6"/>
    <w:rsid w:val="00E96CA6"/>
    <w:rsid w:val="00EA17AA"/>
    <w:rsid w:val="00EA3BCE"/>
    <w:rsid w:val="00EA4E99"/>
    <w:rsid w:val="00EA6218"/>
    <w:rsid w:val="00EA634A"/>
    <w:rsid w:val="00EB7083"/>
    <w:rsid w:val="00EC0EA0"/>
    <w:rsid w:val="00EC3D52"/>
    <w:rsid w:val="00ED0FA6"/>
    <w:rsid w:val="00ED68E0"/>
    <w:rsid w:val="00ED7488"/>
    <w:rsid w:val="00EE5757"/>
    <w:rsid w:val="00EF038D"/>
    <w:rsid w:val="00EF2B5B"/>
    <w:rsid w:val="00F0042C"/>
    <w:rsid w:val="00F02A8D"/>
    <w:rsid w:val="00F03A92"/>
    <w:rsid w:val="00F04044"/>
    <w:rsid w:val="00F06C36"/>
    <w:rsid w:val="00F06E28"/>
    <w:rsid w:val="00F078DD"/>
    <w:rsid w:val="00F15E2E"/>
    <w:rsid w:val="00F16FD8"/>
    <w:rsid w:val="00F20473"/>
    <w:rsid w:val="00F207E0"/>
    <w:rsid w:val="00F22998"/>
    <w:rsid w:val="00F22AEE"/>
    <w:rsid w:val="00F24A3E"/>
    <w:rsid w:val="00F321FF"/>
    <w:rsid w:val="00F32708"/>
    <w:rsid w:val="00F37E08"/>
    <w:rsid w:val="00F4063E"/>
    <w:rsid w:val="00F40D18"/>
    <w:rsid w:val="00F42703"/>
    <w:rsid w:val="00F45A16"/>
    <w:rsid w:val="00F52396"/>
    <w:rsid w:val="00F53610"/>
    <w:rsid w:val="00F56142"/>
    <w:rsid w:val="00F6095F"/>
    <w:rsid w:val="00F67E29"/>
    <w:rsid w:val="00F73918"/>
    <w:rsid w:val="00F764AF"/>
    <w:rsid w:val="00F768EC"/>
    <w:rsid w:val="00F7770A"/>
    <w:rsid w:val="00F778E9"/>
    <w:rsid w:val="00F8142C"/>
    <w:rsid w:val="00F83CA1"/>
    <w:rsid w:val="00F8707C"/>
    <w:rsid w:val="00F908B9"/>
    <w:rsid w:val="00F91619"/>
    <w:rsid w:val="00F919FC"/>
    <w:rsid w:val="00F979EB"/>
    <w:rsid w:val="00FA1E03"/>
    <w:rsid w:val="00FA343D"/>
    <w:rsid w:val="00FB1A27"/>
    <w:rsid w:val="00FB3B58"/>
    <w:rsid w:val="00FB66DC"/>
    <w:rsid w:val="00FB76B5"/>
    <w:rsid w:val="00FB7B0F"/>
    <w:rsid w:val="00FC0EE8"/>
    <w:rsid w:val="00FC20FE"/>
    <w:rsid w:val="00FC4D9B"/>
    <w:rsid w:val="00FC4F38"/>
    <w:rsid w:val="00FC5DFF"/>
    <w:rsid w:val="00FC7480"/>
    <w:rsid w:val="00FD1DE6"/>
    <w:rsid w:val="00FD2654"/>
    <w:rsid w:val="00FD2A72"/>
    <w:rsid w:val="00FD5923"/>
    <w:rsid w:val="00FD7B17"/>
    <w:rsid w:val="00FE06DF"/>
    <w:rsid w:val="00FE1FD8"/>
    <w:rsid w:val="00FE49B3"/>
    <w:rsid w:val="00FE583E"/>
    <w:rsid w:val="00FE6ACA"/>
    <w:rsid w:val="00FE6CEC"/>
    <w:rsid w:val="00FF1003"/>
    <w:rsid w:val="00FF307D"/>
    <w:rsid w:val="00FF6DA5"/>
    <w:rsid w:val="00FF781C"/>
  </w:rsids>
  <m:mathPr>
    <m:mathFont m:val="Cambria Math"/>
    <m:brkBin m:val="before"/>
    <m:brkBinSub m:val="--"/>
    <m:smallFrac m:val="0"/>
    <m:dispDef/>
    <m:lMargin m:val="0"/>
    <m:rMargin m:val="0"/>
    <m:defJc m:val="centerGroup"/>
    <m:wrapIndent m:val="1440"/>
    <m:intLim m:val="subSup"/>
    <m:naryLim m:val="undOvr"/>
  </m:mathPr>
  <w:themeFontLang w:val="fr-CA"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2"/>
    </o:shapelayout>
  </w:shapeDefaults>
  <w:decimalSymbol w:val=","/>
  <w:listSeparator w:val=";"/>
  <w14:docId w14:val="61239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szCs w:val="24"/>
      <w:lang w:eastAsia="fr-FR"/>
    </w:rPr>
  </w:style>
  <w:style w:type="paragraph" w:styleId="Titre1">
    <w:name w:val="heading 1"/>
    <w:basedOn w:val="Normal"/>
    <w:next w:val="Paragraphe"/>
    <w:qFormat/>
    <w:pPr>
      <w:keepNext/>
      <w:spacing w:before="240" w:after="60"/>
      <w:outlineLvl w:val="0"/>
    </w:pPr>
    <w:rPr>
      <w:rFonts w:cs="Arial"/>
      <w:b/>
      <w:bCs/>
      <w:caps/>
      <w:kern w:val="32"/>
      <w:szCs w:val="32"/>
    </w:rPr>
  </w:style>
  <w:style w:type="paragraph" w:styleId="Titre2">
    <w:name w:val="heading 2"/>
    <w:basedOn w:val="Normal"/>
    <w:next w:val="Paragraphe"/>
    <w:qFormat/>
    <w:pPr>
      <w:keepNext/>
      <w:spacing w:before="240" w:after="60"/>
      <w:outlineLvl w:val="1"/>
    </w:pPr>
    <w:rPr>
      <w:rFonts w:cs="Arial"/>
      <w:b/>
      <w:bCs/>
      <w:i/>
      <w:iCs/>
      <w:szCs w:val="28"/>
    </w:rPr>
  </w:style>
  <w:style w:type="paragraph" w:styleId="Titre3">
    <w:name w:val="heading 3"/>
    <w:basedOn w:val="Normal"/>
    <w:next w:val="Paragraphe"/>
    <w:qFormat/>
    <w:pPr>
      <w:keepNext/>
      <w:spacing w:before="240" w:after="60"/>
      <w:outlineLvl w:val="2"/>
    </w:pPr>
    <w:rPr>
      <w:rFonts w:cs="Arial"/>
      <w:bCs/>
      <w:i/>
      <w:szCs w:val="26"/>
    </w:rPr>
  </w:style>
  <w:style w:type="paragraph" w:styleId="Titre4">
    <w:name w:val="heading 4"/>
    <w:basedOn w:val="Normal"/>
    <w:next w:val="Paragraphe"/>
    <w:qFormat/>
    <w:pPr>
      <w:keepNext/>
      <w:spacing w:before="240" w:after="60"/>
      <w:outlineLvl w:val="3"/>
    </w:pPr>
    <w:rPr>
      <w:bCs/>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Paragraphe">
    <w:name w:val="Paragraphe"/>
    <w:basedOn w:val="Normal"/>
    <w:link w:val="ParagrapheCar"/>
    <w:pPr>
      <w:numPr>
        <w:numId w:val="2"/>
      </w:numPr>
      <w:spacing w:before="160" w:after="160"/>
      <w:ind w:left="0" w:firstLine="0"/>
      <w:jc w:val="both"/>
    </w:pPr>
    <w:rPr>
      <w:kern w:val="28"/>
      <w:szCs w:val="20"/>
    </w:rPr>
  </w:style>
  <w:style w:type="paragraph" w:customStyle="1" w:styleId="zSoquijlblCour">
    <w:name w:val="zSoquij_lblCour"/>
    <w:basedOn w:val="Normal"/>
    <w:pPr>
      <w:jc w:val="center"/>
    </w:pPr>
    <w:rPr>
      <w:b/>
      <w:sz w:val="36"/>
      <w:szCs w:val="20"/>
    </w:rPr>
  </w:style>
  <w:style w:type="paragraph" w:customStyle="1" w:styleId="zSoquijdatDivision">
    <w:name w:val="zSoquij_datDivision"/>
    <w:basedOn w:val="Normal"/>
    <w:pPr>
      <w:jc w:val="center"/>
    </w:pPr>
    <w:rPr>
      <w:sz w:val="22"/>
      <w:szCs w:val="20"/>
    </w:rPr>
  </w:style>
  <w:style w:type="paragraph" w:customStyle="1" w:styleId="zSoquijlblNoDossier">
    <w:name w:val="zSoquij_lblNoDossier"/>
    <w:basedOn w:val="Normal"/>
    <w:rPr>
      <w:szCs w:val="20"/>
    </w:rPr>
  </w:style>
  <w:style w:type="paragraph" w:customStyle="1" w:styleId="zSoquijdatNoDossier">
    <w:name w:val="zSoquij_datNoDossier"/>
    <w:basedOn w:val="Normal"/>
    <w:rPr>
      <w:szCs w:val="20"/>
    </w:rPr>
  </w:style>
  <w:style w:type="paragraph" w:customStyle="1" w:styleId="zSoquijdatDateJugement">
    <w:name w:val="zSoquij_datDateJugement"/>
    <w:basedOn w:val="Normal"/>
    <w:rPr>
      <w:szCs w:val="20"/>
    </w:rPr>
  </w:style>
  <w:style w:type="paragraph" w:customStyle="1" w:styleId="zSoquijlblDateJugement">
    <w:name w:val="zSoquij_lblDateJugement"/>
    <w:basedOn w:val="Normal"/>
    <w:rPr>
      <w:szCs w:val="20"/>
    </w:rPr>
  </w:style>
  <w:style w:type="paragraph" w:customStyle="1" w:styleId="zSoquijlblJuge">
    <w:name w:val="zSoquij_lblJuge"/>
    <w:basedOn w:val="Normal"/>
    <w:pPr>
      <w:ind w:left="70"/>
    </w:pPr>
    <w:rPr>
      <w:b/>
      <w:szCs w:val="20"/>
    </w:rPr>
  </w:style>
  <w:style w:type="paragraph" w:customStyle="1" w:styleId="zSoquijdatJuge">
    <w:name w:val="zSoquij_datJuge"/>
    <w:basedOn w:val="Normal"/>
    <w:pPr>
      <w:ind w:left="52"/>
    </w:pPr>
    <w:rPr>
      <w:b/>
      <w:szCs w:val="20"/>
    </w:rPr>
  </w:style>
  <w:style w:type="paragraph" w:customStyle="1" w:styleId="zSoquijdatNomPartieDem">
    <w:name w:val="zSoquij_datNomPartieDem"/>
    <w:basedOn w:val="Normal"/>
    <w:rPr>
      <w:b/>
      <w:bCs/>
      <w:szCs w:val="20"/>
    </w:rPr>
  </w:style>
  <w:style w:type="paragraph" w:customStyle="1" w:styleId="zSoquijdatQtePartieDem">
    <w:name w:val="zSoquij_datQtePartieDem"/>
    <w:basedOn w:val="Normal"/>
    <w:pPr>
      <w:ind w:left="708"/>
    </w:pPr>
    <w:rPr>
      <w:szCs w:val="20"/>
    </w:rPr>
  </w:style>
  <w:style w:type="paragraph" w:customStyle="1" w:styleId="zSoquijlblLienParties">
    <w:name w:val="zSoquij_lblLienParties"/>
    <w:basedOn w:val="Normal"/>
    <w:rPr>
      <w:szCs w:val="20"/>
    </w:rPr>
  </w:style>
  <w:style w:type="paragraph" w:customStyle="1" w:styleId="zSoquijdatNomPartieDef">
    <w:name w:val="zSoquij_datNomPartieDef"/>
    <w:basedOn w:val="Normal"/>
    <w:rPr>
      <w:b/>
      <w:bCs/>
      <w:szCs w:val="20"/>
    </w:rPr>
  </w:style>
  <w:style w:type="paragraph" w:customStyle="1" w:styleId="zSoquijdatQtePartieDef">
    <w:name w:val="zSoquij_datQtePartieDef"/>
    <w:basedOn w:val="Normal"/>
    <w:pPr>
      <w:ind w:left="708"/>
    </w:pPr>
    <w:rPr>
      <w:szCs w:val="20"/>
    </w:rPr>
  </w:style>
  <w:style w:type="paragraph" w:customStyle="1" w:styleId="zSoquijlblTypeDocument">
    <w:name w:val="zSoquij_lblTypeDocument"/>
    <w:basedOn w:val="Normal"/>
    <w:pPr>
      <w:jc w:val="center"/>
    </w:pPr>
    <w:rPr>
      <w:b/>
      <w:szCs w:val="20"/>
    </w:rPr>
  </w:style>
  <w:style w:type="paragraph" w:customStyle="1" w:styleId="zSoquijlblProcureurDem">
    <w:name w:val="zSoquij_lblProcureurDem"/>
    <w:basedOn w:val="Normal"/>
    <w:rPr>
      <w:szCs w:val="20"/>
    </w:rPr>
  </w:style>
  <w:style w:type="paragraph" w:customStyle="1" w:styleId="zSoquijlblProcureurDef">
    <w:name w:val="zSoquij_lblProcureurDef"/>
    <w:basedOn w:val="Normal"/>
    <w:rPr>
      <w:szCs w:val="20"/>
    </w:rPr>
  </w:style>
  <w:style w:type="paragraph" w:customStyle="1" w:styleId="zSoquijlblDateAudience">
    <w:name w:val="zSoquij_lblDateAudience"/>
    <w:basedOn w:val="Normal"/>
    <w:rPr>
      <w:szCs w:val="20"/>
    </w:rPr>
  </w:style>
  <w:style w:type="paragraph" w:customStyle="1" w:styleId="zSoquijdatDateAudience">
    <w:name w:val="zSoquij_datDateAudience"/>
    <w:basedOn w:val="Normal"/>
    <w:rPr>
      <w:szCs w:val="20"/>
    </w:rPr>
  </w:style>
  <w:style w:type="paragraph" w:customStyle="1" w:styleId="zSoquijlblNomChambre">
    <w:name w:val="zSoquij_lblNomChambre"/>
    <w:basedOn w:val="Normal"/>
    <w:rPr>
      <w:szCs w:val="20"/>
    </w:rPr>
  </w:style>
  <w:style w:type="paragraph" w:customStyle="1" w:styleId="zSoquijlblTitrePartie">
    <w:name w:val="zSoquij_lblTitrePartie"/>
    <w:basedOn w:val="Normal"/>
    <w:rPr>
      <w:szCs w:val="20"/>
    </w:rPr>
  </w:style>
  <w:style w:type="paragraph" w:customStyle="1" w:styleId="zSoquijdatSignature3Juge">
    <w:name w:val="zSoquij_datSignature3Juge"/>
    <w:basedOn w:val="Normal"/>
    <w:rPr>
      <w:szCs w:val="20"/>
    </w:rPr>
  </w:style>
  <w:style w:type="paragraph" w:customStyle="1" w:styleId="zSoquijdatIdJuge">
    <w:name w:val="zSoquij_datIdJuge"/>
    <w:basedOn w:val="Normal"/>
    <w:pPr>
      <w:jc w:val="center"/>
    </w:pPr>
    <w:rPr>
      <w:sz w:val="20"/>
      <w:szCs w:val="20"/>
    </w:rPr>
  </w:style>
  <w:style w:type="paragraph" w:customStyle="1" w:styleId="zSoquijdatNomProcureurDem">
    <w:name w:val="zSoquij_datNomProcureurDem"/>
    <w:basedOn w:val="zSoquijlblProcureurDem"/>
  </w:style>
  <w:style w:type="paragraph" w:customStyle="1" w:styleId="zSoquijdatNomProcureurDef">
    <w:name w:val="zSoquij_datNomProcureurDef"/>
    <w:basedOn w:val="zSoquijlblProcureurDef"/>
  </w:style>
  <w:style w:type="paragraph" w:customStyle="1" w:styleId="zSoquijdatCabinetProcureurDem">
    <w:name w:val="zSoquij_datCabinetProcureurDem"/>
    <w:basedOn w:val="Normal"/>
    <w:rPr>
      <w:szCs w:val="20"/>
    </w:rPr>
  </w:style>
  <w:style w:type="paragraph" w:customStyle="1" w:styleId="zSoquijdatCabinetProcureurDef">
    <w:name w:val="zSoquij_datCabinetProcureurDef"/>
    <w:basedOn w:val="zSoquijlblProcureurDef"/>
  </w:style>
  <w:style w:type="paragraph" w:customStyle="1" w:styleId="zSoquijlblAssesseurs">
    <w:name w:val="zSoquij_lblAssesseurs"/>
    <w:basedOn w:val="Normal"/>
    <w:pPr>
      <w:ind w:left="14" w:right="-67"/>
    </w:pPr>
    <w:rPr>
      <w:szCs w:val="20"/>
    </w:rPr>
  </w:style>
  <w:style w:type="paragraph" w:customStyle="1" w:styleId="ParagConclusion">
    <w:name w:val="ParagConclusion"/>
    <w:basedOn w:val="Normal"/>
    <w:pPr>
      <w:spacing w:before="160" w:after="160"/>
      <w:ind w:left="2448" w:hanging="2448"/>
    </w:pPr>
  </w:style>
  <w:style w:type="paragraph" w:customStyle="1" w:styleId="zSoquijdatRefNeutre">
    <w:name w:val="zSoquij_datRefNeutre"/>
    <w:basedOn w:val="zSoquijdatJuge"/>
    <w:rPr>
      <w:sz w:val="22"/>
    </w:rPr>
  </w:style>
  <w:style w:type="paragraph" w:customStyle="1" w:styleId="zSoquijlblCas">
    <w:name w:val="zSoquij_lblCas"/>
    <w:basedOn w:val="zSoquijlblNoDossier"/>
  </w:style>
  <w:style w:type="paragraph" w:customStyle="1" w:styleId="zSoquijdatNoCas">
    <w:name w:val="zSoquij_datNoCas"/>
    <w:basedOn w:val="zSoquijdatNoDossier"/>
  </w:style>
  <w:style w:type="paragraph" w:customStyle="1" w:styleId="zSoquijlblRefNeutre">
    <w:name w:val="zSoquij_lblRefNeutre"/>
    <w:basedOn w:val="zSoquijlblCas"/>
  </w:style>
  <w:style w:type="paragraph" w:customStyle="1" w:styleId="Dispositif">
    <w:name w:val="Dispositif"/>
    <w:basedOn w:val="Normal"/>
    <w:pPr>
      <w:tabs>
        <w:tab w:val="left" w:pos="5760"/>
      </w:tabs>
      <w:spacing w:before="840" w:after="480"/>
      <w:jc w:val="both"/>
    </w:pPr>
    <w:rPr>
      <w:b/>
      <w:szCs w:val="20"/>
    </w:rPr>
  </w:style>
  <w:style w:type="paragraph" w:styleId="En-tte">
    <w:name w:val="header"/>
    <w:basedOn w:val="Normal"/>
    <w:pPr>
      <w:tabs>
        <w:tab w:val="center" w:pos="4536"/>
        <w:tab w:val="right" w:pos="9072"/>
      </w:tabs>
    </w:pPr>
  </w:style>
  <w:style w:type="paragraph" w:styleId="Pieddepage">
    <w:name w:val="footer"/>
    <w:basedOn w:val="Normal"/>
    <w:pPr>
      <w:tabs>
        <w:tab w:val="center" w:pos="4536"/>
        <w:tab w:val="right" w:pos="9072"/>
      </w:tabs>
    </w:pPr>
  </w:style>
  <w:style w:type="character" w:styleId="Appelnotedebasdep">
    <w:name w:val="footnote reference"/>
    <w:semiHidden/>
    <w:rPr>
      <w:noProof w:val="0"/>
      <w:vertAlign w:val="superscript"/>
      <w:lang w:val="fr-CA"/>
    </w:rPr>
  </w:style>
  <w:style w:type="paragraph" w:customStyle="1" w:styleId="ParagAlaMarge">
    <w:name w:val="ParagAlaMarge"/>
    <w:basedOn w:val="Paragraphe"/>
    <w:pPr>
      <w:numPr>
        <w:numId w:val="0"/>
      </w:numPr>
    </w:pPr>
  </w:style>
  <w:style w:type="paragraph" w:customStyle="1" w:styleId="ParagNonNum">
    <w:name w:val="ParagNonNum"/>
    <w:basedOn w:val="Paragraphe"/>
    <w:pPr>
      <w:numPr>
        <w:numId w:val="0"/>
      </w:numPr>
      <w:ind w:firstLine="720"/>
    </w:pPr>
  </w:style>
  <w:style w:type="paragraph" w:customStyle="1" w:styleId="Citationenretrait">
    <w:name w:val="Citation en retrait"/>
    <w:basedOn w:val="Normal"/>
    <w:pPr>
      <w:spacing w:before="120" w:after="120"/>
      <w:ind w:left="720" w:right="720"/>
      <w:jc w:val="both"/>
    </w:pPr>
    <w:rPr>
      <w:kern w:val="24"/>
      <w:sz w:val="22"/>
      <w:szCs w:val="20"/>
    </w:rPr>
  </w:style>
  <w:style w:type="paragraph" w:customStyle="1" w:styleId="Citationendoubleretrait">
    <w:name w:val="Citation en double retrait"/>
    <w:basedOn w:val="Citationenretrait"/>
    <w:pPr>
      <w:ind w:left="1440" w:right="1440"/>
    </w:pPr>
  </w:style>
  <w:style w:type="character" w:customStyle="1" w:styleId="Citationintgre">
    <w:name w:val="Citation intégrée"/>
    <w:rPr>
      <w:rFonts w:ascii="Arial" w:hAnsi="Arial"/>
      <w:i/>
      <w:noProof w:val="0"/>
      <w:sz w:val="22"/>
      <w:lang w:val="fr-CA"/>
    </w:rPr>
  </w:style>
  <w:style w:type="paragraph" w:styleId="Notedebasdepage">
    <w:name w:val="footnote text"/>
    <w:basedOn w:val="Normal"/>
    <w:semiHidden/>
    <w:pPr>
      <w:ind w:left="360" w:hanging="360"/>
      <w:jc w:val="both"/>
    </w:pPr>
    <w:rPr>
      <w:sz w:val="20"/>
      <w:szCs w:val="20"/>
    </w:rPr>
  </w:style>
  <w:style w:type="paragraph" w:customStyle="1" w:styleId="Sous-paragraphe">
    <w:name w:val="Sous-paragraphe"/>
    <w:basedOn w:val="Normal"/>
    <w:pPr>
      <w:numPr>
        <w:ilvl w:val="1"/>
        <w:numId w:val="2"/>
      </w:numPr>
      <w:tabs>
        <w:tab w:val="clear" w:pos="2208"/>
        <w:tab w:val="num" w:pos="360"/>
        <w:tab w:val="num" w:pos="792"/>
      </w:tabs>
      <w:spacing w:before="120" w:after="120"/>
      <w:ind w:left="792" w:firstLine="0"/>
    </w:pPr>
  </w:style>
  <w:style w:type="paragraph" w:customStyle="1" w:styleId="zSoquijdatRepertorie">
    <w:name w:val="zSoquij_datRepertorie"/>
    <w:basedOn w:val="Normal"/>
    <w:rPr>
      <w:b/>
      <w:noProof/>
      <w:sz w:val="22"/>
      <w:szCs w:val="20"/>
    </w:rPr>
  </w:style>
  <w:style w:type="paragraph" w:customStyle="1" w:styleId="zSoquijlblNomPartieDem">
    <w:name w:val="zSoquij_lblNomPartieDem"/>
    <w:basedOn w:val="zSoquijdatNomPartieDem"/>
  </w:style>
  <w:style w:type="paragraph" w:customStyle="1" w:styleId="zSoquijlblNomPartieDef">
    <w:name w:val="zSoquij_lblNomPartieDef"/>
    <w:basedOn w:val="zSoquijdatNomPartieDef"/>
  </w:style>
  <w:style w:type="paragraph" w:customStyle="1" w:styleId="zSoquijlblObjet">
    <w:name w:val="zSoquij_lblObjet"/>
    <w:basedOn w:val="zSoquijdatNomPartieDem"/>
  </w:style>
  <w:style w:type="paragraph" w:customStyle="1" w:styleId="zSoquijDatObjet">
    <w:name w:val="zSoquij_DatObjet"/>
    <w:basedOn w:val="zSoquijlblObjet"/>
  </w:style>
  <w:style w:type="paragraph" w:styleId="Textedebulles">
    <w:name w:val="Balloon Text"/>
    <w:basedOn w:val="Normal"/>
    <w:semiHidden/>
    <w:rPr>
      <w:rFonts w:ascii="Tahoma" w:hAnsi="Tahoma" w:cs="Tahoma"/>
      <w:sz w:val="16"/>
      <w:szCs w:val="16"/>
    </w:rPr>
  </w:style>
  <w:style w:type="paragraph" w:customStyle="1" w:styleId="zSoquijdatGreffe">
    <w:name w:val="zSoquij_datGreffe"/>
    <w:basedOn w:val="zSoquijdatDivision"/>
    <w:qFormat/>
    <w:rsid w:val="00B326AF"/>
    <w:rPr>
      <w:b/>
      <w:szCs w:val="22"/>
    </w:rPr>
  </w:style>
  <w:style w:type="character" w:styleId="Marquedecommentaire">
    <w:name w:val="annotation reference"/>
    <w:basedOn w:val="Policepardfaut"/>
    <w:uiPriority w:val="99"/>
    <w:semiHidden/>
    <w:unhideWhenUsed/>
    <w:rsid w:val="00D91E34"/>
    <w:rPr>
      <w:sz w:val="16"/>
      <w:szCs w:val="16"/>
    </w:rPr>
  </w:style>
  <w:style w:type="paragraph" w:styleId="Commentaire">
    <w:name w:val="annotation text"/>
    <w:basedOn w:val="Normal"/>
    <w:link w:val="CommentaireCar"/>
    <w:uiPriority w:val="99"/>
    <w:semiHidden/>
    <w:unhideWhenUsed/>
    <w:rsid w:val="00D91E34"/>
    <w:rPr>
      <w:sz w:val="20"/>
      <w:szCs w:val="20"/>
    </w:rPr>
  </w:style>
  <w:style w:type="character" w:customStyle="1" w:styleId="CommentaireCar">
    <w:name w:val="Commentaire Car"/>
    <w:basedOn w:val="Policepardfaut"/>
    <w:link w:val="Commentaire"/>
    <w:uiPriority w:val="99"/>
    <w:semiHidden/>
    <w:rsid w:val="00D91E34"/>
    <w:rPr>
      <w:rFonts w:ascii="Arial" w:hAnsi="Arial"/>
      <w:lang w:eastAsia="fr-FR"/>
    </w:rPr>
  </w:style>
  <w:style w:type="character" w:styleId="Lienhypertexte">
    <w:name w:val="Hyperlink"/>
    <w:basedOn w:val="Policepardfaut"/>
    <w:unhideWhenUsed/>
    <w:rsid w:val="00063596"/>
    <w:rPr>
      <w:color w:val="0563C1" w:themeColor="hyperlink"/>
      <w:u w:val="single"/>
    </w:rPr>
  </w:style>
  <w:style w:type="character" w:customStyle="1" w:styleId="Mentionnonrsolue1">
    <w:name w:val="Mention non résolue1"/>
    <w:basedOn w:val="Policepardfaut"/>
    <w:uiPriority w:val="99"/>
    <w:semiHidden/>
    <w:unhideWhenUsed/>
    <w:rsid w:val="00063596"/>
    <w:rPr>
      <w:color w:val="605E5C"/>
      <w:shd w:val="clear" w:color="auto" w:fill="E1DFDD"/>
    </w:rPr>
  </w:style>
  <w:style w:type="paragraph" w:styleId="Objetducommentaire">
    <w:name w:val="annotation subject"/>
    <w:basedOn w:val="Commentaire"/>
    <w:next w:val="Commentaire"/>
    <w:link w:val="ObjetducommentaireCar"/>
    <w:semiHidden/>
    <w:unhideWhenUsed/>
    <w:rsid w:val="00093999"/>
    <w:rPr>
      <w:b/>
      <w:bCs/>
    </w:rPr>
  </w:style>
  <w:style w:type="character" w:customStyle="1" w:styleId="ObjetducommentaireCar">
    <w:name w:val="Objet du commentaire Car"/>
    <w:basedOn w:val="CommentaireCar"/>
    <w:link w:val="Objetducommentaire"/>
    <w:semiHidden/>
    <w:rsid w:val="00093999"/>
    <w:rPr>
      <w:rFonts w:ascii="Arial" w:hAnsi="Arial"/>
      <w:b/>
      <w:bCs/>
      <w:lang w:eastAsia="fr-FR"/>
    </w:rPr>
  </w:style>
  <w:style w:type="character" w:customStyle="1" w:styleId="label-section">
    <w:name w:val="label-section"/>
    <w:basedOn w:val="Policepardfaut"/>
    <w:rsid w:val="00093999"/>
  </w:style>
  <w:style w:type="character" w:customStyle="1" w:styleId="subsection">
    <w:name w:val="subsection"/>
    <w:basedOn w:val="Policepardfaut"/>
    <w:rsid w:val="00093999"/>
  </w:style>
  <w:style w:type="paragraph" w:customStyle="1" w:styleId="citationenretrait0">
    <w:name w:val="citationenretrait"/>
    <w:basedOn w:val="Normal"/>
    <w:rsid w:val="004D21F4"/>
    <w:pPr>
      <w:spacing w:before="100" w:beforeAutospacing="1" w:after="100" w:afterAutospacing="1"/>
    </w:pPr>
    <w:rPr>
      <w:rFonts w:ascii="Times New Roman" w:hAnsi="Times New Roman"/>
      <w:lang w:eastAsia="fr-CA"/>
    </w:rPr>
  </w:style>
  <w:style w:type="character" w:customStyle="1" w:styleId="reflex2-link">
    <w:name w:val="reflex2-link"/>
    <w:basedOn w:val="Policepardfaut"/>
    <w:rsid w:val="004D21F4"/>
  </w:style>
  <w:style w:type="paragraph" w:customStyle="1" w:styleId="paragraphe0">
    <w:name w:val="paragraphe"/>
    <w:basedOn w:val="Normal"/>
    <w:rsid w:val="00F02A8D"/>
    <w:pPr>
      <w:spacing w:before="100" w:beforeAutospacing="1" w:after="100" w:afterAutospacing="1"/>
    </w:pPr>
    <w:rPr>
      <w:rFonts w:ascii="Times New Roman" w:hAnsi="Times New Roman"/>
      <w:lang w:eastAsia="fr-CA"/>
    </w:rPr>
  </w:style>
  <w:style w:type="paragraph" w:customStyle="1" w:styleId="sous-paragraphe0">
    <w:name w:val="sous-paragraphe"/>
    <w:basedOn w:val="Normal"/>
    <w:rsid w:val="00F02A8D"/>
    <w:pPr>
      <w:spacing w:before="100" w:beforeAutospacing="1" w:after="100" w:afterAutospacing="1"/>
    </w:pPr>
    <w:rPr>
      <w:rFonts w:ascii="Times New Roman" w:hAnsi="Times New Roman"/>
      <w:lang w:eastAsia="fr-CA"/>
    </w:rPr>
  </w:style>
  <w:style w:type="character" w:customStyle="1" w:styleId="ParagrapheCar">
    <w:name w:val="Paragraphe Car"/>
    <w:link w:val="Paragraphe"/>
    <w:rsid w:val="004103B1"/>
    <w:rPr>
      <w:rFonts w:ascii="Arial" w:hAnsi="Arial"/>
      <w:kern w:val="28"/>
      <w:sz w:val="24"/>
      <w:lang w:eastAsia="fr-FR"/>
    </w:rPr>
  </w:style>
  <w:style w:type="paragraph" w:customStyle="1" w:styleId="corpsdedcision">
    <w:name w:val="corps de décision"/>
    <w:basedOn w:val="Normal"/>
    <w:rsid w:val="000968C0"/>
    <w:pPr>
      <w:numPr>
        <w:numId w:val="13"/>
      </w:numPr>
      <w:tabs>
        <w:tab w:val="left" w:pos="720"/>
      </w:tabs>
      <w:spacing w:after="360"/>
      <w:jc w:val="both"/>
    </w:pPr>
    <w:rPr>
      <w:szCs w:val="20"/>
      <w:lang w:eastAsia="fr-CA"/>
    </w:rPr>
  </w:style>
  <w:style w:type="paragraph" w:customStyle="1" w:styleId="corpsdedcision0">
    <w:name w:val="corpsdedcision"/>
    <w:basedOn w:val="Normal"/>
    <w:rsid w:val="00963A70"/>
    <w:pPr>
      <w:spacing w:before="100" w:beforeAutospacing="1" w:after="100" w:afterAutospacing="1"/>
    </w:pPr>
    <w:rPr>
      <w:rFonts w:ascii="Times New Roman" w:hAnsi="Times New Roman"/>
      <w:lang w:eastAsia="fr-CA"/>
    </w:rPr>
  </w:style>
  <w:style w:type="character" w:customStyle="1" w:styleId="reflex">
    <w:name w:val="reflex"/>
    <w:basedOn w:val="Policepardfaut"/>
    <w:rsid w:val="00963A70"/>
  </w:style>
  <w:style w:type="paragraph" w:customStyle="1" w:styleId="citation">
    <w:name w:val="citation"/>
    <w:basedOn w:val="Normal"/>
    <w:rsid w:val="00963A70"/>
    <w:pPr>
      <w:spacing w:before="100" w:beforeAutospacing="1" w:after="100" w:afterAutospacing="1"/>
    </w:pPr>
    <w:rPr>
      <w:rFonts w:ascii="Times New Roman" w:hAnsi="Times New Roman"/>
      <w:lang w:eastAsia="fr-CA"/>
    </w:rPr>
  </w:style>
  <w:style w:type="character" w:customStyle="1" w:styleId="citationintgre0">
    <w:name w:val="citationintgre"/>
    <w:basedOn w:val="Policepardfaut"/>
    <w:rsid w:val="00963A70"/>
  </w:style>
  <w:style w:type="paragraph" w:customStyle="1" w:styleId="paragconclusion0">
    <w:name w:val="paragconclusion"/>
    <w:basedOn w:val="Normal"/>
    <w:rsid w:val="00090853"/>
    <w:pPr>
      <w:spacing w:before="100" w:beforeAutospacing="1" w:after="100" w:afterAutospacing="1"/>
    </w:pPr>
    <w:rPr>
      <w:rFonts w:ascii="Times New Roman" w:hAnsi="Times New Roman"/>
      <w:lang w:eastAsia="fr-CA"/>
    </w:rPr>
  </w:style>
  <w:style w:type="character" w:customStyle="1" w:styleId="solexhl">
    <w:name w:val="solexhl"/>
    <w:basedOn w:val="Policepardfaut"/>
    <w:rsid w:val="006629B1"/>
  </w:style>
  <w:style w:type="paragraph" w:styleId="Paragraphedeliste">
    <w:name w:val="List Paragraph"/>
    <w:basedOn w:val="Normal"/>
    <w:uiPriority w:val="34"/>
    <w:qFormat/>
    <w:rsid w:val="0064120E"/>
    <w:pPr>
      <w:ind w:left="720"/>
      <w:contextualSpacing/>
    </w:pPr>
  </w:style>
  <w:style w:type="character" w:customStyle="1" w:styleId="reflex3-block">
    <w:name w:val="reflex3-block"/>
    <w:basedOn w:val="Policepardfaut"/>
    <w:rsid w:val="007239DF"/>
  </w:style>
  <w:style w:type="character" w:customStyle="1" w:styleId="paragraphecar0">
    <w:name w:val="paragraphecar"/>
    <w:basedOn w:val="Policepardfaut"/>
    <w:rsid w:val="0055246B"/>
  </w:style>
  <w:style w:type="paragraph" w:customStyle="1" w:styleId="articlesdelalatmp">
    <w:name w:val="articlesdelalatmp"/>
    <w:basedOn w:val="Normal"/>
    <w:rsid w:val="0055246B"/>
    <w:pPr>
      <w:spacing w:before="100" w:beforeAutospacing="1" w:after="100" w:afterAutospacing="1"/>
    </w:pPr>
    <w:rPr>
      <w:rFonts w:ascii="Times New Roman" w:hAnsi="Times New Roman"/>
      <w:lang w:eastAsia="fr-CA"/>
    </w:rPr>
  </w:style>
  <w:style w:type="character" w:customStyle="1" w:styleId="apple-converted-space">
    <w:name w:val="apple-converted-space"/>
    <w:basedOn w:val="Policepardfaut"/>
    <w:rsid w:val="005524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85316">
      <w:bodyDiv w:val="1"/>
      <w:marLeft w:val="0"/>
      <w:marRight w:val="0"/>
      <w:marTop w:val="0"/>
      <w:marBottom w:val="0"/>
      <w:divBdr>
        <w:top w:val="none" w:sz="0" w:space="0" w:color="auto"/>
        <w:left w:val="none" w:sz="0" w:space="0" w:color="auto"/>
        <w:bottom w:val="none" w:sz="0" w:space="0" w:color="auto"/>
        <w:right w:val="none" w:sz="0" w:space="0" w:color="auto"/>
      </w:divBdr>
      <w:divsChild>
        <w:div w:id="1676301687">
          <w:marLeft w:val="0"/>
          <w:marRight w:val="0"/>
          <w:marTop w:val="0"/>
          <w:marBottom w:val="0"/>
          <w:divBdr>
            <w:top w:val="none" w:sz="0" w:space="0" w:color="auto"/>
            <w:left w:val="none" w:sz="0" w:space="0" w:color="auto"/>
            <w:bottom w:val="none" w:sz="0" w:space="0" w:color="auto"/>
            <w:right w:val="none" w:sz="0" w:space="0" w:color="auto"/>
          </w:divBdr>
        </w:div>
        <w:div w:id="1702439639">
          <w:marLeft w:val="0"/>
          <w:marRight w:val="0"/>
          <w:marTop w:val="0"/>
          <w:marBottom w:val="0"/>
          <w:divBdr>
            <w:top w:val="none" w:sz="0" w:space="0" w:color="auto"/>
            <w:left w:val="none" w:sz="0" w:space="0" w:color="auto"/>
            <w:bottom w:val="none" w:sz="0" w:space="0" w:color="auto"/>
            <w:right w:val="none" w:sz="0" w:space="0" w:color="auto"/>
          </w:divBdr>
        </w:div>
      </w:divsChild>
    </w:div>
    <w:div w:id="61300232">
      <w:bodyDiv w:val="1"/>
      <w:marLeft w:val="0"/>
      <w:marRight w:val="0"/>
      <w:marTop w:val="0"/>
      <w:marBottom w:val="0"/>
      <w:divBdr>
        <w:top w:val="none" w:sz="0" w:space="0" w:color="auto"/>
        <w:left w:val="none" w:sz="0" w:space="0" w:color="auto"/>
        <w:bottom w:val="none" w:sz="0" w:space="0" w:color="auto"/>
        <w:right w:val="none" w:sz="0" w:space="0" w:color="auto"/>
      </w:divBdr>
      <w:divsChild>
        <w:div w:id="428351272">
          <w:marLeft w:val="0"/>
          <w:marRight w:val="0"/>
          <w:marTop w:val="219"/>
          <w:marBottom w:val="240"/>
          <w:divBdr>
            <w:top w:val="none" w:sz="0" w:space="0" w:color="auto"/>
            <w:left w:val="none" w:sz="0" w:space="0" w:color="auto"/>
            <w:bottom w:val="none" w:sz="0" w:space="0" w:color="auto"/>
            <w:right w:val="none" w:sz="0" w:space="0" w:color="auto"/>
          </w:divBdr>
        </w:div>
        <w:div w:id="1343362703">
          <w:marLeft w:val="0"/>
          <w:marRight w:val="0"/>
          <w:marTop w:val="260"/>
          <w:marBottom w:val="240"/>
          <w:divBdr>
            <w:top w:val="none" w:sz="0" w:space="0" w:color="auto"/>
            <w:left w:val="none" w:sz="0" w:space="0" w:color="auto"/>
            <w:bottom w:val="none" w:sz="0" w:space="0" w:color="auto"/>
            <w:right w:val="none" w:sz="0" w:space="0" w:color="auto"/>
          </w:divBdr>
        </w:div>
      </w:divsChild>
    </w:div>
    <w:div w:id="82188867">
      <w:bodyDiv w:val="1"/>
      <w:marLeft w:val="0"/>
      <w:marRight w:val="0"/>
      <w:marTop w:val="0"/>
      <w:marBottom w:val="0"/>
      <w:divBdr>
        <w:top w:val="none" w:sz="0" w:space="0" w:color="auto"/>
        <w:left w:val="none" w:sz="0" w:space="0" w:color="auto"/>
        <w:bottom w:val="none" w:sz="0" w:space="0" w:color="auto"/>
        <w:right w:val="none" w:sz="0" w:space="0" w:color="auto"/>
      </w:divBdr>
      <w:divsChild>
        <w:div w:id="207881312">
          <w:marLeft w:val="0"/>
          <w:marRight w:val="0"/>
          <w:marTop w:val="0"/>
          <w:marBottom w:val="0"/>
          <w:divBdr>
            <w:top w:val="none" w:sz="0" w:space="0" w:color="auto"/>
            <w:left w:val="none" w:sz="0" w:space="0" w:color="auto"/>
            <w:bottom w:val="none" w:sz="0" w:space="0" w:color="auto"/>
            <w:right w:val="none" w:sz="0" w:space="0" w:color="auto"/>
          </w:divBdr>
        </w:div>
        <w:div w:id="1580629218">
          <w:marLeft w:val="0"/>
          <w:marRight w:val="0"/>
          <w:marTop w:val="0"/>
          <w:marBottom w:val="0"/>
          <w:divBdr>
            <w:top w:val="none" w:sz="0" w:space="0" w:color="auto"/>
            <w:left w:val="none" w:sz="0" w:space="0" w:color="auto"/>
            <w:bottom w:val="none" w:sz="0" w:space="0" w:color="auto"/>
            <w:right w:val="none" w:sz="0" w:space="0" w:color="auto"/>
          </w:divBdr>
        </w:div>
        <w:div w:id="702176139">
          <w:marLeft w:val="0"/>
          <w:marRight w:val="0"/>
          <w:marTop w:val="0"/>
          <w:marBottom w:val="0"/>
          <w:divBdr>
            <w:top w:val="none" w:sz="0" w:space="0" w:color="auto"/>
            <w:left w:val="none" w:sz="0" w:space="0" w:color="auto"/>
            <w:bottom w:val="none" w:sz="0" w:space="0" w:color="auto"/>
            <w:right w:val="none" w:sz="0" w:space="0" w:color="auto"/>
          </w:divBdr>
        </w:div>
        <w:div w:id="194119526">
          <w:marLeft w:val="0"/>
          <w:marRight w:val="0"/>
          <w:marTop w:val="0"/>
          <w:marBottom w:val="0"/>
          <w:divBdr>
            <w:top w:val="none" w:sz="0" w:space="0" w:color="auto"/>
            <w:left w:val="none" w:sz="0" w:space="0" w:color="auto"/>
            <w:bottom w:val="none" w:sz="0" w:space="0" w:color="auto"/>
            <w:right w:val="none" w:sz="0" w:space="0" w:color="auto"/>
          </w:divBdr>
        </w:div>
        <w:div w:id="1681010701">
          <w:marLeft w:val="0"/>
          <w:marRight w:val="0"/>
          <w:marTop w:val="0"/>
          <w:marBottom w:val="0"/>
          <w:divBdr>
            <w:top w:val="none" w:sz="0" w:space="0" w:color="auto"/>
            <w:left w:val="none" w:sz="0" w:space="0" w:color="auto"/>
            <w:bottom w:val="none" w:sz="0" w:space="0" w:color="auto"/>
            <w:right w:val="none" w:sz="0" w:space="0" w:color="auto"/>
          </w:divBdr>
        </w:div>
      </w:divsChild>
    </w:div>
    <w:div w:id="280576668">
      <w:bodyDiv w:val="1"/>
      <w:marLeft w:val="0"/>
      <w:marRight w:val="0"/>
      <w:marTop w:val="0"/>
      <w:marBottom w:val="0"/>
      <w:divBdr>
        <w:top w:val="none" w:sz="0" w:space="0" w:color="auto"/>
        <w:left w:val="none" w:sz="0" w:space="0" w:color="auto"/>
        <w:bottom w:val="none" w:sz="0" w:space="0" w:color="auto"/>
        <w:right w:val="none" w:sz="0" w:space="0" w:color="auto"/>
      </w:divBdr>
      <w:divsChild>
        <w:div w:id="706637938">
          <w:marLeft w:val="0"/>
          <w:marRight w:val="0"/>
          <w:marTop w:val="0"/>
          <w:marBottom w:val="0"/>
          <w:divBdr>
            <w:top w:val="none" w:sz="0" w:space="0" w:color="auto"/>
            <w:left w:val="none" w:sz="0" w:space="0" w:color="auto"/>
            <w:bottom w:val="none" w:sz="0" w:space="0" w:color="auto"/>
            <w:right w:val="none" w:sz="0" w:space="0" w:color="auto"/>
          </w:divBdr>
        </w:div>
        <w:div w:id="1787235422">
          <w:marLeft w:val="0"/>
          <w:marRight w:val="0"/>
          <w:marTop w:val="0"/>
          <w:marBottom w:val="0"/>
          <w:divBdr>
            <w:top w:val="none" w:sz="0" w:space="0" w:color="auto"/>
            <w:left w:val="none" w:sz="0" w:space="0" w:color="auto"/>
            <w:bottom w:val="none" w:sz="0" w:space="0" w:color="auto"/>
            <w:right w:val="none" w:sz="0" w:space="0" w:color="auto"/>
          </w:divBdr>
        </w:div>
        <w:div w:id="1868642286">
          <w:marLeft w:val="0"/>
          <w:marRight w:val="0"/>
          <w:marTop w:val="0"/>
          <w:marBottom w:val="0"/>
          <w:divBdr>
            <w:top w:val="none" w:sz="0" w:space="0" w:color="auto"/>
            <w:left w:val="none" w:sz="0" w:space="0" w:color="auto"/>
            <w:bottom w:val="none" w:sz="0" w:space="0" w:color="auto"/>
            <w:right w:val="none" w:sz="0" w:space="0" w:color="auto"/>
          </w:divBdr>
        </w:div>
        <w:div w:id="810639656">
          <w:marLeft w:val="0"/>
          <w:marRight w:val="0"/>
          <w:marTop w:val="0"/>
          <w:marBottom w:val="0"/>
          <w:divBdr>
            <w:top w:val="none" w:sz="0" w:space="0" w:color="auto"/>
            <w:left w:val="none" w:sz="0" w:space="0" w:color="auto"/>
            <w:bottom w:val="none" w:sz="0" w:space="0" w:color="auto"/>
            <w:right w:val="none" w:sz="0" w:space="0" w:color="auto"/>
          </w:divBdr>
        </w:div>
        <w:div w:id="1812480498">
          <w:marLeft w:val="0"/>
          <w:marRight w:val="0"/>
          <w:marTop w:val="0"/>
          <w:marBottom w:val="0"/>
          <w:divBdr>
            <w:top w:val="none" w:sz="0" w:space="0" w:color="auto"/>
            <w:left w:val="none" w:sz="0" w:space="0" w:color="auto"/>
            <w:bottom w:val="none" w:sz="0" w:space="0" w:color="auto"/>
            <w:right w:val="none" w:sz="0" w:space="0" w:color="auto"/>
          </w:divBdr>
        </w:div>
        <w:div w:id="1856842198">
          <w:marLeft w:val="0"/>
          <w:marRight w:val="0"/>
          <w:marTop w:val="0"/>
          <w:marBottom w:val="0"/>
          <w:divBdr>
            <w:top w:val="none" w:sz="0" w:space="0" w:color="auto"/>
            <w:left w:val="none" w:sz="0" w:space="0" w:color="auto"/>
            <w:bottom w:val="none" w:sz="0" w:space="0" w:color="auto"/>
            <w:right w:val="none" w:sz="0" w:space="0" w:color="auto"/>
          </w:divBdr>
        </w:div>
      </w:divsChild>
    </w:div>
    <w:div w:id="310447756">
      <w:bodyDiv w:val="1"/>
      <w:marLeft w:val="0"/>
      <w:marRight w:val="0"/>
      <w:marTop w:val="0"/>
      <w:marBottom w:val="0"/>
      <w:divBdr>
        <w:top w:val="none" w:sz="0" w:space="0" w:color="auto"/>
        <w:left w:val="none" w:sz="0" w:space="0" w:color="auto"/>
        <w:bottom w:val="none" w:sz="0" w:space="0" w:color="auto"/>
        <w:right w:val="none" w:sz="0" w:space="0" w:color="auto"/>
      </w:divBdr>
    </w:div>
    <w:div w:id="435634601">
      <w:bodyDiv w:val="1"/>
      <w:marLeft w:val="0"/>
      <w:marRight w:val="0"/>
      <w:marTop w:val="0"/>
      <w:marBottom w:val="0"/>
      <w:divBdr>
        <w:top w:val="none" w:sz="0" w:space="0" w:color="auto"/>
        <w:left w:val="none" w:sz="0" w:space="0" w:color="auto"/>
        <w:bottom w:val="none" w:sz="0" w:space="0" w:color="auto"/>
        <w:right w:val="none" w:sz="0" w:space="0" w:color="auto"/>
      </w:divBdr>
    </w:div>
    <w:div w:id="486243206">
      <w:bodyDiv w:val="1"/>
      <w:marLeft w:val="0"/>
      <w:marRight w:val="0"/>
      <w:marTop w:val="0"/>
      <w:marBottom w:val="0"/>
      <w:divBdr>
        <w:top w:val="none" w:sz="0" w:space="0" w:color="auto"/>
        <w:left w:val="none" w:sz="0" w:space="0" w:color="auto"/>
        <w:bottom w:val="none" w:sz="0" w:space="0" w:color="auto"/>
        <w:right w:val="none" w:sz="0" w:space="0" w:color="auto"/>
      </w:divBdr>
      <w:divsChild>
        <w:div w:id="1511721595">
          <w:marLeft w:val="0"/>
          <w:marRight w:val="0"/>
          <w:marTop w:val="0"/>
          <w:marBottom w:val="0"/>
          <w:divBdr>
            <w:top w:val="none" w:sz="0" w:space="0" w:color="auto"/>
            <w:left w:val="none" w:sz="0" w:space="0" w:color="auto"/>
            <w:bottom w:val="none" w:sz="0" w:space="0" w:color="auto"/>
            <w:right w:val="none" w:sz="0" w:space="0" w:color="auto"/>
          </w:divBdr>
        </w:div>
        <w:div w:id="740179289">
          <w:marLeft w:val="0"/>
          <w:marRight w:val="0"/>
          <w:marTop w:val="0"/>
          <w:marBottom w:val="0"/>
          <w:divBdr>
            <w:top w:val="none" w:sz="0" w:space="0" w:color="auto"/>
            <w:left w:val="none" w:sz="0" w:space="0" w:color="auto"/>
            <w:bottom w:val="none" w:sz="0" w:space="0" w:color="auto"/>
            <w:right w:val="none" w:sz="0" w:space="0" w:color="auto"/>
          </w:divBdr>
        </w:div>
      </w:divsChild>
    </w:div>
    <w:div w:id="502279024">
      <w:bodyDiv w:val="1"/>
      <w:marLeft w:val="0"/>
      <w:marRight w:val="0"/>
      <w:marTop w:val="0"/>
      <w:marBottom w:val="0"/>
      <w:divBdr>
        <w:top w:val="none" w:sz="0" w:space="0" w:color="auto"/>
        <w:left w:val="none" w:sz="0" w:space="0" w:color="auto"/>
        <w:bottom w:val="none" w:sz="0" w:space="0" w:color="auto"/>
        <w:right w:val="none" w:sz="0" w:space="0" w:color="auto"/>
      </w:divBdr>
      <w:divsChild>
        <w:div w:id="1197960320">
          <w:marLeft w:val="0"/>
          <w:marRight w:val="0"/>
          <w:marTop w:val="0"/>
          <w:marBottom w:val="0"/>
          <w:divBdr>
            <w:top w:val="none" w:sz="0" w:space="0" w:color="auto"/>
            <w:left w:val="none" w:sz="0" w:space="0" w:color="auto"/>
            <w:bottom w:val="none" w:sz="0" w:space="0" w:color="auto"/>
            <w:right w:val="none" w:sz="0" w:space="0" w:color="auto"/>
          </w:divBdr>
        </w:div>
      </w:divsChild>
    </w:div>
    <w:div w:id="774859932">
      <w:bodyDiv w:val="1"/>
      <w:marLeft w:val="0"/>
      <w:marRight w:val="0"/>
      <w:marTop w:val="0"/>
      <w:marBottom w:val="0"/>
      <w:divBdr>
        <w:top w:val="none" w:sz="0" w:space="0" w:color="auto"/>
        <w:left w:val="none" w:sz="0" w:space="0" w:color="auto"/>
        <w:bottom w:val="none" w:sz="0" w:space="0" w:color="auto"/>
        <w:right w:val="none" w:sz="0" w:space="0" w:color="auto"/>
      </w:divBdr>
      <w:divsChild>
        <w:div w:id="1885555085">
          <w:marLeft w:val="0"/>
          <w:marRight w:val="0"/>
          <w:marTop w:val="0"/>
          <w:marBottom w:val="0"/>
          <w:divBdr>
            <w:top w:val="none" w:sz="0" w:space="0" w:color="auto"/>
            <w:left w:val="none" w:sz="0" w:space="0" w:color="auto"/>
            <w:bottom w:val="none" w:sz="0" w:space="0" w:color="auto"/>
            <w:right w:val="none" w:sz="0" w:space="0" w:color="auto"/>
          </w:divBdr>
        </w:div>
        <w:div w:id="1253853037">
          <w:marLeft w:val="0"/>
          <w:marRight w:val="0"/>
          <w:marTop w:val="0"/>
          <w:marBottom w:val="0"/>
          <w:divBdr>
            <w:top w:val="none" w:sz="0" w:space="0" w:color="auto"/>
            <w:left w:val="none" w:sz="0" w:space="0" w:color="auto"/>
            <w:bottom w:val="none" w:sz="0" w:space="0" w:color="auto"/>
            <w:right w:val="none" w:sz="0" w:space="0" w:color="auto"/>
          </w:divBdr>
        </w:div>
      </w:divsChild>
    </w:div>
    <w:div w:id="867984355">
      <w:bodyDiv w:val="1"/>
      <w:marLeft w:val="0"/>
      <w:marRight w:val="0"/>
      <w:marTop w:val="0"/>
      <w:marBottom w:val="0"/>
      <w:divBdr>
        <w:top w:val="none" w:sz="0" w:space="0" w:color="auto"/>
        <w:left w:val="none" w:sz="0" w:space="0" w:color="auto"/>
        <w:bottom w:val="none" w:sz="0" w:space="0" w:color="auto"/>
        <w:right w:val="none" w:sz="0" w:space="0" w:color="auto"/>
      </w:divBdr>
      <w:divsChild>
        <w:div w:id="1801680442">
          <w:marLeft w:val="0"/>
          <w:marRight w:val="0"/>
          <w:marTop w:val="0"/>
          <w:marBottom w:val="0"/>
          <w:divBdr>
            <w:top w:val="none" w:sz="0" w:space="0" w:color="auto"/>
            <w:left w:val="none" w:sz="0" w:space="0" w:color="auto"/>
            <w:bottom w:val="none" w:sz="0" w:space="0" w:color="auto"/>
            <w:right w:val="none" w:sz="0" w:space="0" w:color="auto"/>
          </w:divBdr>
        </w:div>
        <w:div w:id="1151214138">
          <w:marLeft w:val="0"/>
          <w:marRight w:val="0"/>
          <w:marTop w:val="0"/>
          <w:marBottom w:val="0"/>
          <w:divBdr>
            <w:top w:val="none" w:sz="0" w:space="0" w:color="auto"/>
            <w:left w:val="none" w:sz="0" w:space="0" w:color="auto"/>
            <w:bottom w:val="none" w:sz="0" w:space="0" w:color="auto"/>
            <w:right w:val="none" w:sz="0" w:space="0" w:color="auto"/>
          </w:divBdr>
        </w:div>
        <w:div w:id="792217161">
          <w:marLeft w:val="0"/>
          <w:marRight w:val="0"/>
          <w:marTop w:val="0"/>
          <w:marBottom w:val="0"/>
          <w:divBdr>
            <w:top w:val="none" w:sz="0" w:space="0" w:color="auto"/>
            <w:left w:val="none" w:sz="0" w:space="0" w:color="auto"/>
            <w:bottom w:val="none" w:sz="0" w:space="0" w:color="auto"/>
            <w:right w:val="none" w:sz="0" w:space="0" w:color="auto"/>
          </w:divBdr>
        </w:div>
        <w:div w:id="91710963">
          <w:marLeft w:val="0"/>
          <w:marRight w:val="0"/>
          <w:marTop w:val="0"/>
          <w:marBottom w:val="0"/>
          <w:divBdr>
            <w:top w:val="none" w:sz="0" w:space="0" w:color="auto"/>
            <w:left w:val="none" w:sz="0" w:space="0" w:color="auto"/>
            <w:bottom w:val="none" w:sz="0" w:space="0" w:color="auto"/>
            <w:right w:val="none" w:sz="0" w:space="0" w:color="auto"/>
          </w:divBdr>
        </w:div>
      </w:divsChild>
    </w:div>
    <w:div w:id="1281650795">
      <w:bodyDiv w:val="1"/>
      <w:marLeft w:val="0"/>
      <w:marRight w:val="0"/>
      <w:marTop w:val="0"/>
      <w:marBottom w:val="0"/>
      <w:divBdr>
        <w:top w:val="none" w:sz="0" w:space="0" w:color="auto"/>
        <w:left w:val="none" w:sz="0" w:space="0" w:color="auto"/>
        <w:bottom w:val="none" w:sz="0" w:space="0" w:color="auto"/>
        <w:right w:val="none" w:sz="0" w:space="0" w:color="auto"/>
      </w:divBdr>
    </w:div>
    <w:div w:id="1289429421">
      <w:bodyDiv w:val="1"/>
      <w:marLeft w:val="0"/>
      <w:marRight w:val="0"/>
      <w:marTop w:val="0"/>
      <w:marBottom w:val="0"/>
      <w:divBdr>
        <w:top w:val="none" w:sz="0" w:space="0" w:color="auto"/>
        <w:left w:val="none" w:sz="0" w:space="0" w:color="auto"/>
        <w:bottom w:val="none" w:sz="0" w:space="0" w:color="auto"/>
        <w:right w:val="none" w:sz="0" w:space="0" w:color="auto"/>
      </w:divBdr>
      <w:divsChild>
        <w:div w:id="137496835">
          <w:marLeft w:val="0"/>
          <w:marRight w:val="0"/>
          <w:marTop w:val="0"/>
          <w:marBottom w:val="0"/>
          <w:divBdr>
            <w:top w:val="none" w:sz="0" w:space="0" w:color="auto"/>
            <w:left w:val="none" w:sz="0" w:space="0" w:color="auto"/>
            <w:bottom w:val="none" w:sz="0" w:space="0" w:color="auto"/>
            <w:right w:val="none" w:sz="0" w:space="0" w:color="auto"/>
          </w:divBdr>
        </w:div>
        <w:div w:id="1066949024">
          <w:marLeft w:val="0"/>
          <w:marRight w:val="0"/>
          <w:marTop w:val="0"/>
          <w:marBottom w:val="0"/>
          <w:divBdr>
            <w:top w:val="none" w:sz="0" w:space="0" w:color="auto"/>
            <w:left w:val="none" w:sz="0" w:space="0" w:color="auto"/>
            <w:bottom w:val="none" w:sz="0" w:space="0" w:color="auto"/>
            <w:right w:val="none" w:sz="0" w:space="0" w:color="auto"/>
          </w:divBdr>
        </w:div>
        <w:div w:id="1670331979">
          <w:marLeft w:val="0"/>
          <w:marRight w:val="0"/>
          <w:marTop w:val="0"/>
          <w:marBottom w:val="0"/>
          <w:divBdr>
            <w:top w:val="none" w:sz="0" w:space="0" w:color="auto"/>
            <w:left w:val="none" w:sz="0" w:space="0" w:color="auto"/>
            <w:bottom w:val="none" w:sz="0" w:space="0" w:color="auto"/>
            <w:right w:val="none" w:sz="0" w:space="0" w:color="auto"/>
          </w:divBdr>
        </w:div>
        <w:div w:id="1354383453">
          <w:marLeft w:val="0"/>
          <w:marRight w:val="0"/>
          <w:marTop w:val="0"/>
          <w:marBottom w:val="0"/>
          <w:divBdr>
            <w:top w:val="none" w:sz="0" w:space="0" w:color="auto"/>
            <w:left w:val="none" w:sz="0" w:space="0" w:color="auto"/>
            <w:bottom w:val="none" w:sz="0" w:space="0" w:color="auto"/>
            <w:right w:val="none" w:sz="0" w:space="0" w:color="auto"/>
          </w:divBdr>
        </w:div>
      </w:divsChild>
    </w:div>
    <w:div w:id="1316765437">
      <w:bodyDiv w:val="1"/>
      <w:marLeft w:val="0"/>
      <w:marRight w:val="0"/>
      <w:marTop w:val="0"/>
      <w:marBottom w:val="0"/>
      <w:divBdr>
        <w:top w:val="none" w:sz="0" w:space="0" w:color="auto"/>
        <w:left w:val="none" w:sz="0" w:space="0" w:color="auto"/>
        <w:bottom w:val="none" w:sz="0" w:space="0" w:color="auto"/>
        <w:right w:val="none" w:sz="0" w:space="0" w:color="auto"/>
      </w:divBdr>
    </w:div>
    <w:div w:id="1330450737">
      <w:bodyDiv w:val="1"/>
      <w:marLeft w:val="0"/>
      <w:marRight w:val="0"/>
      <w:marTop w:val="0"/>
      <w:marBottom w:val="0"/>
      <w:divBdr>
        <w:top w:val="none" w:sz="0" w:space="0" w:color="auto"/>
        <w:left w:val="none" w:sz="0" w:space="0" w:color="auto"/>
        <w:bottom w:val="none" w:sz="0" w:space="0" w:color="auto"/>
        <w:right w:val="none" w:sz="0" w:space="0" w:color="auto"/>
      </w:divBdr>
      <w:divsChild>
        <w:div w:id="86659583">
          <w:marLeft w:val="0"/>
          <w:marRight w:val="0"/>
          <w:marTop w:val="0"/>
          <w:marBottom w:val="0"/>
          <w:divBdr>
            <w:top w:val="none" w:sz="0" w:space="0" w:color="auto"/>
            <w:left w:val="none" w:sz="0" w:space="0" w:color="auto"/>
            <w:bottom w:val="none" w:sz="0" w:space="0" w:color="auto"/>
            <w:right w:val="none" w:sz="0" w:space="0" w:color="auto"/>
          </w:divBdr>
        </w:div>
      </w:divsChild>
    </w:div>
    <w:div w:id="1337196655">
      <w:bodyDiv w:val="1"/>
      <w:marLeft w:val="0"/>
      <w:marRight w:val="0"/>
      <w:marTop w:val="0"/>
      <w:marBottom w:val="0"/>
      <w:divBdr>
        <w:top w:val="none" w:sz="0" w:space="0" w:color="auto"/>
        <w:left w:val="none" w:sz="0" w:space="0" w:color="auto"/>
        <w:bottom w:val="none" w:sz="0" w:space="0" w:color="auto"/>
        <w:right w:val="none" w:sz="0" w:space="0" w:color="auto"/>
      </w:divBdr>
      <w:divsChild>
        <w:div w:id="1999993099">
          <w:marLeft w:val="0"/>
          <w:marRight w:val="0"/>
          <w:marTop w:val="0"/>
          <w:marBottom w:val="0"/>
          <w:divBdr>
            <w:top w:val="none" w:sz="0" w:space="0" w:color="auto"/>
            <w:left w:val="none" w:sz="0" w:space="0" w:color="auto"/>
            <w:bottom w:val="none" w:sz="0" w:space="0" w:color="auto"/>
            <w:right w:val="none" w:sz="0" w:space="0" w:color="auto"/>
          </w:divBdr>
        </w:div>
      </w:divsChild>
    </w:div>
    <w:div w:id="1349989638">
      <w:bodyDiv w:val="1"/>
      <w:marLeft w:val="0"/>
      <w:marRight w:val="0"/>
      <w:marTop w:val="0"/>
      <w:marBottom w:val="0"/>
      <w:divBdr>
        <w:top w:val="none" w:sz="0" w:space="0" w:color="auto"/>
        <w:left w:val="none" w:sz="0" w:space="0" w:color="auto"/>
        <w:bottom w:val="none" w:sz="0" w:space="0" w:color="auto"/>
        <w:right w:val="none" w:sz="0" w:space="0" w:color="auto"/>
      </w:divBdr>
      <w:divsChild>
        <w:div w:id="883442559">
          <w:marLeft w:val="0"/>
          <w:marRight w:val="0"/>
          <w:marTop w:val="0"/>
          <w:marBottom w:val="0"/>
          <w:divBdr>
            <w:top w:val="none" w:sz="0" w:space="0" w:color="auto"/>
            <w:left w:val="none" w:sz="0" w:space="0" w:color="auto"/>
            <w:bottom w:val="none" w:sz="0" w:space="0" w:color="auto"/>
            <w:right w:val="none" w:sz="0" w:space="0" w:color="auto"/>
          </w:divBdr>
        </w:div>
        <w:div w:id="78991686">
          <w:marLeft w:val="0"/>
          <w:marRight w:val="0"/>
          <w:marTop w:val="0"/>
          <w:marBottom w:val="0"/>
          <w:divBdr>
            <w:top w:val="none" w:sz="0" w:space="0" w:color="auto"/>
            <w:left w:val="none" w:sz="0" w:space="0" w:color="auto"/>
            <w:bottom w:val="none" w:sz="0" w:space="0" w:color="auto"/>
            <w:right w:val="none" w:sz="0" w:space="0" w:color="auto"/>
          </w:divBdr>
        </w:div>
        <w:div w:id="385838365">
          <w:marLeft w:val="0"/>
          <w:marRight w:val="0"/>
          <w:marTop w:val="0"/>
          <w:marBottom w:val="0"/>
          <w:divBdr>
            <w:top w:val="none" w:sz="0" w:space="0" w:color="auto"/>
            <w:left w:val="none" w:sz="0" w:space="0" w:color="auto"/>
            <w:bottom w:val="none" w:sz="0" w:space="0" w:color="auto"/>
            <w:right w:val="none" w:sz="0" w:space="0" w:color="auto"/>
          </w:divBdr>
        </w:div>
        <w:div w:id="324431698">
          <w:marLeft w:val="0"/>
          <w:marRight w:val="0"/>
          <w:marTop w:val="0"/>
          <w:marBottom w:val="0"/>
          <w:divBdr>
            <w:top w:val="none" w:sz="0" w:space="0" w:color="auto"/>
            <w:left w:val="none" w:sz="0" w:space="0" w:color="auto"/>
            <w:bottom w:val="none" w:sz="0" w:space="0" w:color="auto"/>
            <w:right w:val="none" w:sz="0" w:space="0" w:color="auto"/>
          </w:divBdr>
        </w:div>
      </w:divsChild>
    </w:div>
    <w:div w:id="1421558108">
      <w:bodyDiv w:val="1"/>
      <w:marLeft w:val="0"/>
      <w:marRight w:val="0"/>
      <w:marTop w:val="0"/>
      <w:marBottom w:val="0"/>
      <w:divBdr>
        <w:top w:val="none" w:sz="0" w:space="0" w:color="auto"/>
        <w:left w:val="none" w:sz="0" w:space="0" w:color="auto"/>
        <w:bottom w:val="none" w:sz="0" w:space="0" w:color="auto"/>
        <w:right w:val="none" w:sz="0" w:space="0" w:color="auto"/>
      </w:divBdr>
      <w:divsChild>
        <w:div w:id="548423254">
          <w:marLeft w:val="0"/>
          <w:marRight w:val="0"/>
          <w:marTop w:val="0"/>
          <w:marBottom w:val="0"/>
          <w:divBdr>
            <w:top w:val="none" w:sz="0" w:space="0" w:color="auto"/>
            <w:left w:val="none" w:sz="0" w:space="0" w:color="auto"/>
            <w:bottom w:val="none" w:sz="0" w:space="0" w:color="auto"/>
            <w:right w:val="none" w:sz="0" w:space="0" w:color="auto"/>
          </w:divBdr>
        </w:div>
        <w:div w:id="1726677350">
          <w:marLeft w:val="0"/>
          <w:marRight w:val="0"/>
          <w:marTop w:val="0"/>
          <w:marBottom w:val="0"/>
          <w:divBdr>
            <w:top w:val="none" w:sz="0" w:space="0" w:color="auto"/>
            <w:left w:val="none" w:sz="0" w:space="0" w:color="auto"/>
            <w:bottom w:val="none" w:sz="0" w:space="0" w:color="auto"/>
            <w:right w:val="none" w:sz="0" w:space="0" w:color="auto"/>
          </w:divBdr>
        </w:div>
        <w:div w:id="834103986">
          <w:marLeft w:val="0"/>
          <w:marRight w:val="0"/>
          <w:marTop w:val="0"/>
          <w:marBottom w:val="0"/>
          <w:divBdr>
            <w:top w:val="none" w:sz="0" w:space="0" w:color="auto"/>
            <w:left w:val="none" w:sz="0" w:space="0" w:color="auto"/>
            <w:bottom w:val="none" w:sz="0" w:space="0" w:color="auto"/>
            <w:right w:val="none" w:sz="0" w:space="0" w:color="auto"/>
          </w:divBdr>
        </w:div>
      </w:divsChild>
    </w:div>
    <w:div w:id="1473518336">
      <w:bodyDiv w:val="1"/>
      <w:marLeft w:val="0"/>
      <w:marRight w:val="0"/>
      <w:marTop w:val="0"/>
      <w:marBottom w:val="0"/>
      <w:divBdr>
        <w:top w:val="none" w:sz="0" w:space="0" w:color="auto"/>
        <w:left w:val="none" w:sz="0" w:space="0" w:color="auto"/>
        <w:bottom w:val="none" w:sz="0" w:space="0" w:color="auto"/>
        <w:right w:val="none" w:sz="0" w:space="0" w:color="auto"/>
      </w:divBdr>
      <w:divsChild>
        <w:div w:id="88552105">
          <w:marLeft w:val="0"/>
          <w:marRight w:val="0"/>
          <w:marTop w:val="219"/>
          <w:marBottom w:val="240"/>
          <w:divBdr>
            <w:top w:val="none" w:sz="0" w:space="0" w:color="auto"/>
            <w:left w:val="none" w:sz="0" w:space="0" w:color="auto"/>
            <w:bottom w:val="none" w:sz="0" w:space="0" w:color="auto"/>
            <w:right w:val="none" w:sz="0" w:space="0" w:color="auto"/>
          </w:divBdr>
        </w:div>
        <w:div w:id="237133249">
          <w:marLeft w:val="0"/>
          <w:marRight w:val="0"/>
          <w:marTop w:val="260"/>
          <w:marBottom w:val="240"/>
          <w:divBdr>
            <w:top w:val="none" w:sz="0" w:space="0" w:color="auto"/>
            <w:left w:val="none" w:sz="0" w:space="0" w:color="auto"/>
            <w:bottom w:val="none" w:sz="0" w:space="0" w:color="auto"/>
            <w:right w:val="none" w:sz="0" w:space="0" w:color="auto"/>
          </w:divBdr>
        </w:div>
      </w:divsChild>
    </w:div>
    <w:div w:id="1743409671">
      <w:bodyDiv w:val="1"/>
      <w:marLeft w:val="0"/>
      <w:marRight w:val="0"/>
      <w:marTop w:val="0"/>
      <w:marBottom w:val="0"/>
      <w:divBdr>
        <w:top w:val="none" w:sz="0" w:space="0" w:color="auto"/>
        <w:left w:val="none" w:sz="0" w:space="0" w:color="auto"/>
        <w:bottom w:val="none" w:sz="0" w:space="0" w:color="auto"/>
        <w:right w:val="none" w:sz="0" w:space="0" w:color="auto"/>
      </w:divBdr>
    </w:div>
    <w:div w:id="1794202363">
      <w:bodyDiv w:val="1"/>
      <w:marLeft w:val="0"/>
      <w:marRight w:val="0"/>
      <w:marTop w:val="0"/>
      <w:marBottom w:val="0"/>
      <w:divBdr>
        <w:top w:val="none" w:sz="0" w:space="0" w:color="auto"/>
        <w:left w:val="none" w:sz="0" w:space="0" w:color="auto"/>
        <w:bottom w:val="none" w:sz="0" w:space="0" w:color="auto"/>
        <w:right w:val="none" w:sz="0" w:space="0" w:color="auto"/>
      </w:divBdr>
      <w:divsChild>
        <w:div w:id="1239176012">
          <w:marLeft w:val="0"/>
          <w:marRight w:val="0"/>
          <w:marTop w:val="0"/>
          <w:marBottom w:val="0"/>
          <w:divBdr>
            <w:top w:val="none" w:sz="0" w:space="0" w:color="auto"/>
            <w:left w:val="none" w:sz="0" w:space="0" w:color="auto"/>
            <w:bottom w:val="none" w:sz="0" w:space="0" w:color="auto"/>
            <w:right w:val="none" w:sz="0" w:space="0" w:color="auto"/>
          </w:divBdr>
        </w:div>
        <w:div w:id="877664608">
          <w:marLeft w:val="0"/>
          <w:marRight w:val="0"/>
          <w:marTop w:val="0"/>
          <w:marBottom w:val="0"/>
          <w:divBdr>
            <w:top w:val="none" w:sz="0" w:space="0" w:color="auto"/>
            <w:left w:val="none" w:sz="0" w:space="0" w:color="auto"/>
            <w:bottom w:val="none" w:sz="0" w:space="0" w:color="auto"/>
            <w:right w:val="none" w:sz="0" w:space="0" w:color="auto"/>
          </w:divBdr>
        </w:div>
        <w:div w:id="1958414762">
          <w:marLeft w:val="0"/>
          <w:marRight w:val="0"/>
          <w:marTop w:val="0"/>
          <w:marBottom w:val="0"/>
          <w:divBdr>
            <w:top w:val="none" w:sz="0" w:space="0" w:color="auto"/>
            <w:left w:val="none" w:sz="0" w:space="0" w:color="auto"/>
            <w:bottom w:val="none" w:sz="0" w:space="0" w:color="auto"/>
            <w:right w:val="none" w:sz="0" w:space="0" w:color="auto"/>
          </w:divBdr>
        </w:div>
        <w:div w:id="1083069565">
          <w:marLeft w:val="0"/>
          <w:marRight w:val="0"/>
          <w:marTop w:val="0"/>
          <w:marBottom w:val="0"/>
          <w:divBdr>
            <w:top w:val="none" w:sz="0" w:space="0" w:color="auto"/>
            <w:left w:val="none" w:sz="0" w:space="0" w:color="auto"/>
            <w:bottom w:val="none" w:sz="0" w:space="0" w:color="auto"/>
            <w:right w:val="none" w:sz="0" w:space="0" w:color="auto"/>
          </w:divBdr>
        </w:div>
      </w:divsChild>
    </w:div>
    <w:div w:id="1981036000">
      <w:bodyDiv w:val="1"/>
      <w:marLeft w:val="0"/>
      <w:marRight w:val="0"/>
      <w:marTop w:val="0"/>
      <w:marBottom w:val="0"/>
      <w:divBdr>
        <w:top w:val="none" w:sz="0" w:space="0" w:color="auto"/>
        <w:left w:val="none" w:sz="0" w:space="0" w:color="auto"/>
        <w:bottom w:val="none" w:sz="0" w:space="0" w:color="auto"/>
        <w:right w:val="none" w:sz="0" w:space="0" w:color="auto"/>
      </w:divBdr>
    </w:div>
    <w:div w:id="2012297253">
      <w:bodyDiv w:val="1"/>
      <w:marLeft w:val="0"/>
      <w:marRight w:val="0"/>
      <w:marTop w:val="0"/>
      <w:marBottom w:val="0"/>
      <w:divBdr>
        <w:top w:val="none" w:sz="0" w:space="0" w:color="auto"/>
        <w:left w:val="none" w:sz="0" w:space="0" w:color="auto"/>
        <w:bottom w:val="none" w:sz="0" w:space="0" w:color="auto"/>
        <w:right w:val="none" w:sz="0" w:space="0" w:color="auto"/>
      </w:divBdr>
      <w:divsChild>
        <w:div w:id="1465923277">
          <w:marLeft w:val="0"/>
          <w:marRight w:val="0"/>
          <w:marTop w:val="0"/>
          <w:marBottom w:val="0"/>
          <w:divBdr>
            <w:top w:val="none" w:sz="0" w:space="0" w:color="auto"/>
            <w:left w:val="none" w:sz="0" w:space="0" w:color="auto"/>
            <w:bottom w:val="none" w:sz="0" w:space="0" w:color="auto"/>
            <w:right w:val="none" w:sz="0" w:space="0" w:color="auto"/>
          </w:divBdr>
        </w:div>
      </w:divsChild>
    </w:div>
    <w:div w:id="2059671214">
      <w:bodyDiv w:val="1"/>
      <w:marLeft w:val="0"/>
      <w:marRight w:val="0"/>
      <w:marTop w:val="0"/>
      <w:marBottom w:val="0"/>
      <w:divBdr>
        <w:top w:val="none" w:sz="0" w:space="0" w:color="auto"/>
        <w:left w:val="none" w:sz="0" w:space="0" w:color="auto"/>
        <w:bottom w:val="none" w:sz="0" w:space="0" w:color="auto"/>
        <w:right w:val="none" w:sz="0" w:space="0" w:color="auto"/>
      </w:divBdr>
    </w:div>
    <w:div w:id="2108033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A6923C-A426-45E8-9150-FDB3D237CE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4067</Words>
  <Characters>22372</Characters>
  <Application>Microsoft Office Word</Application>
  <DocSecurity>0</DocSecurity>
  <Lines>186</Lines>
  <Paragraphs>52</Paragraphs>
  <ScaleCrop>false</ScaleCrop>
  <LinksUpToDate>false</LinksUpToDate>
  <CharactersWithSpaces>26387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2025-02-27T17:43:00Z</dcterms:created>
  <dcterms:modified xsi:type="dcterms:W3CDTF">2025-02-27T17:43:00Z</dcterms:modified>
  <cp:contentStatus/>
</cp:coreProperties>
</file>