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FC7942">
        <w:trPr>
          <w:cantSplit/>
        </w:trPr>
        <w:tc>
          <w:tcPr>
            <w:tcW w:w="4795" w:type="dxa"/>
          </w:tcPr>
          <w:p w:rsidR="008A7FD1" w:rsidRPr="006E6233" w:rsidRDefault="006E6233" w:rsidP="006E6233">
            <w:pPr>
              <w:pStyle w:val="zSoquijdatRepertorie"/>
              <w:rPr>
                <w:rFonts w:cs="Arial"/>
              </w:rPr>
            </w:pPr>
            <w:bookmarkStart w:id="0" w:name="_GoBack"/>
            <w:bookmarkEnd w:id="0"/>
            <w:r>
              <w:rPr>
                <w:rFonts w:cs="Arial"/>
              </w:rPr>
              <w:t>Olymel Yamachiche et Hamel</w:t>
            </w:r>
          </w:p>
        </w:tc>
        <w:tc>
          <w:tcPr>
            <w:tcW w:w="2477" w:type="dxa"/>
          </w:tcPr>
          <w:p w:rsidR="008A7FD1" w:rsidRPr="00772243" w:rsidRDefault="00772243" w:rsidP="00772243">
            <w:pPr>
              <w:pStyle w:val="zSoquijdatRefNeutre"/>
              <w:rPr>
                <w:rFonts w:cs="Arial"/>
              </w:rPr>
            </w:pPr>
            <w:r w:rsidRPr="00772243">
              <w:rPr>
                <w:rFonts w:cs="Arial"/>
              </w:rPr>
              <w:t>2019 QCTAT 2378</w:t>
            </w:r>
          </w:p>
        </w:tc>
      </w:tr>
    </w:tbl>
    <w:p w:rsidR="008A7FD1" w:rsidRPr="00FC7942"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RPr="00FC7942" w:rsidTr="002A374B">
        <w:trPr>
          <w:cantSplit/>
        </w:trPr>
        <w:tc>
          <w:tcPr>
            <w:tcW w:w="9568" w:type="dxa"/>
            <w:gridSpan w:val="4"/>
          </w:tcPr>
          <w:p w:rsidR="00C74B6F" w:rsidRPr="00FC7942" w:rsidRDefault="00C74B6F">
            <w:pPr>
              <w:rPr>
                <w:szCs w:val="24"/>
              </w:rPr>
            </w:pPr>
          </w:p>
        </w:tc>
      </w:tr>
      <w:tr w:rsidR="00C74B6F" w:rsidRPr="00FC7942" w:rsidTr="002A374B">
        <w:trPr>
          <w:cantSplit/>
        </w:trPr>
        <w:tc>
          <w:tcPr>
            <w:tcW w:w="9568" w:type="dxa"/>
            <w:gridSpan w:val="4"/>
            <w:vAlign w:val="center"/>
          </w:tcPr>
          <w:p w:rsidR="00C74B6F" w:rsidRPr="00FC7942" w:rsidRDefault="000E1320">
            <w:pPr>
              <w:jc w:val="center"/>
              <w:rPr>
                <w:sz w:val="36"/>
                <w:szCs w:val="36"/>
              </w:rPr>
            </w:pPr>
            <w:r w:rsidRPr="00FC7942">
              <w:rPr>
                <w:b/>
                <w:sz w:val="36"/>
                <w:szCs w:val="36"/>
              </w:rPr>
              <w:t>TRIBUNAL ADMINISTRATIF DU TRAVAIL</w:t>
            </w:r>
          </w:p>
        </w:tc>
      </w:tr>
      <w:tr w:rsidR="00C74B6F" w:rsidRPr="00FC7942" w:rsidTr="002A374B">
        <w:trPr>
          <w:cantSplit/>
        </w:trPr>
        <w:tc>
          <w:tcPr>
            <w:tcW w:w="9568" w:type="dxa"/>
            <w:gridSpan w:val="4"/>
          </w:tcPr>
          <w:p w:rsidR="00C74B6F" w:rsidRPr="00FC7942" w:rsidRDefault="006F0154" w:rsidP="009A67E7">
            <w:pPr>
              <w:pStyle w:val="zSoquijdatDivision"/>
            </w:pPr>
            <w:r w:rsidRPr="00FC7942">
              <w:t>(</w:t>
            </w:r>
            <w:r w:rsidR="004A5845" w:rsidRPr="00FC7942">
              <w:t>Division de la santé et de la sécurité du travail</w:t>
            </w:r>
            <w:r w:rsidRPr="00FC7942">
              <w:t>)</w:t>
            </w:r>
          </w:p>
        </w:tc>
      </w:tr>
      <w:tr w:rsidR="00C74B6F" w:rsidRPr="00FC7942" w:rsidTr="002A374B">
        <w:trPr>
          <w:cantSplit/>
        </w:trPr>
        <w:tc>
          <w:tcPr>
            <w:tcW w:w="9568" w:type="dxa"/>
            <w:gridSpan w:val="4"/>
          </w:tcPr>
          <w:p w:rsidR="002B2FC3" w:rsidRPr="00FC7942" w:rsidRDefault="002B2FC3" w:rsidP="002B2FC3"/>
        </w:tc>
      </w:tr>
      <w:tr w:rsidR="00A84FC6" w:rsidRPr="00FC7942" w:rsidTr="002A374B">
        <w:trPr>
          <w:cantSplit/>
        </w:trPr>
        <w:tc>
          <w:tcPr>
            <w:tcW w:w="9568" w:type="dxa"/>
            <w:gridSpan w:val="4"/>
          </w:tcPr>
          <w:p w:rsidR="00A84FC6" w:rsidRPr="00FC7942" w:rsidRDefault="00A84FC6" w:rsidP="002B2FC3"/>
        </w:tc>
      </w:tr>
      <w:tr w:rsidR="00C74B6F" w:rsidRPr="00FC7942" w:rsidTr="005E654C">
        <w:tc>
          <w:tcPr>
            <w:tcW w:w="3614" w:type="dxa"/>
          </w:tcPr>
          <w:p w:rsidR="00C74B6F" w:rsidRPr="00FC7942" w:rsidRDefault="0084255F">
            <w:bookmarkStart w:id="1" w:name="region" w:colFirst="1" w:colLast="1"/>
            <w:r w:rsidRPr="00FC7942">
              <w:t>Région :</w:t>
            </w:r>
          </w:p>
        </w:tc>
        <w:tc>
          <w:tcPr>
            <w:tcW w:w="5954" w:type="dxa"/>
            <w:gridSpan w:val="3"/>
          </w:tcPr>
          <w:p w:rsidR="00C74B6F" w:rsidRPr="00FC7942" w:rsidRDefault="004A5845" w:rsidP="00F4095A">
            <w:pPr>
              <w:pStyle w:val="zSoquijdatGreffe"/>
            </w:pPr>
            <w:r w:rsidRPr="00FC7942">
              <w:t>Mauricie–Centre-du-Québec</w:t>
            </w:r>
          </w:p>
        </w:tc>
      </w:tr>
      <w:bookmarkEnd w:id="1"/>
      <w:tr w:rsidR="00C74B6F" w:rsidRPr="00FC7942" w:rsidTr="002A374B">
        <w:trPr>
          <w:cantSplit/>
        </w:trPr>
        <w:tc>
          <w:tcPr>
            <w:tcW w:w="9568" w:type="dxa"/>
            <w:gridSpan w:val="4"/>
          </w:tcPr>
          <w:p w:rsidR="00C74B6F" w:rsidRPr="00FC7942" w:rsidRDefault="00C74B6F"/>
        </w:tc>
      </w:tr>
      <w:tr w:rsidR="00C74B6F" w:rsidRPr="00FC7942" w:rsidTr="005E654C">
        <w:tc>
          <w:tcPr>
            <w:tcW w:w="3614" w:type="dxa"/>
          </w:tcPr>
          <w:p w:rsidR="00C74B6F" w:rsidRPr="00FC7942" w:rsidRDefault="0084255F">
            <w:bookmarkStart w:id="2" w:name="ref_dossier" w:colFirst="1" w:colLast="1"/>
            <w:r w:rsidRPr="00FC7942">
              <w:t>Dossier</w:t>
            </w:r>
            <w:bookmarkStart w:id="3" w:name="dossiers"/>
            <w:bookmarkEnd w:id="3"/>
            <w:r w:rsidRPr="00FC7942">
              <w:t> :</w:t>
            </w:r>
          </w:p>
        </w:tc>
        <w:tc>
          <w:tcPr>
            <w:tcW w:w="5954" w:type="dxa"/>
            <w:gridSpan w:val="3"/>
          </w:tcPr>
          <w:p w:rsidR="00C74B6F" w:rsidRPr="00FC7942" w:rsidRDefault="004A5845" w:rsidP="00F4095A">
            <w:pPr>
              <w:pStyle w:val="zSoquijdatNoDossier"/>
            </w:pPr>
            <w:r w:rsidRPr="00FC7942">
              <w:t>678721-04-1810</w:t>
            </w:r>
          </w:p>
        </w:tc>
      </w:tr>
      <w:bookmarkEnd w:id="2"/>
      <w:tr w:rsidR="00C74B6F" w:rsidRPr="00FC7942" w:rsidTr="002A374B">
        <w:trPr>
          <w:cantSplit/>
        </w:trPr>
        <w:tc>
          <w:tcPr>
            <w:tcW w:w="9568" w:type="dxa"/>
            <w:gridSpan w:val="4"/>
          </w:tcPr>
          <w:p w:rsidR="00C74B6F" w:rsidRPr="00FC7942" w:rsidRDefault="00D44BCF">
            <w:r w:rsidRPr="00FC7942">
              <w:fldChar w:fldCharType="begin"/>
            </w:r>
            <w:r w:rsidRPr="00FC7942">
              <w:instrText xml:space="preserve"> AUTOTEXTLIST  \* Upper  \* MERGEFORMAT </w:instrText>
            </w:r>
            <w:r w:rsidRPr="00FC7942">
              <w:fldChar w:fldCharType="end"/>
            </w:r>
          </w:p>
        </w:tc>
      </w:tr>
      <w:tr w:rsidR="00C74B6F" w:rsidRPr="00FC7942" w:rsidTr="005E654C">
        <w:tc>
          <w:tcPr>
            <w:tcW w:w="3614" w:type="dxa"/>
          </w:tcPr>
          <w:p w:rsidR="00C74B6F" w:rsidRPr="00FC7942" w:rsidRDefault="008C79A7" w:rsidP="0045114F">
            <w:pPr>
              <w:ind w:right="46"/>
            </w:pPr>
            <w:r w:rsidRPr="00FC7942">
              <w:t xml:space="preserve">Dossier </w:t>
            </w:r>
            <w:r w:rsidR="004A5845" w:rsidRPr="00FC7942">
              <w:rPr>
                <w:szCs w:val="24"/>
              </w:rPr>
              <w:t>CNESST</w:t>
            </w:r>
            <w:r w:rsidRPr="00FC7942">
              <w:rPr>
                <w:szCs w:val="24"/>
              </w:rPr>
              <w:t xml:space="preserve"> :</w:t>
            </w:r>
          </w:p>
        </w:tc>
        <w:tc>
          <w:tcPr>
            <w:tcW w:w="5954" w:type="dxa"/>
            <w:gridSpan w:val="3"/>
          </w:tcPr>
          <w:p w:rsidR="00C74B6F" w:rsidRPr="00FC7942" w:rsidRDefault="004A5845" w:rsidP="004D6CEA">
            <w:pPr>
              <w:pStyle w:val="zSoquijdatNCSST"/>
            </w:pPr>
            <w:r w:rsidRPr="00FC7942">
              <w:t>504418955</w:t>
            </w:r>
          </w:p>
        </w:tc>
      </w:tr>
      <w:tr w:rsidR="00C74B6F" w:rsidRPr="00FC7942" w:rsidTr="002A374B">
        <w:trPr>
          <w:cantSplit/>
        </w:trPr>
        <w:tc>
          <w:tcPr>
            <w:tcW w:w="9568" w:type="dxa"/>
            <w:gridSpan w:val="4"/>
          </w:tcPr>
          <w:p w:rsidR="00C74B6F" w:rsidRPr="00FC7942" w:rsidRDefault="00C74B6F"/>
        </w:tc>
      </w:tr>
      <w:tr w:rsidR="00C74B6F" w:rsidRPr="00FC7942" w:rsidTr="002A374B">
        <w:trPr>
          <w:cantSplit/>
        </w:trPr>
        <w:tc>
          <w:tcPr>
            <w:tcW w:w="9568" w:type="dxa"/>
            <w:gridSpan w:val="4"/>
          </w:tcPr>
          <w:p w:rsidR="00C74B6F" w:rsidRPr="00FC7942" w:rsidRDefault="00C74B6F"/>
        </w:tc>
      </w:tr>
      <w:tr w:rsidR="006E3DD8" w:rsidRPr="00FC7942" w:rsidTr="005E654C">
        <w:trPr>
          <w:cantSplit/>
        </w:trPr>
        <w:tc>
          <w:tcPr>
            <w:tcW w:w="3614" w:type="dxa"/>
          </w:tcPr>
          <w:p w:rsidR="006E3DD8" w:rsidRPr="00FC7942" w:rsidRDefault="004A5845" w:rsidP="006E3DD8">
            <w:pPr>
              <w:tabs>
                <w:tab w:val="left" w:pos="2672"/>
              </w:tabs>
            </w:pPr>
            <w:r w:rsidRPr="00FC7942">
              <w:t>Joliette</w:t>
            </w:r>
            <w:r w:rsidR="00C04E32" w:rsidRPr="00FC7942">
              <w:t>,</w:t>
            </w:r>
          </w:p>
        </w:tc>
        <w:tc>
          <w:tcPr>
            <w:tcW w:w="5954" w:type="dxa"/>
            <w:gridSpan w:val="3"/>
          </w:tcPr>
          <w:p w:rsidR="006E3DD8" w:rsidRPr="00FC7942" w:rsidRDefault="00C04E32" w:rsidP="005412EC">
            <w:pPr>
              <w:pStyle w:val="zSoquijdatDateJugement"/>
            </w:pPr>
            <w:r w:rsidRPr="00FC7942">
              <w:t xml:space="preserve">le </w:t>
            </w:r>
            <w:r w:rsidR="005412EC">
              <w:t>22 mai 2019</w:t>
            </w:r>
          </w:p>
        </w:tc>
      </w:tr>
      <w:tr w:rsidR="00942AB8" w:rsidRPr="00FC7942" w:rsidTr="002A374B">
        <w:trPr>
          <w:cantSplit/>
        </w:trPr>
        <w:tc>
          <w:tcPr>
            <w:tcW w:w="9568" w:type="dxa"/>
            <w:gridSpan w:val="4"/>
          </w:tcPr>
          <w:p w:rsidR="00942AB8" w:rsidRPr="00FC7942" w:rsidRDefault="00942AB8" w:rsidP="00FA153F">
            <w:r w:rsidRPr="00FC7942">
              <w:t>______________________________________________________________________</w:t>
            </w:r>
          </w:p>
        </w:tc>
      </w:tr>
      <w:tr w:rsidR="00942AB8" w:rsidRPr="00FC7942" w:rsidTr="002A374B">
        <w:trPr>
          <w:cantSplit/>
          <w:trHeight w:val="148"/>
        </w:trPr>
        <w:tc>
          <w:tcPr>
            <w:tcW w:w="9568" w:type="dxa"/>
            <w:gridSpan w:val="4"/>
          </w:tcPr>
          <w:p w:rsidR="00942AB8" w:rsidRPr="00FC7942" w:rsidRDefault="00942AB8" w:rsidP="00FA153F"/>
        </w:tc>
      </w:tr>
      <w:tr w:rsidR="0035375B" w:rsidRPr="00FC7942" w:rsidTr="00A12E55">
        <w:trPr>
          <w:cantSplit/>
          <w:trHeight w:val="148"/>
        </w:trPr>
        <w:tc>
          <w:tcPr>
            <w:tcW w:w="5457" w:type="dxa"/>
            <w:gridSpan w:val="3"/>
          </w:tcPr>
          <w:p w:rsidR="0035375B" w:rsidRPr="00FC7942" w:rsidRDefault="0035375B" w:rsidP="004A5845">
            <w:pPr>
              <w:rPr>
                <w:b/>
                <w:bCs/>
              </w:rPr>
            </w:pPr>
            <w:bookmarkStart w:id="4" w:name="ref_commissaire" w:colFirst="1" w:colLast="1"/>
            <w:r w:rsidRPr="00FC7942">
              <w:rPr>
                <w:b/>
                <w:bCs/>
              </w:rPr>
              <w:t>DEVANT L</w:t>
            </w:r>
            <w:r w:rsidR="004A5845" w:rsidRPr="00FC7942">
              <w:rPr>
                <w:b/>
                <w:bCs/>
              </w:rPr>
              <w:t>E</w:t>
            </w:r>
            <w:r w:rsidRPr="00FC7942">
              <w:rPr>
                <w:b/>
                <w:bCs/>
              </w:rPr>
              <w:t xml:space="preserve"> JUGE ADMINISTRATI</w:t>
            </w:r>
            <w:r w:rsidR="004A5845" w:rsidRPr="00FC7942">
              <w:rPr>
                <w:b/>
                <w:bCs/>
              </w:rPr>
              <w:t>F</w:t>
            </w:r>
            <w:r w:rsidRPr="00FC7942">
              <w:rPr>
                <w:b/>
                <w:bCs/>
              </w:rPr>
              <w:t> :</w:t>
            </w:r>
          </w:p>
        </w:tc>
        <w:tc>
          <w:tcPr>
            <w:tcW w:w="4111" w:type="dxa"/>
          </w:tcPr>
          <w:p w:rsidR="0035375B" w:rsidRPr="00FC7942" w:rsidRDefault="004A5845" w:rsidP="005B5689">
            <w:pPr>
              <w:pStyle w:val="zSoquijdatJuge"/>
              <w:rPr>
                <w:bCs/>
              </w:rPr>
            </w:pPr>
            <w:r w:rsidRPr="00FC7942">
              <w:t>Jean M. Poirier</w:t>
            </w:r>
          </w:p>
        </w:tc>
      </w:tr>
      <w:bookmarkEnd w:id="4"/>
      <w:tr w:rsidR="00942AB8" w:rsidRPr="00FC7942" w:rsidTr="002A374B">
        <w:trPr>
          <w:cantSplit/>
          <w:trHeight w:val="148"/>
        </w:trPr>
        <w:tc>
          <w:tcPr>
            <w:tcW w:w="9568" w:type="dxa"/>
            <w:gridSpan w:val="4"/>
          </w:tcPr>
          <w:p w:rsidR="00942AB8" w:rsidRPr="00FC7942" w:rsidRDefault="00942AB8" w:rsidP="00FA153F">
            <w:r w:rsidRPr="00FC7942">
              <w:t>______________________________________________________________________</w:t>
            </w:r>
          </w:p>
        </w:tc>
      </w:tr>
      <w:tr w:rsidR="00942AB8" w:rsidRPr="00FC7942" w:rsidTr="002A374B">
        <w:tc>
          <w:tcPr>
            <w:tcW w:w="9568" w:type="dxa"/>
            <w:gridSpan w:val="4"/>
          </w:tcPr>
          <w:p w:rsidR="00942AB8" w:rsidRPr="00FC7942" w:rsidRDefault="00942AB8"/>
        </w:tc>
      </w:tr>
      <w:tr w:rsidR="00942AB8" w:rsidRPr="00FC7942" w:rsidTr="00D40ABA">
        <w:tc>
          <w:tcPr>
            <w:tcW w:w="4748" w:type="dxa"/>
            <w:gridSpan w:val="2"/>
          </w:tcPr>
          <w:p w:rsidR="00942AB8" w:rsidRPr="00FC7942" w:rsidRDefault="00942AB8">
            <w:bookmarkStart w:id="5" w:name="bloc_parties_gauche"/>
            <w:bookmarkEnd w:id="5"/>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pPr>
              <w:pStyle w:val="zSoquijdatNomPartieDem"/>
              <w:rPr>
                <w:b/>
              </w:rPr>
            </w:pPr>
            <w:r w:rsidRPr="00FC7942">
              <w:rPr>
                <w:b/>
              </w:rPr>
              <w:t>Olymel Yamachiche</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pPr>
              <w:pStyle w:val="zSoquijdatQtePartieDem"/>
              <w:ind w:left="708"/>
            </w:pPr>
            <w:r w:rsidRPr="00FC7942">
              <w:t>Partie demanderesse</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942AB8"/>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rsidP="00D06652">
            <w:pPr>
              <w:pStyle w:val="zSoquijlblLienParties"/>
            </w:pPr>
            <w:r w:rsidRPr="00FC7942">
              <w:t>et</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942AB8"/>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pPr>
              <w:pStyle w:val="zSoquijdatNomPartieDef"/>
              <w:rPr>
                <w:b/>
              </w:rPr>
            </w:pPr>
            <w:r w:rsidRPr="00FC7942">
              <w:rPr>
                <w:b/>
              </w:rPr>
              <w:t>Yannick Hamel</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pPr>
              <w:pStyle w:val="zSoquijdatQtePartieDef"/>
              <w:ind w:left="708"/>
            </w:pPr>
            <w:r w:rsidRPr="00FC7942">
              <w:t>Partie mise en cause</w:t>
            </w:r>
          </w:p>
        </w:tc>
        <w:tc>
          <w:tcPr>
            <w:tcW w:w="4820" w:type="dxa"/>
            <w:gridSpan w:val="2"/>
          </w:tcPr>
          <w:p w:rsidR="00942AB8" w:rsidRPr="00FC7942" w:rsidRDefault="00942AB8"/>
        </w:tc>
      </w:tr>
      <w:tr w:rsidR="004A5845" w:rsidRPr="00FC7942" w:rsidTr="00D40ABA">
        <w:tc>
          <w:tcPr>
            <w:tcW w:w="4748" w:type="dxa"/>
            <w:gridSpan w:val="2"/>
          </w:tcPr>
          <w:p w:rsidR="004A5845" w:rsidRPr="00FC7942" w:rsidRDefault="004A5845"/>
        </w:tc>
        <w:tc>
          <w:tcPr>
            <w:tcW w:w="4820" w:type="dxa"/>
            <w:gridSpan w:val="2"/>
          </w:tcPr>
          <w:p w:rsidR="004A5845" w:rsidRPr="00FC7942" w:rsidRDefault="004A5845"/>
        </w:tc>
      </w:tr>
      <w:tr w:rsidR="004A5845" w:rsidRPr="00FC7942" w:rsidTr="00D40ABA">
        <w:tc>
          <w:tcPr>
            <w:tcW w:w="4748" w:type="dxa"/>
            <w:gridSpan w:val="2"/>
          </w:tcPr>
          <w:p w:rsidR="004A5845" w:rsidRPr="00FC7942" w:rsidRDefault="004A5845">
            <w:r w:rsidRPr="00FC7942">
              <w:t>et</w:t>
            </w:r>
          </w:p>
        </w:tc>
        <w:tc>
          <w:tcPr>
            <w:tcW w:w="4820" w:type="dxa"/>
            <w:gridSpan w:val="2"/>
          </w:tcPr>
          <w:p w:rsidR="004A5845" w:rsidRPr="00FC7942" w:rsidRDefault="004A5845"/>
        </w:tc>
      </w:tr>
      <w:tr w:rsidR="0065093D" w:rsidRPr="00FC7942" w:rsidTr="00D40ABA">
        <w:tc>
          <w:tcPr>
            <w:tcW w:w="4748" w:type="dxa"/>
            <w:gridSpan w:val="2"/>
          </w:tcPr>
          <w:p w:rsidR="0065093D" w:rsidRPr="00FC7942" w:rsidRDefault="0065093D"/>
        </w:tc>
        <w:tc>
          <w:tcPr>
            <w:tcW w:w="4820" w:type="dxa"/>
            <w:gridSpan w:val="2"/>
          </w:tcPr>
          <w:p w:rsidR="0065093D" w:rsidRPr="00FC7942" w:rsidRDefault="0065093D"/>
        </w:tc>
      </w:tr>
      <w:tr w:rsidR="00942AB8" w:rsidRPr="00FC7942" w:rsidTr="00D40ABA">
        <w:tc>
          <w:tcPr>
            <w:tcW w:w="4748" w:type="dxa"/>
            <w:gridSpan w:val="2"/>
          </w:tcPr>
          <w:p w:rsidR="00942AB8" w:rsidRPr="00FC7942" w:rsidRDefault="004A5845">
            <w:pPr>
              <w:pStyle w:val="zSoquijdatNomPartieInt"/>
              <w:rPr>
                <w:b/>
              </w:rPr>
            </w:pPr>
            <w:r w:rsidRPr="00FC7942">
              <w:rPr>
                <w:b/>
              </w:rPr>
              <w:t>Commission des normes, de l’équité, de la santé et de la sécurité du travail</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4A5845">
            <w:pPr>
              <w:pStyle w:val="zSoquijdatQtePartieInt"/>
              <w:ind w:left="708"/>
            </w:pPr>
            <w:r w:rsidRPr="00FC7942">
              <w:t xml:space="preserve">Partie intervenante  </w:t>
            </w:r>
            <w:r w:rsidRPr="00FC7942">
              <w:rPr>
                <w:b/>
              </w:rPr>
              <w:t>REQUÉRANTE</w:t>
            </w:r>
          </w:p>
        </w:tc>
        <w:tc>
          <w:tcPr>
            <w:tcW w:w="4820" w:type="dxa"/>
            <w:gridSpan w:val="2"/>
          </w:tcPr>
          <w:p w:rsidR="00942AB8" w:rsidRPr="00FC7942" w:rsidRDefault="00942AB8"/>
        </w:tc>
      </w:tr>
      <w:tr w:rsidR="00942AB8" w:rsidRPr="00FC7942" w:rsidTr="00D40ABA">
        <w:tc>
          <w:tcPr>
            <w:tcW w:w="4748" w:type="dxa"/>
            <w:gridSpan w:val="2"/>
          </w:tcPr>
          <w:p w:rsidR="00942AB8" w:rsidRPr="00FC7942" w:rsidRDefault="00942AB8"/>
        </w:tc>
        <w:tc>
          <w:tcPr>
            <w:tcW w:w="4820" w:type="dxa"/>
            <w:gridSpan w:val="2"/>
          </w:tcPr>
          <w:p w:rsidR="00942AB8" w:rsidRPr="00FC7942" w:rsidRDefault="00942AB8"/>
        </w:tc>
      </w:tr>
    </w:tbl>
    <w:p w:rsidR="00C74B6F" w:rsidRPr="00FC7942" w:rsidRDefault="00C74B6F">
      <w:r w:rsidRPr="00FC7942">
        <w:t>______________________________________________________________________</w:t>
      </w:r>
    </w:p>
    <w:p w:rsidR="00C74B6F" w:rsidRPr="00FC7942" w:rsidRDefault="00C74B6F"/>
    <w:p w:rsidR="00C74B6F" w:rsidRPr="00FC7942" w:rsidRDefault="00C74B6F" w:rsidP="008B042E">
      <w:pPr>
        <w:jc w:val="center"/>
        <w:rPr>
          <w:b/>
          <w:bCs/>
        </w:rPr>
      </w:pPr>
      <w:bookmarkStart w:id="6" w:name="decision"/>
      <w:r w:rsidRPr="00FC7942">
        <w:rPr>
          <w:b/>
          <w:bCs/>
        </w:rPr>
        <w:t>DÉCISION</w:t>
      </w:r>
      <w:bookmarkEnd w:id="6"/>
      <w:r w:rsidR="0030353D" w:rsidRPr="00FC7942">
        <w:rPr>
          <w:b/>
          <w:bCs/>
        </w:rPr>
        <w:t xml:space="preserve"> RELATIVE À UNE QUESTION INCIDENTE</w:t>
      </w:r>
    </w:p>
    <w:p w:rsidR="00C74B6F" w:rsidRPr="00FC7942" w:rsidRDefault="00C74B6F">
      <w:pPr>
        <w:jc w:val="center"/>
      </w:pPr>
      <w:r w:rsidRPr="00FC7942">
        <w:t>______________________________________________________________________</w:t>
      </w:r>
    </w:p>
    <w:p w:rsidR="00C74B6F" w:rsidRPr="00FC7942" w:rsidRDefault="00C74B6F"/>
    <w:p w:rsidR="00C74B6F" w:rsidRPr="00FC7942" w:rsidRDefault="00C74B6F"/>
    <w:p w:rsidR="00C74B6F" w:rsidRPr="00FC7942" w:rsidRDefault="00622EA9" w:rsidP="00622EA9">
      <w:pPr>
        <w:pStyle w:val="corpsdedcision"/>
        <w:numPr>
          <w:ilvl w:val="0"/>
          <w:numId w:val="0"/>
        </w:numPr>
        <w:rPr>
          <w:b/>
        </w:rPr>
      </w:pPr>
      <w:r w:rsidRPr="00FC7942">
        <w:rPr>
          <w:b/>
        </w:rPr>
        <w:t>APERÇU</w:t>
      </w:r>
    </w:p>
    <w:p w:rsidR="00622EA9" w:rsidRPr="00FC7942" w:rsidRDefault="00622EA9" w:rsidP="008F2533">
      <w:pPr>
        <w:pStyle w:val="corpsdedcision"/>
        <w:tabs>
          <w:tab w:val="clear" w:pos="360"/>
        </w:tabs>
      </w:pPr>
      <w:r w:rsidRPr="00FC7942">
        <w:t xml:space="preserve">Monsieur Yannick Hamel, le travailleur a subi une lésion professionnelle qui a été reconnue par la Commission des normes, de l’équité, de la santé et de la sécurité du travail, la Commission. </w:t>
      </w:r>
    </w:p>
    <w:p w:rsidR="00622EA9" w:rsidRPr="00FC7942" w:rsidRDefault="00622EA9" w:rsidP="008F2533">
      <w:pPr>
        <w:pStyle w:val="corpsdedcision"/>
        <w:tabs>
          <w:tab w:val="clear" w:pos="360"/>
        </w:tabs>
      </w:pPr>
      <w:r w:rsidRPr="00FC7942">
        <w:t xml:space="preserve">Dans le cadre de cette lésion professionnelle, après avoir fait examiner le travailleur, Olymel Yamachiche, l’employeur, a demandé à la Commission de soumettre des questions médicales au Bureau d’évaluation médicale. </w:t>
      </w:r>
    </w:p>
    <w:p w:rsidR="00622EA9" w:rsidRPr="00FC7942" w:rsidRDefault="00622EA9" w:rsidP="008F2533">
      <w:pPr>
        <w:pStyle w:val="corpsdedcision"/>
        <w:tabs>
          <w:tab w:val="clear" w:pos="360"/>
        </w:tabs>
      </w:pPr>
      <w:r w:rsidRPr="00FC7942">
        <w:t xml:space="preserve">Après avoir obtenu l’avis </w:t>
      </w:r>
      <w:r w:rsidR="00B92E27" w:rsidRPr="00FC7942">
        <w:t xml:space="preserve">du Bureau d’évaluation </w:t>
      </w:r>
      <w:r w:rsidRPr="00FC7942">
        <w:t>médical</w:t>
      </w:r>
      <w:r w:rsidR="00B92E27" w:rsidRPr="00FC7942">
        <w:t>e</w:t>
      </w:r>
      <w:r w:rsidRPr="00FC7942">
        <w:t xml:space="preserve"> demandé, la Commission rend une décision portant notamment sur </w:t>
      </w:r>
      <w:r w:rsidR="00B92E27" w:rsidRPr="00FC7942">
        <w:t>l</w:t>
      </w:r>
      <w:r w:rsidRPr="00FC7942">
        <w:t>es questions médicales</w:t>
      </w:r>
      <w:r w:rsidR="00B92E27" w:rsidRPr="00FC7942">
        <w:t xml:space="preserve"> visées par l’avis</w:t>
      </w:r>
      <w:r w:rsidRPr="00FC7942">
        <w:t>. L’employeur contest</w:t>
      </w:r>
      <w:r w:rsidR="0003000E" w:rsidRPr="00FC7942">
        <w:t>e</w:t>
      </w:r>
      <w:r w:rsidRPr="00FC7942">
        <w:t xml:space="preserve"> </w:t>
      </w:r>
      <w:r w:rsidR="0003000E" w:rsidRPr="00FC7942">
        <w:t xml:space="preserve">le 9 octobre 2018, </w:t>
      </w:r>
      <w:r w:rsidRPr="00FC7942">
        <w:t>devant le Tribunal administratif du travail, la décision de la Commission rendue à la suite d’une révision administrative.</w:t>
      </w:r>
    </w:p>
    <w:p w:rsidR="0003000E" w:rsidRPr="00FC7942" w:rsidRDefault="0003000E" w:rsidP="008F2533">
      <w:pPr>
        <w:pStyle w:val="corpsdedcision"/>
        <w:tabs>
          <w:tab w:val="clear" w:pos="360"/>
        </w:tabs>
      </w:pPr>
      <w:r w:rsidRPr="00FC7942">
        <w:t xml:space="preserve">La Commission dépose le 25 octobre 2018 un avis d’intervention prévu à la </w:t>
      </w:r>
      <w:r w:rsidRPr="00FC7942">
        <w:rPr>
          <w:i/>
        </w:rPr>
        <w:t>Loi instituant le Tribunal administratif du travail</w:t>
      </w:r>
      <w:r w:rsidRPr="00FC7942">
        <w:rPr>
          <w:rStyle w:val="Appelnotedebasdep"/>
        </w:rPr>
        <w:footnoteReference w:id="1"/>
      </w:r>
      <w:r w:rsidRPr="00FC7942">
        <w:t>, la LITAT.</w:t>
      </w:r>
    </w:p>
    <w:p w:rsidR="002B5224" w:rsidRPr="00FC7942" w:rsidRDefault="002B5224" w:rsidP="008F2533">
      <w:pPr>
        <w:pStyle w:val="corpsdedcision"/>
        <w:tabs>
          <w:tab w:val="clear" w:pos="360"/>
        </w:tabs>
      </w:pPr>
      <w:r w:rsidRPr="00FC7942">
        <w:t>La Commission est avisée qu’un accord est intervenu entre les parties avant que soit déposé son avis d’intervention. Devant ce fait, la Commission dépose une demande voulant que soit reconnue son intervention. La Commission demande qu’une audition soit tenue sur cette demande. L’audience se tient le 20 février 2019.</w:t>
      </w:r>
    </w:p>
    <w:p w:rsidR="003A067D" w:rsidRPr="00946109" w:rsidRDefault="003A067D" w:rsidP="003A067D">
      <w:pPr>
        <w:pStyle w:val="corpsdedcision"/>
        <w:tabs>
          <w:tab w:val="clear" w:pos="360"/>
        </w:tabs>
      </w:pPr>
      <w:r w:rsidRPr="00946109">
        <w:t xml:space="preserve">La Commission suggère </w:t>
      </w:r>
      <w:r w:rsidR="005412EC">
        <w:t>qu’</w:t>
      </w:r>
      <w:r w:rsidRPr="00946109">
        <w:t xml:space="preserve">un délai minimal de 45 jours </w:t>
      </w:r>
      <w:r w:rsidR="00AF420E" w:rsidRPr="00946109">
        <w:t xml:space="preserve">lui soit consenti </w:t>
      </w:r>
      <w:r w:rsidRPr="00946109">
        <w:t>pour intervenir</w:t>
      </w:r>
      <w:r w:rsidR="00946109" w:rsidRPr="00946109">
        <w:t xml:space="preserve"> avant qu’un accord soit conclu</w:t>
      </w:r>
      <w:r w:rsidRPr="00946109">
        <w:t>. Il s’agit du même délai que celui existant pour déposer un acte introductif</w:t>
      </w:r>
      <w:r w:rsidRPr="00946109">
        <w:rPr>
          <w:rStyle w:val="Appelnotedebasdep"/>
        </w:rPr>
        <w:footnoteReference w:id="2"/>
      </w:r>
      <w:r w:rsidRPr="00946109">
        <w:t>. Elle considère que le délai de 16 jours rencontré dans le présent dossier est déraisonnable. La Commission explique le cheminement administratif, procédant notamment par les transferts électroniques de la transmission de la copie de l’acte introductif</w:t>
      </w:r>
      <w:r w:rsidRPr="00946109">
        <w:rPr>
          <w:rStyle w:val="Appelnotedebasdep"/>
        </w:rPr>
        <w:footnoteReference w:id="3"/>
      </w:r>
      <w:r w:rsidRPr="00946109">
        <w:t>. Elle plaide qu’un délai trop court équivaudrait à nier son droit d’intervention.</w:t>
      </w:r>
    </w:p>
    <w:p w:rsidR="003A067D" w:rsidRPr="00FC7942" w:rsidRDefault="003A067D" w:rsidP="003A067D">
      <w:pPr>
        <w:pStyle w:val="corpsdedcision"/>
        <w:tabs>
          <w:tab w:val="clear" w:pos="360"/>
          <w:tab w:val="num" w:pos="720"/>
        </w:tabs>
      </w:pPr>
      <w:r w:rsidRPr="00FC7942">
        <w:t>Les parties ont reconnu qu’antérieurement, cette période d’attente variait d’une direction régionale du Tribunal administratif du travail à l’autre. Les délais appliqués allaient de 0 à plus de 40 jours, selon la direction régionale. L’employeur confirme qu’une directive administrative fixant à 10 jours, la période d’attente avant de confirmer un accord, a été annoncée aux divers représentants d’employeurs et de travailleurs notamment par les juges administratifs coordonnateurs mais surtout par les conciliateurs.</w:t>
      </w:r>
    </w:p>
    <w:p w:rsidR="003A067D" w:rsidRPr="00FC7942" w:rsidRDefault="003A067D" w:rsidP="003E7C01">
      <w:pPr>
        <w:pStyle w:val="corpsdedcision"/>
        <w:tabs>
          <w:tab w:val="clear" w:pos="360"/>
        </w:tabs>
      </w:pPr>
      <w:r w:rsidRPr="00FC7942">
        <w:t>L’employeur et le travailleur sont d’avis que l’intervention de la Commission est tardive. Ils plaident qu’ils se sont conformés à la directive transmise et que le tout doit être jugé au cas par cas.</w:t>
      </w:r>
    </w:p>
    <w:p w:rsidR="003A067D" w:rsidRPr="00FC7942" w:rsidRDefault="003A067D" w:rsidP="008F2533">
      <w:pPr>
        <w:pStyle w:val="corpsdedcision"/>
        <w:tabs>
          <w:tab w:val="clear" w:pos="360"/>
        </w:tabs>
      </w:pPr>
      <w:r w:rsidRPr="00FC7942">
        <w:t>La question que soulève le litige se formule ainsi : Est-ce que la Commission est partie à la contestation considérant que son avis d’intervention est déposé 16</w:t>
      </w:r>
      <w:r w:rsidR="006775DB">
        <w:t> </w:t>
      </w:r>
      <w:r w:rsidRPr="00FC7942">
        <w:t>jours après le dépôt de l’acte introductif de l’employeur?</w:t>
      </w:r>
    </w:p>
    <w:p w:rsidR="003555FC" w:rsidRPr="00FC7942" w:rsidRDefault="003555FC" w:rsidP="008F2533">
      <w:pPr>
        <w:pStyle w:val="corpsdedcision"/>
        <w:tabs>
          <w:tab w:val="clear" w:pos="360"/>
        </w:tabs>
      </w:pPr>
      <w:r w:rsidRPr="00FC7942">
        <w:t>L’audience sur cette question préliminaire s’est tenue le 20 février 2019 au cours de laquelle, le Tribunal a demandé aux parties de répondre à des interrogations. Les parties ont présenté des argumentations écrites sur ces questions.</w:t>
      </w:r>
    </w:p>
    <w:p w:rsidR="002B5224" w:rsidRPr="00FC7942" w:rsidRDefault="002B5224" w:rsidP="008F2533">
      <w:pPr>
        <w:pStyle w:val="corpsdedcision"/>
        <w:tabs>
          <w:tab w:val="clear" w:pos="360"/>
        </w:tabs>
      </w:pPr>
      <w:r w:rsidRPr="00FC7942">
        <w:t>Pour les motifs qui suivent, le Tribunal conclut favorablement à la demande de la Commission et considère qu’un délai de 20 jours suivant le dépôt d’un acte introductif est raisonnable pour que la Commission puisse raisonnablement faire valoir son droit d’intervention.</w:t>
      </w:r>
    </w:p>
    <w:p w:rsidR="00033790" w:rsidRPr="00FC7942" w:rsidRDefault="00033790" w:rsidP="00033790">
      <w:pPr>
        <w:pStyle w:val="corpsdedcision"/>
        <w:numPr>
          <w:ilvl w:val="0"/>
          <w:numId w:val="0"/>
        </w:numPr>
        <w:rPr>
          <w:b/>
        </w:rPr>
      </w:pPr>
      <w:r w:rsidRPr="00FC7942">
        <w:rPr>
          <w:b/>
        </w:rPr>
        <w:t>Analyse</w:t>
      </w:r>
    </w:p>
    <w:p w:rsidR="00033790" w:rsidRPr="00FC7942" w:rsidRDefault="003555FC" w:rsidP="008F2533">
      <w:pPr>
        <w:pStyle w:val="corpsdedcision"/>
        <w:tabs>
          <w:tab w:val="clear" w:pos="360"/>
        </w:tabs>
      </w:pPr>
      <w:r w:rsidRPr="00FC7942">
        <w:t xml:space="preserve">Le Tribunal doit déterminer si la demande d’intervention de la Commission est recevable. Pour </w:t>
      </w:r>
      <w:r w:rsidR="006775DB">
        <w:t xml:space="preserve">ce faire, le Tribunal rappelle </w:t>
      </w:r>
      <w:r w:rsidRPr="00FC7942">
        <w:t>que la LITAT prévoit à l’article 13 :</w:t>
      </w:r>
    </w:p>
    <w:p w:rsidR="003555FC" w:rsidRPr="00FC7942" w:rsidRDefault="003555FC" w:rsidP="00001FB3">
      <w:pPr>
        <w:pStyle w:val="articlesdelaLSST"/>
        <w:spacing w:after="120"/>
      </w:pPr>
      <w:r w:rsidRPr="00FC7942">
        <w:rPr>
          <w:b/>
          <w:bCs/>
        </w:rPr>
        <w:t>13.</w:t>
      </w:r>
      <w:r w:rsidRPr="00FC7942">
        <w:t xml:space="preserve"> Sur réception d'un acte introductif dans une affaire relevant de la division de la santé et de la sécurité du travail, le Tribunal en délivre une copie aux autres parties et à la Commission des normes, de l'équité, de la santé et de la sécurité du travail. Cette dernière transmet alors au Tribunal et à chacune des parties, dans les 20 jours de la réception de la copie de cet acte, une copie du dossier qu'elle possède relativement à la décision contestée.</w:t>
      </w:r>
    </w:p>
    <w:p w:rsidR="003555FC" w:rsidRPr="00FC7942" w:rsidRDefault="003555FC" w:rsidP="00001FB3">
      <w:pPr>
        <w:pStyle w:val="articlesdelaLSST"/>
        <w:spacing w:after="120"/>
      </w:pPr>
      <w:r w:rsidRPr="00FC7942">
        <w:t>Le Tribunal a un droit d'accès au dossier que la Commission des normes, de l'équité, de la santé et de la sécurité du travail possède relativement à une affaire relevant de la division de la santé et de la sécurité du travail.</w:t>
      </w:r>
    </w:p>
    <w:p w:rsidR="003555FC" w:rsidRPr="00FC7942" w:rsidRDefault="003555FC">
      <w:pPr>
        <w:pStyle w:val="articlesdelaLSST"/>
      </w:pPr>
      <w:r w:rsidRPr="00FC7942">
        <w:t>La Commission des normes, de l'équité, de la santé et de la sécurité du travail peut intervenir devant cette division à tout moment jusqu'à la fin de l'enquête et de l'audition. Lorsqu'elle désire intervenir, elle transmet un avis à cet effet à chacune des parties et au Tribunal; elle est alors considérée partie à la contestation.</w:t>
      </w:r>
    </w:p>
    <w:p w:rsidR="003555FC" w:rsidRPr="00FC7942" w:rsidRDefault="003555FC">
      <w:pPr>
        <w:pStyle w:val="articlesdelaLSST"/>
      </w:pPr>
      <w:r w:rsidRPr="00FC7942">
        <w:t xml:space="preserve">__________ </w:t>
      </w:r>
    </w:p>
    <w:p w:rsidR="003555FC" w:rsidRPr="00FC7942" w:rsidRDefault="003555FC">
      <w:pPr>
        <w:pStyle w:val="articlesdelaLSST"/>
      </w:pPr>
      <w:r w:rsidRPr="00FC7942">
        <w:t>2015, c. 15, a. 13.</w:t>
      </w:r>
    </w:p>
    <w:p w:rsidR="003555FC" w:rsidRPr="00FC7942" w:rsidRDefault="003555FC">
      <w:pPr>
        <w:pStyle w:val="citation"/>
      </w:pPr>
      <w:r w:rsidRPr="00FC7942">
        <w:tab/>
      </w:r>
    </w:p>
    <w:p w:rsidR="003555FC" w:rsidRPr="00FC7942" w:rsidRDefault="003555FC">
      <w:pPr>
        <w:pStyle w:val="citation"/>
      </w:pPr>
    </w:p>
    <w:p w:rsidR="003555FC" w:rsidRPr="00FC7942" w:rsidRDefault="003555FC" w:rsidP="008F2533">
      <w:pPr>
        <w:pStyle w:val="corpsdedcision"/>
        <w:tabs>
          <w:tab w:val="clear" w:pos="360"/>
        </w:tabs>
      </w:pPr>
      <w:r w:rsidRPr="00FC7942">
        <w:t xml:space="preserve">Pour </w:t>
      </w:r>
      <w:r w:rsidR="003A067D" w:rsidRPr="00FC7942">
        <w:t>répondre à la question que soulève</w:t>
      </w:r>
      <w:r w:rsidRPr="00FC7942">
        <w:t xml:space="preserve"> la présente affaire, le Tribunal doit </w:t>
      </w:r>
      <w:r w:rsidR="003A067D" w:rsidRPr="00FC7942">
        <w:t>étudier les éléments suivant</w:t>
      </w:r>
      <w:r w:rsidRPr="00FC7942">
        <w:t>s :</w:t>
      </w:r>
    </w:p>
    <w:p w:rsidR="00142FE8" w:rsidRPr="00FC7942" w:rsidRDefault="003555FC" w:rsidP="002B3906">
      <w:pPr>
        <w:pStyle w:val="citation"/>
        <w:numPr>
          <w:ilvl w:val="0"/>
          <w:numId w:val="9"/>
        </w:numPr>
        <w:tabs>
          <w:tab w:val="left" w:pos="851"/>
        </w:tabs>
        <w:spacing w:after="120"/>
        <w:ind w:left="2977" w:hanging="2410"/>
        <w:rPr>
          <w:sz w:val="24"/>
          <w:szCs w:val="24"/>
        </w:rPr>
      </w:pPr>
      <w:r w:rsidRPr="00FC7942">
        <w:rPr>
          <w:sz w:val="24"/>
          <w:szCs w:val="24"/>
        </w:rPr>
        <w:t>Quel</w:t>
      </w:r>
      <w:r w:rsidR="00142FE8" w:rsidRPr="00FC7942">
        <w:rPr>
          <w:sz w:val="24"/>
          <w:szCs w:val="24"/>
        </w:rPr>
        <w:t>s sont les faits pertinents pour le sujet à débattre;</w:t>
      </w:r>
    </w:p>
    <w:p w:rsidR="003555FC" w:rsidRPr="00FC7942" w:rsidRDefault="00142FE8" w:rsidP="002B3906">
      <w:pPr>
        <w:pStyle w:val="citation"/>
        <w:numPr>
          <w:ilvl w:val="0"/>
          <w:numId w:val="9"/>
        </w:numPr>
        <w:tabs>
          <w:tab w:val="left" w:pos="851"/>
        </w:tabs>
        <w:spacing w:after="120"/>
        <w:ind w:left="2977" w:hanging="2410"/>
        <w:rPr>
          <w:sz w:val="24"/>
          <w:szCs w:val="24"/>
        </w:rPr>
      </w:pPr>
      <w:r w:rsidRPr="00FC7942">
        <w:rPr>
          <w:sz w:val="24"/>
          <w:szCs w:val="24"/>
        </w:rPr>
        <w:t>Quel est l’environnement juridique de la LITAT;</w:t>
      </w:r>
    </w:p>
    <w:p w:rsidR="00142FE8" w:rsidRPr="00FC7942" w:rsidRDefault="00142FE8" w:rsidP="00B92E27">
      <w:pPr>
        <w:pStyle w:val="citation"/>
        <w:numPr>
          <w:ilvl w:val="0"/>
          <w:numId w:val="9"/>
        </w:numPr>
        <w:tabs>
          <w:tab w:val="left" w:pos="851"/>
        </w:tabs>
        <w:spacing w:after="120"/>
        <w:ind w:left="851" w:hanging="284"/>
        <w:rPr>
          <w:sz w:val="24"/>
          <w:szCs w:val="24"/>
        </w:rPr>
      </w:pPr>
      <w:r w:rsidRPr="00FC7942">
        <w:rPr>
          <w:sz w:val="24"/>
          <w:szCs w:val="24"/>
        </w:rPr>
        <w:t xml:space="preserve">Quel </w:t>
      </w:r>
      <w:r w:rsidR="00F05911" w:rsidRPr="00FC7942">
        <w:rPr>
          <w:sz w:val="24"/>
          <w:szCs w:val="24"/>
        </w:rPr>
        <w:t xml:space="preserve">est </w:t>
      </w:r>
      <w:r w:rsidR="00EC6FAA" w:rsidRPr="00FC7942">
        <w:rPr>
          <w:sz w:val="24"/>
          <w:szCs w:val="24"/>
        </w:rPr>
        <w:t>le mécanisme de contestation</w:t>
      </w:r>
      <w:r w:rsidRPr="00FC7942">
        <w:rPr>
          <w:sz w:val="24"/>
          <w:szCs w:val="24"/>
        </w:rPr>
        <w:t xml:space="preserve"> </w:t>
      </w:r>
      <w:r w:rsidR="00B92E27" w:rsidRPr="00FC7942">
        <w:rPr>
          <w:sz w:val="24"/>
          <w:szCs w:val="24"/>
        </w:rPr>
        <w:t xml:space="preserve">et de conciliation </w:t>
      </w:r>
      <w:r w:rsidR="00F05911" w:rsidRPr="00FC7942">
        <w:rPr>
          <w:sz w:val="24"/>
          <w:szCs w:val="24"/>
        </w:rPr>
        <w:t xml:space="preserve">auprès </w:t>
      </w:r>
      <w:r w:rsidRPr="00FC7942">
        <w:rPr>
          <w:sz w:val="24"/>
          <w:szCs w:val="24"/>
        </w:rPr>
        <w:t>du Tribunal administratif du travail;</w:t>
      </w:r>
    </w:p>
    <w:p w:rsidR="00142FE8" w:rsidRPr="00FC7942" w:rsidRDefault="00142FE8" w:rsidP="00001FB3">
      <w:pPr>
        <w:pStyle w:val="citation"/>
        <w:numPr>
          <w:ilvl w:val="0"/>
          <w:numId w:val="9"/>
        </w:numPr>
        <w:tabs>
          <w:tab w:val="left" w:pos="851"/>
        </w:tabs>
        <w:spacing w:after="360"/>
        <w:ind w:left="851" w:hanging="284"/>
        <w:rPr>
          <w:sz w:val="24"/>
          <w:szCs w:val="24"/>
        </w:rPr>
      </w:pPr>
      <w:r w:rsidRPr="00FC7942">
        <w:rPr>
          <w:sz w:val="24"/>
          <w:szCs w:val="24"/>
        </w:rPr>
        <w:t>Quel sens doit-on donner aux expressions de l’article 13 de la LITAT</w:t>
      </w:r>
      <w:r w:rsidR="00700CE7" w:rsidRPr="00FC7942">
        <w:rPr>
          <w:sz w:val="22"/>
          <w:szCs w:val="24"/>
        </w:rPr>
        <w:t xml:space="preserve"> </w:t>
      </w:r>
      <w:r w:rsidR="00700CE7" w:rsidRPr="00FC7942">
        <w:rPr>
          <w:sz w:val="24"/>
          <w:szCs w:val="24"/>
        </w:rPr>
        <w:t>dans le cadre d’un processus de conciliation</w:t>
      </w:r>
      <w:r w:rsidR="00001FB3">
        <w:rPr>
          <w:sz w:val="24"/>
          <w:szCs w:val="24"/>
        </w:rPr>
        <w:t>.</w:t>
      </w:r>
    </w:p>
    <w:p w:rsidR="00700CE7" w:rsidRPr="00FC7942" w:rsidRDefault="00700CE7" w:rsidP="008F2533">
      <w:pPr>
        <w:pStyle w:val="corpsdedcision"/>
        <w:tabs>
          <w:tab w:val="clear" w:pos="360"/>
        </w:tabs>
      </w:pPr>
      <w:r w:rsidRPr="00FC7942">
        <w:t xml:space="preserve">Le Tribunal a eu le bénéfice d’étudier la décision rendue par le Tribunal administratif du travail dans l’affaire </w:t>
      </w:r>
      <w:r w:rsidRPr="00FC7942">
        <w:rPr>
          <w:i/>
        </w:rPr>
        <w:t>Société Groupe embouteillage Pepsi (Canada)</w:t>
      </w:r>
      <w:r w:rsidRPr="00FC7942">
        <w:t xml:space="preserve"> et </w:t>
      </w:r>
      <w:r w:rsidRPr="00FC7942">
        <w:rPr>
          <w:i/>
        </w:rPr>
        <w:t>Ruest-Vignola</w:t>
      </w:r>
      <w:r w:rsidRPr="00FC7942">
        <w:rPr>
          <w:rStyle w:val="Appelnotedebasdep"/>
        </w:rPr>
        <w:footnoteReference w:id="4"/>
      </w:r>
      <w:r w:rsidRPr="00FC7942">
        <w:t xml:space="preserve">, l’affaire </w:t>
      </w:r>
      <w:r w:rsidRPr="006775DB">
        <w:rPr>
          <w:i/>
        </w:rPr>
        <w:t>Pepsi</w:t>
      </w:r>
      <w:r w:rsidRPr="00FC7942">
        <w:t xml:space="preserve">, le 26 avril 2019. Le Tribunal indique d’emblée qu’il partage </w:t>
      </w:r>
      <w:r w:rsidRPr="00946109">
        <w:t xml:space="preserve">les </w:t>
      </w:r>
      <w:r w:rsidR="00B92E27" w:rsidRPr="00946109">
        <w:t xml:space="preserve">principales </w:t>
      </w:r>
      <w:r w:rsidRPr="00946109">
        <w:t>conclusions retenue</w:t>
      </w:r>
      <w:r w:rsidR="00AF420E" w:rsidRPr="00946109">
        <w:t>s</w:t>
      </w:r>
      <w:r w:rsidRPr="00946109">
        <w:t xml:space="preserve"> par sa collègue, la juge administrative Desbois. </w:t>
      </w:r>
      <w:r w:rsidRPr="00FC7942">
        <w:t xml:space="preserve">Aussi, plusieurs éléments des motifs de cette décision sont repris ici. Cependant, </w:t>
      </w:r>
      <w:r w:rsidR="00B92E27" w:rsidRPr="00FC7942">
        <w:t>avec égard</w:t>
      </w:r>
      <w:r w:rsidR="000408EA">
        <w:t>s</w:t>
      </w:r>
      <w:r w:rsidR="00B92E27" w:rsidRPr="00FC7942">
        <w:t xml:space="preserve">, </w:t>
      </w:r>
      <w:r w:rsidRPr="00FC7942">
        <w:t xml:space="preserve">le Tribunal croit essentiel d’indiquer </w:t>
      </w:r>
      <w:r w:rsidR="00B92E27" w:rsidRPr="00FC7942">
        <w:t xml:space="preserve">que </w:t>
      </w:r>
      <w:r w:rsidRPr="00FC7942">
        <w:t xml:space="preserve">certaines nuances ou divergences </w:t>
      </w:r>
      <w:r w:rsidR="00B92E27" w:rsidRPr="00FC7942">
        <w:t xml:space="preserve">doivent être énoncées </w:t>
      </w:r>
      <w:r w:rsidRPr="00FC7942">
        <w:t>quant à d’autres motivations.</w:t>
      </w:r>
    </w:p>
    <w:p w:rsidR="00723F82" w:rsidRPr="00FC7942" w:rsidRDefault="00113521" w:rsidP="00723F82">
      <w:pPr>
        <w:pStyle w:val="corpsdedcision"/>
        <w:numPr>
          <w:ilvl w:val="0"/>
          <w:numId w:val="8"/>
        </w:numPr>
        <w:ind w:hanging="1080"/>
        <w:rPr>
          <w:b/>
        </w:rPr>
      </w:pPr>
      <w:r w:rsidRPr="00FC7942">
        <w:rPr>
          <w:b/>
        </w:rPr>
        <w:t>Les faits pertinents</w:t>
      </w:r>
    </w:p>
    <w:p w:rsidR="00723F82" w:rsidRPr="00FC7942" w:rsidRDefault="00723F82" w:rsidP="008F2533">
      <w:pPr>
        <w:pStyle w:val="corpsdedcision"/>
        <w:tabs>
          <w:tab w:val="clear" w:pos="360"/>
        </w:tabs>
      </w:pPr>
      <w:r w:rsidRPr="00FC7942">
        <w:t>Pour le Tribunal, un simple tableau chronologique suffit pour résumer les faits pertinents au présent litige :</w:t>
      </w:r>
    </w:p>
    <w:p w:rsidR="00723F82" w:rsidRPr="00FC7942" w:rsidRDefault="00877182" w:rsidP="002B3906">
      <w:pPr>
        <w:pStyle w:val="citation"/>
        <w:numPr>
          <w:ilvl w:val="0"/>
          <w:numId w:val="9"/>
        </w:numPr>
        <w:tabs>
          <w:tab w:val="left" w:pos="851"/>
        </w:tabs>
        <w:spacing w:after="120"/>
        <w:ind w:left="2977" w:hanging="2410"/>
        <w:rPr>
          <w:sz w:val="24"/>
          <w:szCs w:val="24"/>
        </w:rPr>
      </w:pPr>
      <w:r w:rsidRPr="00FC7942">
        <w:rPr>
          <w:sz w:val="24"/>
          <w:szCs w:val="24"/>
        </w:rPr>
        <w:t>9 octobre 2018 :</w:t>
      </w:r>
      <w:r w:rsidRPr="00FC7942">
        <w:rPr>
          <w:sz w:val="24"/>
          <w:szCs w:val="24"/>
        </w:rPr>
        <w:tab/>
        <w:t>L’employeur dépose un acte introductif d’une décision de la Commission rendue à la suite d’une révision administrative;</w:t>
      </w:r>
    </w:p>
    <w:p w:rsidR="00877182" w:rsidRPr="00FC7942" w:rsidRDefault="00877182" w:rsidP="002B3906">
      <w:pPr>
        <w:pStyle w:val="citation"/>
        <w:numPr>
          <w:ilvl w:val="0"/>
          <w:numId w:val="9"/>
        </w:numPr>
        <w:tabs>
          <w:tab w:val="left" w:pos="851"/>
        </w:tabs>
        <w:spacing w:after="120"/>
        <w:ind w:left="2977" w:hanging="2410"/>
        <w:rPr>
          <w:sz w:val="24"/>
          <w:szCs w:val="24"/>
        </w:rPr>
      </w:pPr>
      <w:r w:rsidRPr="00FC7942">
        <w:rPr>
          <w:sz w:val="24"/>
          <w:szCs w:val="24"/>
        </w:rPr>
        <w:t>11 octobre 2018 :</w:t>
      </w:r>
      <w:r w:rsidRPr="00FC7942">
        <w:rPr>
          <w:sz w:val="24"/>
          <w:szCs w:val="24"/>
        </w:rPr>
        <w:tab/>
        <w:t xml:space="preserve">Le Tribunal transmet aux parties un accusé réception de l’acte introductif. La Commission est mise en copie de </w:t>
      </w:r>
      <w:r w:rsidR="00AF420E">
        <w:rPr>
          <w:sz w:val="24"/>
          <w:szCs w:val="24"/>
        </w:rPr>
        <w:t>l’</w:t>
      </w:r>
      <w:r w:rsidRPr="00FC7942">
        <w:rPr>
          <w:sz w:val="24"/>
          <w:szCs w:val="24"/>
        </w:rPr>
        <w:t>accusé-réception;</w:t>
      </w:r>
    </w:p>
    <w:p w:rsidR="00877182" w:rsidRPr="00FC7942" w:rsidRDefault="00877182" w:rsidP="002B3906">
      <w:pPr>
        <w:pStyle w:val="citation"/>
        <w:numPr>
          <w:ilvl w:val="0"/>
          <w:numId w:val="9"/>
        </w:numPr>
        <w:tabs>
          <w:tab w:val="left" w:pos="851"/>
        </w:tabs>
        <w:spacing w:after="120"/>
        <w:ind w:left="2977" w:hanging="2410"/>
        <w:rPr>
          <w:sz w:val="24"/>
          <w:szCs w:val="24"/>
        </w:rPr>
      </w:pPr>
      <w:r w:rsidRPr="00FC7942">
        <w:rPr>
          <w:sz w:val="24"/>
          <w:szCs w:val="24"/>
        </w:rPr>
        <w:t>12 octobre 2018 :</w:t>
      </w:r>
      <w:r w:rsidRPr="00FC7942">
        <w:rPr>
          <w:sz w:val="24"/>
          <w:szCs w:val="24"/>
        </w:rPr>
        <w:tab/>
        <w:t>La lettre est déposée par la Commission à son dossier électronique du travailleur;</w:t>
      </w:r>
    </w:p>
    <w:p w:rsidR="00877182" w:rsidRPr="00FC7942" w:rsidRDefault="00877182" w:rsidP="002B3906">
      <w:pPr>
        <w:pStyle w:val="citation"/>
        <w:numPr>
          <w:ilvl w:val="0"/>
          <w:numId w:val="9"/>
        </w:numPr>
        <w:tabs>
          <w:tab w:val="left" w:pos="851"/>
        </w:tabs>
        <w:spacing w:after="120"/>
        <w:ind w:left="2977" w:hanging="2410"/>
        <w:rPr>
          <w:sz w:val="24"/>
          <w:szCs w:val="24"/>
        </w:rPr>
      </w:pPr>
      <w:r w:rsidRPr="00FC7942">
        <w:rPr>
          <w:sz w:val="24"/>
          <w:szCs w:val="24"/>
        </w:rPr>
        <w:t>22 octobre 2018 :</w:t>
      </w:r>
      <w:r w:rsidRPr="00FC7942">
        <w:rPr>
          <w:sz w:val="24"/>
          <w:szCs w:val="24"/>
        </w:rPr>
        <w:tab/>
        <w:t xml:space="preserve">une inscription est faite au dossier du </w:t>
      </w:r>
      <w:r w:rsidR="002B3906" w:rsidRPr="00FC7942">
        <w:rPr>
          <w:sz w:val="24"/>
          <w:szCs w:val="24"/>
        </w:rPr>
        <w:t>Tribunal administratif du travail</w:t>
      </w:r>
      <w:r w:rsidRPr="00FC7942">
        <w:rPr>
          <w:sz w:val="24"/>
          <w:szCs w:val="24"/>
        </w:rPr>
        <w:t xml:space="preserve"> indiquant «</w:t>
      </w:r>
      <w:r w:rsidR="006775DB">
        <w:rPr>
          <w:sz w:val="24"/>
          <w:szCs w:val="24"/>
        </w:rPr>
        <w:t> </w:t>
      </w:r>
      <w:r w:rsidRPr="00FC7942">
        <w:rPr>
          <w:sz w:val="24"/>
          <w:szCs w:val="24"/>
        </w:rPr>
        <w:t>Règlement à venir</w:t>
      </w:r>
      <w:r w:rsidR="006775DB">
        <w:rPr>
          <w:sz w:val="24"/>
          <w:szCs w:val="24"/>
        </w:rPr>
        <w:t> </w:t>
      </w:r>
      <w:r w:rsidRPr="00FC7942">
        <w:rPr>
          <w:sz w:val="24"/>
          <w:szCs w:val="24"/>
        </w:rPr>
        <w:t>»;</w:t>
      </w:r>
    </w:p>
    <w:p w:rsidR="00877182" w:rsidRPr="00FC7942" w:rsidRDefault="00877182" w:rsidP="002B3906">
      <w:pPr>
        <w:pStyle w:val="citation"/>
        <w:numPr>
          <w:ilvl w:val="0"/>
          <w:numId w:val="9"/>
        </w:numPr>
        <w:tabs>
          <w:tab w:val="left" w:pos="851"/>
        </w:tabs>
        <w:spacing w:after="120"/>
        <w:ind w:left="2977" w:hanging="2410"/>
        <w:rPr>
          <w:sz w:val="24"/>
          <w:szCs w:val="24"/>
        </w:rPr>
      </w:pPr>
      <w:r w:rsidRPr="00FC7942">
        <w:rPr>
          <w:sz w:val="24"/>
          <w:szCs w:val="24"/>
        </w:rPr>
        <w:t>25 octobre 2018 :</w:t>
      </w:r>
      <w:r w:rsidRPr="00FC7942">
        <w:rPr>
          <w:sz w:val="24"/>
          <w:szCs w:val="24"/>
        </w:rPr>
        <w:tab/>
        <w:t xml:space="preserve">La Commission produit, par télécopieur, </w:t>
      </w:r>
      <w:r w:rsidR="002B3906" w:rsidRPr="00FC7942">
        <w:rPr>
          <w:sz w:val="24"/>
          <w:szCs w:val="24"/>
        </w:rPr>
        <w:t xml:space="preserve">au greffe du Tribunal administratif du travail </w:t>
      </w:r>
      <w:r w:rsidRPr="00FC7942">
        <w:rPr>
          <w:sz w:val="24"/>
          <w:szCs w:val="24"/>
        </w:rPr>
        <w:t>un avis d’intervention</w:t>
      </w:r>
      <w:r w:rsidR="002B3906" w:rsidRPr="00FC7942">
        <w:rPr>
          <w:sz w:val="24"/>
          <w:szCs w:val="24"/>
        </w:rPr>
        <w:t>. Une copie est transmise aux parties par la poste;</w:t>
      </w:r>
    </w:p>
    <w:p w:rsidR="002B3906" w:rsidRPr="00FC7942" w:rsidRDefault="002B3906" w:rsidP="002B3906">
      <w:pPr>
        <w:pStyle w:val="citation"/>
        <w:numPr>
          <w:ilvl w:val="0"/>
          <w:numId w:val="9"/>
        </w:numPr>
        <w:tabs>
          <w:tab w:val="left" w:pos="851"/>
        </w:tabs>
        <w:spacing w:after="120"/>
        <w:ind w:left="2977" w:hanging="2410"/>
        <w:rPr>
          <w:sz w:val="24"/>
          <w:szCs w:val="24"/>
        </w:rPr>
      </w:pPr>
      <w:r w:rsidRPr="00FC7942">
        <w:rPr>
          <w:sz w:val="24"/>
          <w:szCs w:val="24"/>
        </w:rPr>
        <w:t>26 octobre 2018 :</w:t>
      </w:r>
      <w:r w:rsidRPr="00FC7942">
        <w:rPr>
          <w:sz w:val="24"/>
          <w:szCs w:val="24"/>
        </w:rPr>
        <w:tab/>
        <w:t>Le juge administratif coordonnateur indique au procureur de la Commission qu’il ne peut donner suite à son intervention, puisque cet avis a été produit après qu’un règlement ait été conclu entre les parties;</w:t>
      </w:r>
    </w:p>
    <w:p w:rsidR="002B3906" w:rsidRDefault="002B3906" w:rsidP="002B3906">
      <w:pPr>
        <w:pStyle w:val="citation"/>
        <w:numPr>
          <w:ilvl w:val="0"/>
          <w:numId w:val="9"/>
        </w:numPr>
        <w:tabs>
          <w:tab w:val="left" w:pos="851"/>
        </w:tabs>
        <w:spacing w:after="120"/>
        <w:ind w:left="2977" w:hanging="2410"/>
        <w:rPr>
          <w:sz w:val="24"/>
          <w:szCs w:val="24"/>
        </w:rPr>
      </w:pPr>
      <w:r w:rsidRPr="00FC7942">
        <w:rPr>
          <w:sz w:val="24"/>
          <w:szCs w:val="24"/>
        </w:rPr>
        <w:t>31 octobre 2018 :</w:t>
      </w:r>
      <w:r w:rsidRPr="00FC7942">
        <w:rPr>
          <w:sz w:val="24"/>
          <w:szCs w:val="24"/>
        </w:rPr>
        <w:tab/>
        <w:t>La Commission demande audience devant le Tribunal administratif du travail afin de faire reconnaître son droit à l’intervention. Elle indique que la situation a pour effet de nier son droit</w:t>
      </w:r>
      <w:r w:rsidR="00AF420E">
        <w:rPr>
          <w:sz w:val="24"/>
          <w:szCs w:val="24"/>
        </w:rPr>
        <w:t>;</w:t>
      </w:r>
    </w:p>
    <w:p w:rsidR="002B3906" w:rsidRPr="00FC7942" w:rsidRDefault="002B3906" w:rsidP="002B3906">
      <w:pPr>
        <w:pStyle w:val="citation"/>
        <w:numPr>
          <w:ilvl w:val="0"/>
          <w:numId w:val="9"/>
        </w:numPr>
        <w:tabs>
          <w:tab w:val="left" w:pos="851"/>
        </w:tabs>
        <w:spacing w:after="120"/>
        <w:ind w:left="2977" w:hanging="2410"/>
        <w:rPr>
          <w:sz w:val="24"/>
          <w:szCs w:val="24"/>
        </w:rPr>
      </w:pPr>
      <w:r w:rsidRPr="00FC7942">
        <w:rPr>
          <w:sz w:val="24"/>
          <w:szCs w:val="24"/>
        </w:rPr>
        <w:t>4 décembre 2018 :</w:t>
      </w:r>
      <w:r w:rsidRPr="00FC7942">
        <w:rPr>
          <w:sz w:val="24"/>
          <w:szCs w:val="24"/>
        </w:rPr>
        <w:tab/>
        <w:t>Un avis de convocation est émis;</w:t>
      </w:r>
    </w:p>
    <w:p w:rsidR="002B3906" w:rsidRPr="00FC7942" w:rsidRDefault="002B3906" w:rsidP="00001FB3">
      <w:pPr>
        <w:pStyle w:val="citation"/>
        <w:numPr>
          <w:ilvl w:val="0"/>
          <w:numId w:val="9"/>
        </w:numPr>
        <w:tabs>
          <w:tab w:val="left" w:pos="851"/>
        </w:tabs>
        <w:spacing w:after="360"/>
        <w:ind w:left="2977" w:hanging="2410"/>
        <w:rPr>
          <w:sz w:val="24"/>
          <w:szCs w:val="24"/>
        </w:rPr>
      </w:pPr>
      <w:r w:rsidRPr="00FC7942">
        <w:rPr>
          <w:sz w:val="24"/>
          <w:szCs w:val="24"/>
        </w:rPr>
        <w:t>20 février 2019 :</w:t>
      </w:r>
      <w:r w:rsidRPr="00FC7942">
        <w:rPr>
          <w:sz w:val="24"/>
          <w:szCs w:val="24"/>
        </w:rPr>
        <w:tab/>
        <w:t>L’audience sur la demande a lieu.</w:t>
      </w:r>
    </w:p>
    <w:p w:rsidR="00113521" w:rsidRPr="00FC7942" w:rsidRDefault="00113521" w:rsidP="00113521">
      <w:pPr>
        <w:pStyle w:val="corpsdedcision"/>
        <w:numPr>
          <w:ilvl w:val="0"/>
          <w:numId w:val="8"/>
        </w:numPr>
        <w:ind w:hanging="1080"/>
        <w:rPr>
          <w:b/>
        </w:rPr>
      </w:pPr>
      <w:r w:rsidRPr="00FC7942">
        <w:rPr>
          <w:b/>
        </w:rPr>
        <w:t>Les principes de la jus</w:t>
      </w:r>
      <w:r w:rsidR="00AF420E">
        <w:rPr>
          <w:b/>
        </w:rPr>
        <w:t>tice administrative et la LITAT</w:t>
      </w:r>
    </w:p>
    <w:p w:rsidR="00113521" w:rsidRPr="00FC7942" w:rsidRDefault="006A6B01" w:rsidP="00113521">
      <w:pPr>
        <w:pStyle w:val="corpsdedcision"/>
        <w:tabs>
          <w:tab w:val="clear" w:pos="360"/>
          <w:tab w:val="num" w:pos="720"/>
        </w:tabs>
      </w:pPr>
      <w:r w:rsidRPr="00FC7942">
        <w:t xml:space="preserve">Le Tribunal administratif du travail dans l’affaire </w:t>
      </w:r>
      <w:r w:rsidRPr="00FC7942">
        <w:rPr>
          <w:i/>
        </w:rPr>
        <w:t>Pepsi</w:t>
      </w:r>
      <w:r w:rsidRPr="00FC7942">
        <w:rPr>
          <w:rStyle w:val="Appelnotedebasdep"/>
        </w:rPr>
        <w:footnoteReference w:id="5"/>
      </w:r>
      <w:r w:rsidRPr="00FC7942">
        <w:t xml:space="preserve"> situe l’environnement juridique</w:t>
      </w:r>
      <w:r w:rsidR="00A729EF" w:rsidRPr="00FC7942">
        <w:t>. Il est écrit :</w:t>
      </w:r>
    </w:p>
    <w:p w:rsidR="00A729EF" w:rsidRPr="00FC7942" w:rsidRDefault="00A729EF" w:rsidP="006775DB">
      <w:pPr>
        <w:pStyle w:val="citation"/>
        <w:spacing w:after="120"/>
      </w:pPr>
      <w:r w:rsidRPr="00FC7942">
        <w:t>[9]</w:t>
      </w:r>
      <w:r w:rsidRPr="00FC7942">
        <w:tab/>
        <w:t>Le Tribunal estime opportun de rappeler d’emblée le cadre juridique dans lequel il évolue, soit celui de la justice administrative. La Loi</w:t>
      </w:r>
      <w:r w:rsidR="006775DB">
        <w:t xml:space="preserve"> sur la justice administrative </w:t>
      </w:r>
      <w:r w:rsidRPr="00FC7942">
        <w:t xml:space="preserve">(la LJA) est univoque quant aux règles devant gouverner la procédure et la prise de décision du Tribunal : </w:t>
      </w:r>
    </w:p>
    <w:p w:rsidR="00A729EF" w:rsidRPr="00FC7942" w:rsidRDefault="00A729EF" w:rsidP="006775DB">
      <w:pPr>
        <w:pStyle w:val="Citationendoubleretrait"/>
        <w:spacing w:after="120"/>
        <w:rPr>
          <w:sz w:val="18"/>
          <w:szCs w:val="18"/>
        </w:rPr>
      </w:pPr>
      <w:r w:rsidRPr="00FC7942">
        <w:rPr>
          <w:sz w:val="18"/>
          <w:szCs w:val="18"/>
        </w:rPr>
        <w:t>9.</w:t>
      </w:r>
      <w:r w:rsidRPr="00FC7942">
        <w:rPr>
          <w:sz w:val="18"/>
          <w:szCs w:val="18"/>
        </w:rPr>
        <w:tab/>
      </w:r>
      <w:r w:rsidRPr="006775DB">
        <w:rPr>
          <w:sz w:val="18"/>
          <w:szCs w:val="18"/>
          <w:u w:val="single"/>
        </w:rPr>
        <w:t>Les procédures menant à une décision</w:t>
      </w:r>
      <w:r w:rsidRPr="00FC7942">
        <w:rPr>
          <w:sz w:val="18"/>
          <w:szCs w:val="18"/>
        </w:rPr>
        <w:t xml:space="preserve"> prise par le Tribunal administratif du Québec ou par un autre organisme de l’ordre administratif chargé de trancher des litiges opposant un administré à une autorité administrative ou à une autorité décentralisée sont conduites, de manière à permettre un débat loyal, dans le respect du devoir d’agir de façon impartiale.</w:t>
      </w:r>
    </w:p>
    <w:p w:rsidR="00A729EF" w:rsidRPr="00FC7942" w:rsidRDefault="00A729EF" w:rsidP="006775DB">
      <w:pPr>
        <w:pStyle w:val="Citationendoubleretrait"/>
        <w:spacing w:after="120"/>
        <w:rPr>
          <w:sz w:val="18"/>
          <w:szCs w:val="18"/>
        </w:rPr>
      </w:pPr>
      <w:r w:rsidRPr="00FC7942">
        <w:rPr>
          <w:sz w:val="18"/>
          <w:szCs w:val="18"/>
        </w:rPr>
        <w:t>10.</w:t>
      </w:r>
      <w:r w:rsidRPr="00FC7942">
        <w:rPr>
          <w:sz w:val="18"/>
          <w:szCs w:val="18"/>
        </w:rPr>
        <w:tab/>
      </w:r>
      <w:r w:rsidRPr="006775DB">
        <w:rPr>
          <w:sz w:val="18"/>
          <w:szCs w:val="18"/>
          <w:u w:val="single"/>
        </w:rPr>
        <w:t>L’organisme est tenu de donner aux parties l’occasion d’être entendues</w:t>
      </w:r>
      <w:r w:rsidRPr="00FC7942">
        <w:rPr>
          <w:sz w:val="18"/>
          <w:szCs w:val="18"/>
        </w:rPr>
        <w:t>.</w:t>
      </w:r>
    </w:p>
    <w:p w:rsidR="00A729EF" w:rsidRPr="00FC7942" w:rsidRDefault="00A729EF" w:rsidP="006775DB">
      <w:pPr>
        <w:pStyle w:val="citation"/>
        <w:ind w:left="1418"/>
      </w:pPr>
      <w:r w:rsidRPr="006775DB">
        <w:t>[Nos soulignements]</w:t>
      </w:r>
    </w:p>
    <w:p w:rsidR="00A729EF" w:rsidRDefault="00A729EF" w:rsidP="00A729EF">
      <w:pPr>
        <w:pStyle w:val="citation"/>
      </w:pPr>
    </w:p>
    <w:p w:rsidR="00001FB3" w:rsidRPr="00FC7942" w:rsidRDefault="00001FB3" w:rsidP="00A729EF">
      <w:pPr>
        <w:pStyle w:val="citation"/>
      </w:pPr>
    </w:p>
    <w:p w:rsidR="00A729EF" w:rsidRPr="00FC7942" w:rsidRDefault="00415109" w:rsidP="00A729EF">
      <w:pPr>
        <w:pStyle w:val="corpsdedcision"/>
        <w:tabs>
          <w:tab w:val="clear" w:pos="360"/>
          <w:tab w:val="num" w:pos="720"/>
        </w:tabs>
      </w:pPr>
      <w:r w:rsidRPr="00FC7942">
        <w:t xml:space="preserve">Le Tribunal ajoute que les principes de cette justice administrative </w:t>
      </w:r>
      <w:r w:rsidR="003A067D" w:rsidRPr="00FC7942">
        <w:t>sont</w:t>
      </w:r>
      <w:r w:rsidRPr="00FC7942">
        <w:t xml:space="preserve"> </w:t>
      </w:r>
      <w:r w:rsidR="005A1CA2" w:rsidRPr="00FC7942">
        <w:t>prévu</w:t>
      </w:r>
      <w:r w:rsidR="003A067D" w:rsidRPr="00FC7942">
        <w:t>s</w:t>
      </w:r>
      <w:r w:rsidR="005A1CA2" w:rsidRPr="00FC7942">
        <w:t xml:space="preserve"> à l’</w:t>
      </w:r>
      <w:r w:rsidRPr="00FC7942">
        <w:t>article</w:t>
      </w:r>
      <w:r w:rsidR="006775DB">
        <w:t> </w:t>
      </w:r>
      <w:r w:rsidRPr="00FC7942">
        <w:t>1</w:t>
      </w:r>
      <w:r w:rsidR="00023E0D" w:rsidRPr="00FC7942">
        <w:t xml:space="preserve"> de la </w:t>
      </w:r>
      <w:r w:rsidR="00023E0D" w:rsidRPr="00FC7942">
        <w:rPr>
          <w:i/>
        </w:rPr>
        <w:t>Loi sur la justice administrative</w:t>
      </w:r>
      <w:r w:rsidR="00023E0D" w:rsidRPr="00FC7942">
        <w:rPr>
          <w:rStyle w:val="Appelnotedebasdep"/>
          <w:i/>
        </w:rPr>
        <w:footnoteReference w:id="6"/>
      </w:r>
      <w:r w:rsidR="00023E0D" w:rsidRPr="00FC7942">
        <w:t>, LJA.</w:t>
      </w:r>
      <w:r w:rsidR="005A1CA2" w:rsidRPr="00FC7942">
        <w:t xml:space="preserve"> </w:t>
      </w:r>
    </w:p>
    <w:p w:rsidR="005A1CA2" w:rsidRPr="00FC7942" w:rsidRDefault="005A1CA2" w:rsidP="005A1CA2">
      <w:pPr>
        <w:pStyle w:val="citation"/>
      </w:pPr>
      <w:r w:rsidRPr="00FC7942">
        <w:t xml:space="preserve">1. La présente loi a pour objet d’affirmer la spécificité de la justice administrative et d’en assurer </w:t>
      </w:r>
      <w:r w:rsidRPr="00FC7942">
        <w:rPr>
          <w:u w:val="single"/>
        </w:rPr>
        <w:t>la qualité</w:t>
      </w:r>
      <w:r w:rsidRPr="00FC7942">
        <w:t xml:space="preserve">, </w:t>
      </w:r>
      <w:r w:rsidRPr="00FC7942">
        <w:rPr>
          <w:u w:val="single"/>
        </w:rPr>
        <w:t>la célérité</w:t>
      </w:r>
      <w:r w:rsidRPr="00FC7942">
        <w:t xml:space="preserve"> et </w:t>
      </w:r>
      <w:r w:rsidRPr="00FC7942">
        <w:rPr>
          <w:u w:val="single"/>
        </w:rPr>
        <w:t>l’accessibilité</w:t>
      </w:r>
      <w:r w:rsidRPr="00FC7942">
        <w:t xml:space="preserve">, de même que d’assurer le respect des </w:t>
      </w:r>
      <w:r w:rsidRPr="00FC7942">
        <w:rPr>
          <w:u w:val="single"/>
        </w:rPr>
        <w:t>droits fondamentaux des administrés.</w:t>
      </w:r>
    </w:p>
    <w:p w:rsidR="005A1CA2" w:rsidRPr="00FC7942" w:rsidRDefault="005A1CA2" w:rsidP="005A1CA2">
      <w:pPr>
        <w:pStyle w:val="citation"/>
      </w:pPr>
    </w:p>
    <w:p w:rsidR="005A1CA2" w:rsidRPr="00FC7942" w:rsidRDefault="005A1CA2" w:rsidP="005A1CA2">
      <w:pPr>
        <w:pStyle w:val="citation"/>
      </w:pPr>
      <w:r w:rsidRPr="00FC7942">
        <w:t>Elle établit les règles générales de procédure applicables aux décisions individuelles prises à l’égard d’un administré. Ces règles de procédure diffèrent selon que les décisions sont prises dans l’exercice d’une fonction administrative ou d’une fonction juridictionnelle. Elles sont, s’il y a lieu, complétées par des règles particulières établies par la loi ou sous l’autorité de celle-ci.</w:t>
      </w:r>
    </w:p>
    <w:p w:rsidR="005A1CA2" w:rsidRPr="00FC7942" w:rsidRDefault="005A1CA2" w:rsidP="005A1CA2">
      <w:pPr>
        <w:pStyle w:val="citation"/>
      </w:pPr>
    </w:p>
    <w:p w:rsidR="005A1CA2" w:rsidRPr="00FC7942" w:rsidRDefault="005A1CA2" w:rsidP="005A1CA2">
      <w:pPr>
        <w:pStyle w:val="citation"/>
      </w:pPr>
      <w:r w:rsidRPr="00FC7942">
        <w:t>La présente loi institue également le Tribunal administratif du Québec et le Conseil de la justice administrative.</w:t>
      </w:r>
    </w:p>
    <w:p w:rsidR="005A1CA2" w:rsidRPr="00FC7942" w:rsidRDefault="005A1CA2" w:rsidP="005A1CA2">
      <w:pPr>
        <w:pStyle w:val="citation"/>
      </w:pPr>
      <w:r w:rsidRPr="00FC7942">
        <w:t>_____________</w:t>
      </w:r>
    </w:p>
    <w:p w:rsidR="005A1CA2" w:rsidRPr="00FC7942" w:rsidRDefault="005A1CA2" w:rsidP="005A1CA2">
      <w:pPr>
        <w:pStyle w:val="citation"/>
      </w:pPr>
      <w:r w:rsidRPr="00FC7942">
        <w:t>1996, c. 54, a. 1.</w:t>
      </w:r>
    </w:p>
    <w:p w:rsidR="005A1CA2" w:rsidRDefault="005A1CA2" w:rsidP="005A1CA2">
      <w:pPr>
        <w:pStyle w:val="citation"/>
      </w:pPr>
    </w:p>
    <w:p w:rsidR="00001FB3" w:rsidRPr="00946109" w:rsidRDefault="006775DB" w:rsidP="005A1CA2">
      <w:pPr>
        <w:pStyle w:val="citation"/>
        <w:rPr>
          <w:sz w:val="22"/>
          <w:szCs w:val="22"/>
        </w:rPr>
      </w:pPr>
      <w:r w:rsidRPr="00946109">
        <w:rPr>
          <w:sz w:val="22"/>
          <w:szCs w:val="22"/>
        </w:rPr>
        <w:t>[Nos soulignements]</w:t>
      </w:r>
    </w:p>
    <w:p w:rsidR="006775DB" w:rsidRDefault="006775DB" w:rsidP="005A1CA2">
      <w:pPr>
        <w:pStyle w:val="citation"/>
      </w:pPr>
    </w:p>
    <w:p w:rsidR="006775DB" w:rsidRPr="00FC7942" w:rsidRDefault="006775DB" w:rsidP="005A1CA2">
      <w:pPr>
        <w:pStyle w:val="citation"/>
      </w:pPr>
    </w:p>
    <w:p w:rsidR="005A1CA2" w:rsidRPr="00FC7942" w:rsidRDefault="005A1CA2" w:rsidP="005A1CA2">
      <w:pPr>
        <w:pStyle w:val="corpsdedcision"/>
        <w:tabs>
          <w:tab w:val="clear" w:pos="360"/>
          <w:tab w:val="num" w:pos="720"/>
        </w:tabs>
      </w:pPr>
      <w:r w:rsidRPr="00FC7942">
        <w:t>L’article 2 prévoit le devoir d’agir équitablement. Cette notion, de l’avis du Tribunal doit aussi recevoir application à l’égard des droits de la Commission dans le cadre d’un acte introductif.</w:t>
      </w:r>
      <w:r w:rsidR="008F09B3" w:rsidRPr="00FC7942">
        <w:t xml:space="preserve"> Certes, cette obligation vise en première ligne les administrés que sont le travailleur et l’employeur, </w:t>
      </w:r>
      <w:r w:rsidR="00B92E27" w:rsidRPr="00FC7942">
        <w:t>à l’étape de l’administration des dossiers devant la Commission</w:t>
      </w:r>
      <w:r w:rsidR="00023E0D" w:rsidRPr="00FC7942">
        <w:t xml:space="preserve">, </w:t>
      </w:r>
      <w:r w:rsidR="008F09B3" w:rsidRPr="00FC7942">
        <w:t xml:space="preserve">dans le cadre de la </w:t>
      </w:r>
      <w:r w:rsidR="008F09B3" w:rsidRPr="00FC7942">
        <w:rPr>
          <w:i/>
        </w:rPr>
        <w:t xml:space="preserve">Loi sur les </w:t>
      </w:r>
      <w:r w:rsidR="00023E0D" w:rsidRPr="00FC7942">
        <w:rPr>
          <w:i/>
        </w:rPr>
        <w:t xml:space="preserve">accidents du travail et les maladies </w:t>
      </w:r>
      <w:r w:rsidR="00023E0D" w:rsidRPr="00946109">
        <w:rPr>
          <w:i/>
        </w:rPr>
        <w:t>professionnelles</w:t>
      </w:r>
      <w:r w:rsidR="00023E0D" w:rsidRPr="00946109">
        <w:rPr>
          <w:rStyle w:val="Appelnotedebasdep"/>
          <w:i/>
        </w:rPr>
        <w:footnoteReference w:id="7"/>
      </w:r>
      <w:r w:rsidR="00023E0D" w:rsidRPr="00946109">
        <w:t xml:space="preserve">, la Loi. </w:t>
      </w:r>
      <w:r w:rsidR="00AF420E" w:rsidRPr="00946109">
        <w:t xml:space="preserve">Par contre, </w:t>
      </w:r>
      <w:r w:rsidR="00023E0D" w:rsidRPr="00946109">
        <w:t xml:space="preserve">le Tribunal considère que ce devoir s’applique </w:t>
      </w:r>
      <w:r w:rsidR="00023E0D" w:rsidRPr="00FC7942">
        <w:t xml:space="preserve">également aux parties </w:t>
      </w:r>
      <w:r w:rsidR="00B92E27" w:rsidRPr="00FC7942">
        <w:t xml:space="preserve">et </w:t>
      </w:r>
      <w:r w:rsidR="00023E0D" w:rsidRPr="00FC7942">
        <w:t>à l’égard de la Commission</w:t>
      </w:r>
      <w:r w:rsidR="00B92E27" w:rsidRPr="00FC7942">
        <w:t xml:space="preserve"> </w:t>
      </w:r>
      <w:r w:rsidR="003A067D" w:rsidRPr="00FC7942">
        <w:t>à la suite du dépôt d’un acte introductif</w:t>
      </w:r>
      <w:r w:rsidR="00B92E27" w:rsidRPr="00FC7942">
        <w:t xml:space="preserve"> devant le Tribunal administratif du travail</w:t>
      </w:r>
      <w:r w:rsidR="00023E0D" w:rsidRPr="00FC7942">
        <w:t>.</w:t>
      </w:r>
    </w:p>
    <w:p w:rsidR="00023E0D" w:rsidRPr="00FC7942" w:rsidRDefault="00023E0D" w:rsidP="005A1CA2">
      <w:pPr>
        <w:pStyle w:val="corpsdedcision"/>
        <w:tabs>
          <w:tab w:val="clear" w:pos="360"/>
          <w:tab w:val="num" w:pos="720"/>
        </w:tabs>
      </w:pPr>
      <w:r w:rsidRPr="00FC7942">
        <w:t>Ainsi, dans le cadre du litige devant le</w:t>
      </w:r>
      <w:r w:rsidR="00F05911" w:rsidRPr="00FC7942">
        <w:t xml:space="preserve"> Tribunal administratif du travail</w:t>
      </w:r>
      <w:r w:rsidRPr="00FC7942">
        <w:t xml:space="preserve">, </w:t>
      </w:r>
      <w:r w:rsidR="00B92E27" w:rsidRPr="00FC7942">
        <w:t>ce dernier doit</w:t>
      </w:r>
      <w:r w:rsidR="00F05911" w:rsidRPr="00FC7942">
        <w:t xml:space="preserve"> aussi agir équitablement envers tous, y compris la Commission. Cela veut dire notamment, ne pas procéder de façon à ignorer les droits que peut avoir la Commission.</w:t>
      </w:r>
      <w:r w:rsidR="0018515E" w:rsidRPr="00FC7942">
        <w:t xml:space="preserve"> En ce sens, l’affaire </w:t>
      </w:r>
      <w:r w:rsidR="0018515E" w:rsidRPr="00FC7942">
        <w:rPr>
          <w:i/>
        </w:rPr>
        <w:t>CRDITED Montérégie-Est</w:t>
      </w:r>
      <w:r w:rsidR="0018515E" w:rsidRPr="00FC7942">
        <w:t xml:space="preserve"> et </w:t>
      </w:r>
      <w:r w:rsidR="0018515E" w:rsidRPr="00FC7942">
        <w:rPr>
          <w:i/>
        </w:rPr>
        <w:t>Miclette</w:t>
      </w:r>
      <w:r w:rsidR="0018515E" w:rsidRPr="00FC7942">
        <w:rPr>
          <w:rStyle w:val="Appelnotedebasdep"/>
        </w:rPr>
        <w:footnoteReference w:id="8"/>
      </w:r>
      <w:r w:rsidR="0018515E" w:rsidRPr="00FC7942">
        <w:t xml:space="preserve"> rappelle de quelle façon doit s’appliquer le droit de la Commission en tant que partie :</w:t>
      </w:r>
    </w:p>
    <w:p w:rsidR="0018515E" w:rsidRPr="00FC7942" w:rsidRDefault="0018515E" w:rsidP="0018515E">
      <w:pPr>
        <w:pStyle w:val="citation"/>
      </w:pPr>
      <w:r w:rsidRPr="00FC7942">
        <w:t>[42]</w:t>
      </w:r>
      <w:r w:rsidRPr="00FC7942">
        <w:tab/>
        <w:t>Ainsi, lorsque la CSST intervient dans un dossier, l’article 429.16 de la loi prévoit qu’elle doit être considérée comme une partie à la contestation. Elle est donc habilitée, si elle le souhaite, et si elle respecte la seule obligation que le législateur lui impose, de présenter une preuve nouvelle pertinente devant le tribunal afin d’appuyer son argumentation</w:t>
      </w:r>
      <w:r w:rsidRPr="00FC7942">
        <w:rPr>
          <w:vertAlign w:val="superscript"/>
        </w:rPr>
        <w:t>2</w:t>
      </w:r>
      <w:r w:rsidRPr="00FC7942">
        <w:t>, et ce, jusqu’à la fin de l’enquête et audition</w:t>
      </w:r>
      <w:r w:rsidRPr="00FC7942">
        <w:rPr>
          <w:vertAlign w:val="superscript"/>
        </w:rPr>
        <w:t>3</w:t>
      </w:r>
      <w:r w:rsidRPr="00FC7942">
        <w:t>.</w:t>
      </w:r>
    </w:p>
    <w:p w:rsidR="0018515E" w:rsidRPr="00FC7942" w:rsidRDefault="0018515E" w:rsidP="0018515E">
      <w:pPr>
        <w:pStyle w:val="citation"/>
      </w:pPr>
    </w:p>
    <w:p w:rsidR="0018515E" w:rsidRDefault="0018515E" w:rsidP="0018515E">
      <w:pPr>
        <w:pStyle w:val="citation"/>
      </w:pPr>
      <w:r w:rsidRPr="00FC7942">
        <w:t>[43]</w:t>
      </w:r>
      <w:r w:rsidRPr="00FC7942">
        <w:tab/>
        <w:t>En cette qualité, elle doit être avisée de tout processus de conciliation dans le but d’en arriver à un accord et, si un tel accord intervient, elle doit, à titre de partie, le signer comme toutes les autres parties à la contestation.</w:t>
      </w:r>
    </w:p>
    <w:p w:rsidR="00DD6354" w:rsidRPr="00FC7942" w:rsidRDefault="00DD6354" w:rsidP="0018515E">
      <w:pPr>
        <w:pStyle w:val="citation"/>
      </w:pPr>
    </w:p>
    <w:p w:rsidR="0018515E" w:rsidRPr="00FC7942" w:rsidRDefault="0018515E" w:rsidP="0018515E">
      <w:pPr>
        <w:pStyle w:val="citation"/>
      </w:pPr>
      <w:r w:rsidRPr="00FC7942">
        <w:t>[44]</w:t>
      </w:r>
      <w:r w:rsidRPr="00FC7942">
        <w:tab/>
        <w:t>Dans ce contexte, même si la CSST décide de ne plus se présenter à l’audience, elle reste néanmoins partie au litige et aux débats</w:t>
      </w:r>
      <w:r w:rsidRPr="00FC7942">
        <w:rPr>
          <w:vertAlign w:val="superscript"/>
        </w:rPr>
        <w:t>4</w:t>
      </w:r>
      <w:r w:rsidRPr="00FC7942">
        <w:t>. D’ailleurs, cette dernière n’a jamais retiré ses avis de comparution.</w:t>
      </w:r>
    </w:p>
    <w:p w:rsidR="0018515E" w:rsidRPr="00FC7942" w:rsidRDefault="0018515E" w:rsidP="0018515E">
      <w:pPr>
        <w:pStyle w:val="citation"/>
      </w:pPr>
    </w:p>
    <w:p w:rsidR="0018515E" w:rsidRPr="00FC7942" w:rsidRDefault="0018515E" w:rsidP="0018515E">
      <w:pPr>
        <w:pStyle w:val="citation"/>
      </w:pPr>
      <w:r w:rsidRPr="00FC7942">
        <w:t>[…]</w:t>
      </w:r>
    </w:p>
    <w:p w:rsidR="0018515E" w:rsidRPr="00FC7942" w:rsidRDefault="0018515E" w:rsidP="0018515E">
      <w:pPr>
        <w:pStyle w:val="citation"/>
      </w:pPr>
    </w:p>
    <w:p w:rsidR="0018515E" w:rsidRPr="00FC7942" w:rsidRDefault="0018515E" w:rsidP="0018515E">
      <w:pPr>
        <w:pStyle w:val="citation"/>
      </w:pPr>
      <w:r w:rsidRPr="00FC7942">
        <w:t>[47]</w:t>
      </w:r>
      <w:r w:rsidRPr="00FC7942">
        <w:tab/>
        <w:t>En vertu de la théorie de l’expectative légitime, la CSST est justifiée de croire que, lorsqu’elle produit une intervention à la Commission des lésions professionnelles, elle sera avisée et consultée avant qu’un accord soit conclu entre les parties</w:t>
      </w:r>
      <w:r w:rsidRPr="00FC7942">
        <w:rPr>
          <w:vertAlign w:val="superscript"/>
        </w:rPr>
        <w:t>7</w:t>
      </w:r>
      <w:r w:rsidRPr="00FC7942">
        <w:t xml:space="preserve">. </w:t>
      </w:r>
    </w:p>
    <w:p w:rsidR="0018515E" w:rsidRPr="00FC7942" w:rsidRDefault="0018515E" w:rsidP="0018515E">
      <w:pPr>
        <w:pStyle w:val="citation"/>
      </w:pPr>
    </w:p>
    <w:p w:rsidR="0018515E" w:rsidRPr="00FC7942" w:rsidRDefault="0018515E" w:rsidP="0018515E">
      <w:pPr>
        <w:pStyle w:val="citation"/>
      </w:pPr>
      <w:r w:rsidRPr="00FC7942">
        <w:t>[48]</w:t>
      </w:r>
      <w:r w:rsidRPr="00FC7942">
        <w:tab/>
        <w:t>Ainsi, du fait de son intervention, la CSST acquiert également le statut de partie à la conciliation, ce qui implique le droit d’être convoquée à toute séance de conciliation et celui d’être appelée à signer tout accord pouvant en résulter.</w:t>
      </w:r>
    </w:p>
    <w:p w:rsidR="0018515E" w:rsidRDefault="0018515E" w:rsidP="0018515E">
      <w:pPr>
        <w:pStyle w:val="citation"/>
      </w:pPr>
    </w:p>
    <w:p w:rsidR="00DD6354" w:rsidRPr="00946109" w:rsidRDefault="00DD6354" w:rsidP="0018515E">
      <w:pPr>
        <w:pStyle w:val="citation"/>
        <w:rPr>
          <w:sz w:val="22"/>
          <w:szCs w:val="22"/>
        </w:rPr>
      </w:pPr>
      <w:r w:rsidRPr="00946109">
        <w:rPr>
          <w:sz w:val="22"/>
          <w:szCs w:val="22"/>
        </w:rPr>
        <w:t>[Notes omises]</w:t>
      </w:r>
    </w:p>
    <w:p w:rsidR="00DD6354" w:rsidRDefault="00DD6354" w:rsidP="0018515E">
      <w:pPr>
        <w:pStyle w:val="citation"/>
      </w:pPr>
    </w:p>
    <w:p w:rsidR="00B51F66" w:rsidRPr="00FC7942" w:rsidRDefault="00B51F66" w:rsidP="0018515E">
      <w:pPr>
        <w:pStyle w:val="citation"/>
      </w:pPr>
    </w:p>
    <w:p w:rsidR="00113521" w:rsidRPr="00FC7942" w:rsidRDefault="00EC6FAA" w:rsidP="00EC6FAA">
      <w:pPr>
        <w:pStyle w:val="corpsdedcision"/>
        <w:numPr>
          <w:ilvl w:val="0"/>
          <w:numId w:val="8"/>
        </w:numPr>
        <w:ind w:left="709" w:hanging="709"/>
        <w:rPr>
          <w:b/>
        </w:rPr>
      </w:pPr>
      <w:r w:rsidRPr="00FC7942">
        <w:rPr>
          <w:b/>
        </w:rPr>
        <w:t>Le mécanisme de contestation et d</w:t>
      </w:r>
      <w:r w:rsidR="00AF420E">
        <w:rPr>
          <w:b/>
        </w:rPr>
        <w:t xml:space="preserve">e </w:t>
      </w:r>
      <w:r w:rsidRPr="00FC7942">
        <w:rPr>
          <w:b/>
        </w:rPr>
        <w:t>conciliation</w:t>
      </w:r>
      <w:r w:rsidR="00113521" w:rsidRPr="00FC7942">
        <w:rPr>
          <w:b/>
        </w:rPr>
        <w:t xml:space="preserve"> du Tr</w:t>
      </w:r>
      <w:r w:rsidR="00AF420E">
        <w:rPr>
          <w:b/>
        </w:rPr>
        <w:t>ibunal administratif du travail</w:t>
      </w:r>
    </w:p>
    <w:p w:rsidR="00F05911" w:rsidRDefault="00F05911" w:rsidP="00F05911">
      <w:pPr>
        <w:pStyle w:val="corpsdedcision"/>
        <w:tabs>
          <w:tab w:val="clear" w:pos="360"/>
          <w:tab w:val="num" w:pos="720"/>
        </w:tabs>
      </w:pPr>
      <w:r w:rsidRPr="00FC7942">
        <w:t xml:space="preserve">Il est aussi utile de se rappeler que les décisions rendues par </w:t>
      </w:r>
      <w:r w:rsidR="00AF420E">
        <w:t xml:space="preserve">la </w:t>
      </w:r>
      <w:r w:rsidRPr="00FC7942">
        <w:t>Commission</w:t>
      </w:r>
      <w:r w:rsidRPr="00FC7942">
        <w:rPr>
          <w:rStyle w:val="Appelnotedebasdep"/>
        </w:rPr>
        <w:footnoteReference w:id="9"/>
      </w:r>
      <w:r w:rsidRPr="00FC7942">
        <w:t xml:space="preserve"> sont instruite</w:t>
      </w:r>
      <w:r w:rsidR="000408EA">
        <w:t>s</w:t>
      </w:r>
      <w:r w:rsidRPr="00FC7942">
        <w:t xml:space="preserve"> devant le Tribunal administratif du travail par le dépôt d’un acte introductif</w:t>
      </w:r>
      <w:r w:rsidRPr="00FC7942">
        <w:rPr>
          <w:rStyle w:val="Appelnotedebasdep"/>
        </w:rPr>
        <w:footnoteReference w:id="10"/>
      </w:r>
      <w:r w:rsidR="00652C96" w:rsidRPr="00FC7942">
        <w:t>. C’est donc dire que la Commission n’est pas encore partie au litige à cette étape des procédures. Le Tribunal fait sien</w:t>
      </w:r>
      <w:r w:rsidR="00FC7942">
        <w:t>s</w:t>
      </w:r>
      <w:r w:rsidR="00652C96" w:rsidRPr="00FC7942">
        <w:t xml:space="preserve"> les propos tenus au paragraphe 10 de l’affaire </w:t>
      </w:r>
      <w:r w:rsidR="00652C96" w:rsidRPr="00FC7942">
        <w:rPr>
          <w:i/>
        </w:rPr>
        <w:t>Pepsi</w:t>
      </w:r>
      <w:r w:rsidR="00652C96" w:rsidRPr="00FC7942">
        <w:rPr>
          <w:rStyle w:val="Appelnotedebasdep"/>
        </w:rPr>
        <w:footnoteReference w:id="11"/>
      </w:r>
      <w:r w:rsidR="00652C96" w:rsidRPr="00FC7942">
        <w:t> :</w:t>
      </w:r>
    </w:p>
    <w:p w:rsidR="00652C96" w:rsidRPr="00FC7942" w:rsidRDefault="00A36EFD" w:rsidP="00652C96">
      <w:pPr>
        <w:pStyle w:val="citation"/>
      </w:pPr>
      <w:r w:rsidRPr="00FC7942">
        <w:t>[10]</w:t>
      </w:r>
      <w:r w:rsidRPr="00FC7942">
        <w:tab/>
        <w:t>Dans les litiges soumis au Tribunal dans sa division de la santé et de la sécurité du travail, la Commission n’est pas d’emblée une partie : un employeur ou un travailleur contestent une décision rendue par celle-ci et ce sont eux qui sont au départ les parties au litige.</w:t>
      </w:r>
    </w:p>
    <w:p w:rsidR="00A36EFD" w:rsidRDefault="00A36EFD" w:rsidP="00652C96">
      <w:pPr>
        <w:pStyle w:val="citation"/>
      </w:pPr>
    </w:p>
    <w:p w:rsidR="00001FB3" w:rsidRPr="00FC7942" w:rsidRDefault="00001FB3" w:rsidP="00652C96">
      <w:pPr>
        <w:pStyle w:val="citation"/>
      </w:pPr>
    </w:p>
    <w:p w:rsidR="00A36EFD" w:rsidRPr="00FC7942" w:rsidRDefault="00A36EFD" w:rsidP="00A36EFD">
      <w:pPr>
        <w:pStyle w:val="corpsdedcision"/>
        <w:tabs>
          <w:tab w:val="clear" w:pos="360"/>
          <w:tab w:val="num" w:pos="720"/>
        </w:tabs>
      </w:pPr>
      <w:r w:rsidRPr="00FC7942">
        <w:t>Tel que mentionné, plus haut, selon de dernier alinéa de l’article</w:t>
      </w:r>
      <w:r w:rsidR="00DD6354">
        <w:t> </w:t>
      </w:r>
      <w:r w:rsidRPr="00FC7942">
        <w:t xml:space="preserve">13 de la LITAT, la Commission devient partie </w:t>
      </w:r>
      <w:r w:rsidR="00EC6FAA" w:rsidRPr="00FC7942">
        <w:t xml:space="preserve">à la contestation </w:t>
      </w:r>
      <w:r w:rsidRPr="00FC7942">
        <w:t>au moment où elle produit son avis d’intervention.</w:t>
      </w:r>
      <w:r w:rsidR="002006FB" w:rsidRPr="00FC7942">
        <w:t xml:space="preserve"> Sans les reprendre au long, le Tribunal fait sien</w:t>
      </w:r>
      <w:r w:rsidR="00FC7942">
        <w:t>s</w:t>
      </w:r>
      <w:r w:rsidR="002006FB" w:rsidRPr="00FC7942">
        <w:t xml:space="preserve"> les propos de l’affaire </w:t>
      </w:r>
      <w:r w:rsidR="00EC6FAA" w:rsidRPr="00FC7942">
        <w:rPr>
          <w:i/>
        </w:rPr>
        <w:t>C.H.</w:t>
      </w:r>
      <w:r w:rsidR="00EC6FAA" w:rsidRPr="00FC7942">
        <w:t xml:space="preserve"> </w:t>
      </w:r>
      <w:r w:rsidR="00EC6FAA" w:rsidRPr="00FC7942">
        <w:rPr>
          <w:i/>
        </w:rPr>
        <w:t>Champlain-Marie-Victorin</w:t>
      </w:r>
      <w:r w:rsidR="00EC6FAA" w:rsidRPr="00FC7942">
        <w:t xml:space="preserve"> et </w:t>
      </w:r>
      <w:r w:rsidR="00EC6FAA" w:rsidRPr="00FC7942">
        <w:rPr>
          <w:i/>
        </w:rPr>
        <w:t>Vezeau</w:t>
      </w:r>
      <w:r w:rsidR="00EC6FAA" w:rsidRPr="00FC7942">
        <w:rPr>
          <w:rStyle w:val="Appelnotedebasdep"/>
        </w:rPr>
        <w:footnoteReference w:id="12"/>
      </w:r>
      <w:r w:rsidR="00EC6FAA" w:rsidRPr="00FC7942">
        <w:t xml:space="preserve"> repris à juste titre, au paragraphe</w:t>
      </w:r>
      <w:r w:rsidR="00DD6354">
        <w:t> </w:t>
      </w:r>
      <w:r w:rsidR="00EC6FAA" w:rsidRPr="00FC7942">
        <w:t xml:space="preserve">15 de l’affaire </w:t>
      </w:r>
      <w:r w:rsidR="002006FB" w:rsidRPr="00FC7942">
        <w:rPr>
          <w:i/>
        </w:rPr>
        <w:t>Pepsi</w:t>
      </w:r>
      <w:r w:rsidR="002006FB" w:rsidRPr="00DD6354">
        <w:rPr>
          <w:rStyle w:val="Appelnotedebasdep"/>
          <w:i/>
        </w:rPr>
        <w:footnoteReference w:id="13"/>
      </w:r>
      <w:r w:rsidR="00EC6FAA" w:rsidRPr="00FC7942">
        <w:t> :</w:t>
      </w:r>
    </w:p>
    <w:p w:rsidR="00EC6FAA" w:rsidRPr="00FC7942" w:rsidRDefault="00EC6FAA" w:rsidP="00EC6FAA">
      <w:pPr>
        <w:pStyle w:val="citation"/>
      </w:pPr>
      <w:r w:rsidRPr="00FC7942">
        <w:t>[53]</w:t>
      </w:r>
      <w:r w:rsidRPr="00FC7942">
        <w:tab/>
        <w:t>Dans un ouvrage récent</w:t>
      </w:r>
      <w:r w:rsidRPr="00FC7942">
        <w:rPr>
          <w:vertAlign w:val="superscript"/>
        </w:rPr>
        <w:t>14</w:t>
      </w:r>
      <w:r w:rsidRPr="00FC7942">
        <w:t xml:space="preserve">, le professeur Patrice Garant, commente le statut de la CSST devant la Commission des lésions professionnelles. Il souligne d’abord que la CSST n’est pas un tribunal de première instance dont les décisions seraient portées en appel devant la Commission des lésions professionnelles, mais un organisme administratif exerçant essentiellement des fonctions administratives. Il ajoute que la CSST est un gestionnaire chargé de la perception et de la gestion d’un fonds d’assurance, ce qui l’amène à prendre des décisions comme administrateur en traitant des demandes d’indemnisation. Il estime qu’il est erroné d’appliquer à la CSST la jurisprudence portant sur la situation d’un tribunal de première instance comparaissant devant un tribunal administratif d’appel ou devant une cour supérieure en surveillance judiciaire. Il conclut que la CSST est une partie à part entière : </w:t>
      </w:r>
    </w:p>
    <w:p w:rsidR="00DB4389" w:rsidRPr="00FC7942" w:rsidRDefault="00DB4389" w:rsidP="00EC6FAA">
      <w:pPr>
        <w:pStyle w:val="citation"/>
      </w:pPr>
    </w:p>
    <w:p w:rsidR="00EC6FAA" w:rsidRPr="00FC7942" w:rsidRDefault="00EC6FAA" w:rsidP="00EC6FAA">
      <w:pPr>
        <w:pStyle w:val="Citationendoubleretrait"/>
        <w:rPr>
          <w:sz w:val="18"/>
          <w:szCs w:val="18"/>
        </w:rPr>
      </w:pPr>
      <w:r w:rsidRPr="00FC7942">
        <w:rPr>
          <w:sz w:val="18"/>
          <w:szCs w:val="18"/>
        </w:rPr>
        <w:t>Certains ont insisté sur l’ambiguïté du terme « partie » et la nécessité de recourir à la méthode d’interprétation dite « contextuelle moderne »</w:t>
      </w:r>
      <w:r w:rsidRPr="00DD6354">
        <w:rPr>
          <w:sz w:val="18"/>
          <w:szCs w:val="18"/>
          <w:vertAlign w:val="superscript"/>
        </w:rPr>
        <w:t>122</w:t>
      </w:r>
      <w:r w:rsidRPr="00FC7942">
        <w:rPr>
          <w:sz w:val="18"/>
          <w:szCs w:val="18"/>
        </w:rPr>
        <w:t>. Mais, au-delà des méthodes, il existe une première règle encore plus fondamentale selon laquelle lorsque le texte est clair, il n’y a pas lieu de recourir à des méthodes complexes d’interprétation</w:t>
      </w:r>
      <w:r w:rsidRPr="00DD6354">
        <w:rPr>
          <w:sz w:val="18"/>
          <w:szCs w:val="18"/>
          <w:vertAlign w:val="superscript"/>
        </w:rPr>
        <w:t>123</w:t>
      </w:r>
      <w:r w:rsidRPr="00FC7942">
        <w:rPr>
          <w:sz w:val="18"/>
          <w:szCs w:val="18"/>
        </w:rPr>
        <w:t xml:space="preserve">. Or, ici, le texte est clair. L’article 429.16 de ladite loi précise que la CSST peut « intervenir » devant la CLP et cela à tout moment jusqu’à la fin de l’audition. Elle peut également ne pas le faire et lorsqu’elle intervient, « elle est alors considérée comme partie à la contestation », c'est-à-dire au litige. Cette disposition confère à la CSST le droit d’intervenir et celui d’être considérée comme une partie. Ce droit n’est pas laissé à la discrétion de la CLP. Il découle de celui conféré à l’article 429.13 où le législateur ordonne à la CLP de « permettre aux parties de se faire entendre avant de prendre une décision ».  </w:t>
      </w:r>
    </w:p>
    <w:p w:rsidR="00EC6FAA" w:rsidRPr="00FC7942" w:rsidRDefault="00EC6FAA" w:rsidP="00EC6FAA">
      <w:pPr>
        <w:pStyle w:val="Citationendoubleretrait"/>
        <w:rPr>
          <w:sz w:val="18"/>
          <w:szCs w:val="18"/>
        </w:rPr>
      </w:pPr>
    </w:p>
    <w:p w:rsidR="00EC6FAA" w:rsidRPr="00FC7942" w:rsidRDefault="00EC6FAA" w:rsidP="00EC6FAA">
      <w:pPr>
        <w:pStyle w:val="Citationendoubleretrait"/>
        <w:rPr>
          <w:sz w:val="18"/>
          <w:szCs w:val="18"/>
        </w:rPr>
      </w:pPr>
      <w:r w:rsidRPr="00FC7942">
        <w:rPr>
          <w:sz w:val="18"/>
          <w:szCs w:val="18"/>
        </w:rPr>
        <w:t>On peut comprendre que le législateur n’ait pas automatiquement fait de la CSST une partie à titre d’intimée. Dans l’esprit de la réforme de la justice administrative énoncé à l’article 1 de la Loi sur la justice administrative (en assurer la qualité, la célérité), de même qu’à l’article 11 (mener les débats avec souplesse), le législateur s’en remet à la CSST qui doit décider s’il est approprié ou non d’intervenir au dossier.</w:t>
      </w:r>
    </w:p>
    <w:p w:rsidR="00EC6FAA" w:rsidRDefault="00EC6FAA" w:rsidP="00EC6FAA">
      <w:pPr>
        <w:pStyle w:val="Citationendoubleretrait"/>
        <w:rPr>
          <w:sz w:val="18"/>
          <w:szCs w:val="18"/>
        </w:rPr>
      </w:pPr>
    </w:p>
    <w:p w:rsidR="00DD6354" w:rsidRDefault="00DD6354" w:rsidP="00EC6FAA">
      <w:pPr>
        <w:pStyle w:val="Citationendoubleretrait"/>
        <w:rPr>
          <w:sz w:val="18"/>
          <w:szCs w:val="18"/>
        </w:rPr>
      </w:pPr>
    </w:p>
    <w:p w:rsidR="00EC6FAA" w:rsidRPr="00FC7942" w:rsidRDefault="00EC6FAA" w:rsidP="00EC6FAA">
      <w:pPr>
        <w:pStyle w:val="Citationendoubleretrait"/>
      </w:pPr>
      <w:r w:rsidRPr="00FC7942">
        <w:rPr>
          <w:sz w:val="18"/>
          <w:szCs w:val="18"/>
        </w:rPr>
        <w:t>Il n’y a donc aucun indice dans la loi qui puisse nous permettre d’inférer que la CSST ne serait pas une partie à part entière devant la CLP. Cette conclusion nous paraît également en harmonie avec la Charte québécoise des droits et libertés de la personne ainsi que la Loi sur la justice administrative.</w:t>
      </w:r>
      <w:r w:rsidRPr="00FC7942">
        <w:t xml:space="preserve"> </w:t>
      </w:r>
    </w:p>
    <w:p w:rsidR="00EC6FAA" w:rsidRPr="00FC7942" w:rsidRDefault="00EC6FAA" w:rsidP="00EC6FAA">
      <w:pPr>
        <w:pStyle w:val="citation"/>
        <w:ind w:left="1418" w:right="1422"/>
      </w:pPr>
      <w:r w:rsidRPr="00FC7942">
        <w:t>______________</w:t>
      </w:r>
    </w:p>
    <w:p w:rsidR="00DB4389" w:rsidRPr="00FC7942" w:rsidRDefault="00EC6FAA" w:rsidP="00DB4389">
      <w:pPr>
        <w:pStyle w:val="citation"/>
        <w:ind w:left="1985" w:right="1422" w:hanging="567"/>
      </w:pPr>
      <w:r w:rsidRPr="00FC7942">
        <w:rPr>
          <w:sz w:val="18"/>
          <w:szCs w:val="18"/>
          <w:vertAlign w:val="superscript"/>
        </w:rPr>
        <w:t>122</w:t>
      </w:r>
      <w:r w:rsidRPr="00FC7942">
        <w:tab/>
      </w:r>
      <w:r w:rsidRPr="00FC7942">
        <w:rPr>
          <w:sz w:val="16"/>
          <w:szCs w:val="16"/>
        </w:rPr>
        <w:t>Yves OUELLETTE, « L’interprétation de l’article 429.16 LATMP : l’harmonisation du devoir d’impartialité de la CSST avec son droit d’intervention devant la Commission des lésions professionnelles », octobre 1999, p.13</w:t>
      </w:r>
      <w:r w:rsidRPr="00FC7942">
        <w:t>.</w:t>
      </w:r>
    </w:p>
    <w:p w:rsidR="00EC6FAA" w:rsidRPr="00FC7942" w:rsidRDefault="00EC6FAA" w:rsidP="00DB4389">
      <w:pPr>
        <w:pStyle w:val="citation"/>
        <w:ind w:left="1985" w:right="1422" w:hanging="567"/>
        <w:rPr>
          <w:sz w:val="16"/>
          <w:szCs w:val="16"/>
        </w:rPr>
      </w:pPr>
      <w:r w:rsidRPr="00FC7942">
        <w:rPr>
          <w:sz w:val="18"/>
          <w:szCs w:val="18"/>
          <w:vertAlign w:val="superscript"/>
        </w:rPr>
        <w:t>123</w:t>
      </w:r>
      <w:r w:rsidRPr="00FC7942">
        <w:t xml:space="preserve"> </w:t>
      </w:r>
      <w:r w:rsidRPr="00FC7942">
        <w:tab/>
      </w:r>
      <w:r w:rsidRPr="00FC7942">
        <w:rPr>
          <w:sz w:val="16"/>
          <w:szCs w:val="16"/>
        </w:rPr>
        <w:t xml:space="preserve">Ibid., P.A. CÔTÉ, Interprétation des loi, 3e éd., Montréal, Éditions Thémis, p. 330 et s., p. 358; </w:t>
      </w:r>
      <w:r w:rsidRPr="00FC7942">
        <w:rPr>
          <w:i/>
          <w:sz w:val="16"/>
          <w:szCs w:val="16"/>
        </w:rPr>
        <w:t>Ville de Montréal</w:t>
      </w:r>
      <w:r w:rsidRPr="00FC7942">
        <w:rPr>
          <w:sz w:val="16"/>
          <w:szCs w:val="16"/>
        </w:rPr>
        <w:t xml:space="preserve"> c. </w:t>
      </w:r>
      <w:r w:rsidRPr="00FC7942">
        <w:rPr>
          <w:i/>
          <w:sz w:val="16"/>
          <w:szCs w:val="16"/>
        </w:rPr>
        <w:t>ILGWU Center inc.</w:t>
      </w:r>
      <w:r w:rsidRPr="00FC7942">
        <w:rPr>
          <w:sz w:val="16"/>
          <w:szCs w:val="16"/>
        </w:rPr>
        <w:t xml:space="preserve"> et </w:t>
      </w:r>
      <w:r w:rsidRPr="00FC7942">
        <w:rPr>
          <w:i/>
          <w:sz w:val="16"/>
          <w:szCs w:val="16"/>
        </w:rPr>
        <w:t>al.,</w:t>
      </w:r>
      <w:r w:rsidRPr="00FC7942">
        <w:rPr>
          <w:sz w:val="16"/>
          <w:szCs w:val="16"/>
        </w:rPr>
        <w:t xml:space="preserve"> 1971 CanLII 188 (C.S.C), [1974] R.C.S. 59,66 « Le législateur est présumé vouloir dire ce qu’il exprime. Et il n’y a pas lieu de recourir à l’interprétation lorsqu’un texte est clair » (j. Fauteux).</w:t>
      </w:r>
    </w:p>
    <w:p w:rsidR="00EC6FAA" w:rsidRPr="00FC7942" w:rsidRDefault="00EC6FAA" w:rsidP="00B703AC">
      <w:pPr>
        <w:pStyle w:val="Citationendoubleretrait"/>
        <w:spacing w:after="240"/>
        <w:rPr>
          <w:sz w:val="18"/>
          <w:szCs w:val="18"/>
        </w:rPr>
      </w:pPr>
      <w:r w:rsidRPr="00FC7942">
        <w:rPr>
          <w:sz w:val="18"/>
          <w:szCs w:val="18"/>
        </w:rPr>
        <w:t>[Nos soulignements]</w:t>
      </w:r>
    </w:p>
    <w:p w:rsidR="00A36EFD" w:rsidRPr="00FC7942" w:rsidRDefault="00A36EFD" w:rsidP="00A36EFD">
      <w:pPr>
        <w:pStyle w:val="corpsdedcision"/>
        <w:tabs>
          <w:tab w:val="clear" w:pos="360"/>
          <w:tab w:val="num" w:pos="720"/>
        </w:tabs>
      </w:pPr>
      <w:r w:rsidRPr="00FC7942">
        <w:t>Il faut aussi retenir que l’affaire déposé</w:t>
      </w:r>
      <w:r w:rsidR="003A067D" w:rsidRPr="00FC7942">
        <w:t>e</w:t>
      </w:r>
      <w:r w:rsidRPr="00FC7942">
        <w:t xml:space="preserve"> devant le Tribunal, ne se termine que par un désistement de la partie demanderesse ou par une décision qui sera rendue </w:t>
      </w:r>
      <w:r w:rsidR="00815818" w:rsidRPr="00FC7942">
        <w:t xml:space="preserve">par un juge administratif, membre du Tribunal </w:t>
      </w:r>
      <w:r w:rsidRPr="00FC7942">
        <w:t xml:space="preserve">à la suite : </w:t>
      </w:r>
    </w:p>
    <w:p w:rsidR="00926741" w:rsidRPr="00FC7942" w:rsidRDefault="00B92488" w:rsidP="00962E06">
      <w:pPr>
        <w:pStyle w:val="corpsdedcision"/>
        <w:numPr>
          <w:ilvl w:val="0"/>
          <w:numId w:val="14"/>
        </w:numPr>
        <w:tabs>
          <w:tab w:val="clear" w:pos="720"/>
        </w:tabs>
        <w:spacing w:after="120"/>
      </w:pPr>
      <w:r w:rsidRPr="00FC7942">
        <w:t>d’une audience où les parties complèteront l’</w:t>
      </w:r>
      <w:r w:rsidR="00926741" w:rsidRPr="00FC7942">
        <w:t>«</w:t>
      </w:r>
      <w:r w:rsidR="00231EFF">
        <w:t> </w:t>
      </w:r>
      <w:r w:rsidRPr="00FC7942">
        <w:t>enquête</w:t>
      </w:r>
      <w:r w:rsidR="00231EFF">
        <w:t> </w:t>
      </w:r>
      <w:r w:rsidR="00926741" w:rsidRPr="00FC7942">
        <w:t>»</w:t>
      </w:r>
      <w:r w:rsidRPr="00FC7942">
        <w:t xml:space="preserve"> par la preuve testimoniale, documentaire et autres et l’</w:t>
      </w:r>
      <w:r w:rsidR="00926741" w:rsidRPr="00FC7942">
        <w:t>«</w:t>
      </w:r>
      <w:r w:rsidR="00231EFF">
        <w:t> </w:t>
      </w:r>
      <w:r w:rsidRPr="00FC7942">
        <w:t>audition</w:t>
      </w:r>
      <w:r w:rsidR="00231EFF">
        <w:t> </w:t>
      </w:r>
      <w:r w:rsidR="00926741" w:rsidRPr="00FC7942">
        <w:t>»</w:t>
      </w:r>
      <w:r w:rsidRPr="00FC7942">
        <w:t>, c’est-à-dire par leur argumentation orale ou écrite;</w:t>
      </w:r>
    </w:p>
    <w:p w:rsidR="00926741" w:rsidRPr="00FC7942" w:rsidRDefault="00926741" w:rsidP="00962E06">
      <w:pPr>
        <w:pStyle w:val="corpsdedcision"/>
        <w:numPr>
          <w:ilvl w:val="0"/>
          <w:numId w:val="14"/>
        </w:numPr>
        <w:tabs>
          <w:tab w:val="clear" w:pos="720"/>
        </w:tabs>
        <w:spacing w:after="120"/>
      </w:pPr>
      <w:r w:rsidRPr="00FC7942">
        <w:t>d’une renonciation à l’audience</w:t>
      </w:r>
      <w:r w:rsidR="00DB4389" w:rsidRPr="00FC7942">
        <w:rPr>
          <w:rStyle w:val="Appelnotedebasdep"/>
        </w:rPr>
        <w:footnoteReference w:id="14"/>
      </w:r>
      <w:r w:rsidRPr="00FC7942">
        <w:t>;</w:t>
      </w:r>
    </w:p>
    <w:p w:rsidR="00926741" w:rsidRDefault="00926741" w:rsidP="00926741">
      <w:pPr>
        <w:pStyle w:val="corpsdedcision"/>
        <w:numPr>
          <w:ilvl w:val="0"/>
          <w:numId w:val="14"/>
        </w:numPr>
        <w:tabs>
          <w:tab w:val="clear" w:pos="720"/>
        </w:tabs>
      </w:pPr>
      <w:r w:rsidRPr="00FC7942">
        <w:t>d’un accord intervenu dans le proces</w:t>
      </w:r>
      <w:r w:rsidR="000E2F8D" w:rsidRPr="00FC7942">
        <w:t>sus de conciliation du Tribunal</w:t>
      </w:r>
      <w:r w:rsidRPr="00FC7942">
        <w:t>.</w:t>
      </w:r>
      <w:r w:rsidR="00FD2968" w:rsidRPr="00FC7942">
        <w:t xml:space="preserve"> Dans ce cas, le Tribunal doit </w:t>
      </w:r>
      <w:r w:rsidR="00DB4389" w:rsidRPr="00FC7942">
        <w:t>apprécier</w:t>
      </w:r>
      <w:r w:rsidR="00FD2968" w:rsidRPr="00FC7942">
        <w:t xml:space="preserve"> le dossier pour en déterminer sa conformité à la loi.</w:t>
      </w:r>
    </w:p>
    <w:p w:rsidR="00AF420E" w:rsidRPr="00FC7942" w:rsidRDefault="00AF420E" w:rsidP="000408EA">
      <w:pPr>
        <w:pStyle w:val="corpsdedcision"/>
        <w:tabs>
          <w:tab w:val="clear" w:pos="360"/>
          <w:tab w:val="num" w:pos="720"/>
        </w:tabs>
      </w:pPr>
      <w:r w:rsidRPr="00AF420E">
        <w:t>Ainsi, outre le désistement, selon la LITAT, la conclusion ou terminaison d’une affaire amorcée par un acte introductif ne peut se faire que</w:t>
      </w:r>
      <w:r w:rsidR="000408EA">
        <w:t>,</w:t>
      </w:r>
      <w:r w:rsidRPr="00AF420E">
        <w:t xml:space="preserve"> par une décision du Tribunal. Aussi, il importe de noter que</w:t>
      </w:r>
      <w:r w:rsidR="000408EA">
        <w:t>,</w:t>
      </w:r>
      <w:r w:rsidRPr="00AF420E">
        <w:t xml:space="preserve"> pour déterminer la conformité d’un accord</w:t>
      </w:r>
      <w:r w:rsidR="000408EA">
        <w:rPr>
          <w:rStyle w:val="Appelnotedebasdep"/>
        </w:rPr>
        <w:footnoteReference w:id="15"/>
      </w:r>
      <w:r w:rsidRPr="00AF420E">
        <w:t>, il peut arriver que le juge administratif désire valider certains faits contenus au dossier qu’aura transmis la Commission</w:t>
      </w:r>
      <w:r w:rsidRPr="00AF420E">
        <w:rPr>
          <w:rStyle w:val="Appelnotedebasdep"/>
        </w:rPr>
        <w:footnoteReference w:id="16"/>
      </w:r>
      <w:r w:rsidRPr="00AF420E">
        <w:t>. Procéder autrement équivaudrait à demander au juge de procéder à l’aveuglette alors qu’il devrait se limiter à n’évaluer que les faits que les parties auront bien voulu lui soumettre dans l’accord.</w:t>
      </w:r>
    </w:p>
    <w:p w:rsidR="00A36EFD" w:rsidRPr="00FC7942" w:rsidRDefault="00A36EFD" w:rsidP="00B51F66">
      <w:pPr>
        <w:pStyle w:val="corpsdedcision"/>
        <w:tabs>
          <w:tab w:val="clear" w:pos="360"/>
          <w:tab w:val="num" w:pos="720"/>
        </w:tabs>
        <w:spacing w:after="240"/>
      </w:pPr>
      <w:r w:rsidRPr="00FC7942">
        <w:t>Le Tribunal rappelle également le processus de conciliation prévu par la LITAT à se</w:t>
      </w:r>
      <w:r w:rsidR="00F32DF0" w:rsidRPr="00FC7942">
        <w:t>s articles 21 à 25 de la LITAT :</w:t>
      </w:r>
    </w:p>
    <w:p w:rsidR="00F32DF0" w:rsidRPr="00FC7942" w:rsidRDefault="00F32DF0">
      <w:pPr>
        <w:pStyle w:val="articlesdelaLSST"/>
      </w:pPr>
      <w:r w:rsidRPr="00FC7942">
        <w:rPr>
          <w:b/>
          <w:bCs/>
        </w:rPr>
        <w:t>21.</w:t>
      </w:r>
      <w:r w:rsidRPr="00FC7942">
        <w:t xml:space="preserve"> Si les parties à une affaire y consentent, le président du Tribunal, ou encore un membre du Tribunal ou un membre du personnel désigné par le président, peut charger un conciliateur de les rencontrer et de tenter d'en arriver à un accord.</w:t>
      </w:r>
    </w:p>
    <w:p w:rsidR="00F32DF0" w:rsidRPr="00FC7942" w:rsidRDefault="00F32DF0">
      <w:pPr>
        <w:pStyle w:val="articlesdelaLSST"/>
      </w:pPr>
      <w:r w:rsidRPr="00FC7942">
        <w:t xml:space="preserve">__________ </w:t>
      </w:r>
    </w:p>
    <w:p w:rsidR="00F32DF0" w:rsidRPr="00FC7942" w:rsidRDefault="00F32DF0">
      <w:pPr>
        <w:pStyle w:val="articlesdelaLSST"/>
      </w:pPr>
      <w:r w:rsidRPr="00B703AC">
        <w:t>2015, c. 15, a. 21.</w:t>
      </w:r>
    </w:p>
    <w:p w:rsidR="00F32DF0" w:rsidRPr="00FC7942" w:rsidRDefault="00F32DF0">
      <w:pPr>
        <w:pStyle w:val="articlesdelaLSST"/>
      </w:pPr>
      <w:r w:rsidRPr="00FC7942">
        <w:rPr>
          <w:b/>
          <w:bCs/>
        </w:rPr>
        <w:t>22.</w:t>
      </w:r>
      <w:r w:rsidRPr="00FC7942">
        <w:t xml:space="preserve"> À moins que les parties n'y consentent, rien de ce qui a été dit ou écrit au cours d'une séance de conciliation n'est recevable en preuve.</w:t>
      </w:r>
    </w:p>
    <w:p w:rsidR="00F32DF0" w:rsidRPr="00FC7942" w:rsidRDefault="00F32DF0">
      <w:pPr>
        <w:pStyle w:val="articlesdelaLSST"/>
      </w:pPr>
      <w:r w:rsidRPr="00FC7942">
        <w:t xml:space="preserve">__________ </w:t>
      </w:r>
    </w:p>
    <w:p w:rsidR="00F32DF0" w:rsidRPr="00FC7942" w:rsidRDefault="00F32DF0">
      <w:pPr>
        <w:pStyle w:val="articlesdelaLSST"/>
      </w:pPr>
      <w:r w:rsidRPr="00FC7942">
        <w:t>2015, c. 15, a. 22.</w:t>
      </w:r>
    </w:p>
    <w:p w:rsidR="00F32DF0" w:rsidRDefault="00F32DF0">
      <w:pPr>
        <w:pStyle w:val="citation"/>
      </w:pPr>
      <w:r w:rsidRPr="00FC7942">
        <w:tab/>
      </w:r>
    </w:p>
    <w:p w:rsidR="00946109" w:rsidRPr="00FC7942" w:rsidRDefault="00946109">
      <w:pPr>
        <w:pStyle w:val="citation"/>
      </w:pPr>
    </w:p>
    <w:p w:rsidR="00B158C9" w:rsidRPr="00946109" w:rsidRDefault="00B158C9">
      <w:pPr>
        <w:pStyle w:val="citation"/>
      </w:pPr>
      <w:r w:rsidRPr="00946109">
        <w:t>[…]</w:t>
      </w:r>
    </w:p>
    <w:p w:rsidR="00B158C9" w:rsidRDefault="00B158C9">
      <w:pPr>
        <w:pStyle w:val="citation"/>
      </w:pPr>
    </w:p>
    <w:p w:rsidR="00B703AC" w:rsidRDefault="00B703AC">
      <w:pPr>
        <w:pStyle w:val="citation"/>
      </w:pPr>
    </w:p>
    <w:p w:rsidR="00F32DF0" w:rsidRPr="00FC7942" w:rsidRDefault="00F32DF0">
      <w:pPr>
        <w:pStyle w:val="articlesdelaLSST"/>
      </w:pPr>
      <w:r w:rsidRPr="00FC7942">
        <w:rPr>
          <w:b/>
          <w:bCs/>
        </w:rPr>
        <w:t>24.</w:t>
      </w:r>
      <w:r w:rsidRPr="00FC7942">
        <w:t xml:space="preserve"> Lorsqu'il n'y a pas d'accord ou que le Tribunal refuse de l'entériner, celui-ci tient une audition dans les meilleurs délais.</w:t>
      </w:r>
    </w:p>
    <w:p w:rsidR="00F32DF0" w:rsidRPr="00FC7942" w:rsidRDefault="00F32DF0">
      <w:pPr>
        <w:pStyle w:val="articlesdelaLSST"/>
      </w:pPr>
      <w:r w:rsidRPr="00FC7942">
        <w:t>__________</w:t>
      </w:r>
    </w:p>
    <w:p w:rsidR="00F32DF0" w:rsidRPr="00FC7942" w:rsidRDefault="00F32DF0">
      <w:pPr>
        <w:pStyle w:val="articlesdelaLSST"/>
      </w:pPr>
      <w:r w:rsidRPr="00FC7942">
        <w:t>2015, c. 15, a. 24.</w:t>
      </w:r>
    </w:p>
    <w:p w:rsidR="00F32DF0" w:rsidRPr="00FC7942" w:rsidRDefault="00F32DF0">
      <w:pPr>
        <w:pStyle w:val="citation"/>
      </w:pPr>
      <w:r w:rsidRPr="00FC7942">
        <w:tab/>
      </w:r>
    </w:p>
    <w:p w:rsidR="00F32DF0" w:rsidRPr="00FC7942" w:rsidRDefault="00F32DF0">
      <w:pPr>
        <w:pStyle w:val="citation"/>
      </w:pPr>
    </w:p>
    <w:p w:rsidR="00F32DF0" w:rsidRPr="00FC7942" w:rsidRDefault="00F32DF0">
      <w:pPr>
        <w:pStyle w:val="articlesdelaLSST"/>
      </w:pPr>
      <w:r w:rsidRPr="00FC7942">
        <w:rPr>
          <w:b/>
          <w:bCs/>
        </w:rPr>
        <w:t>25.</w:t>
      </w:r>
      <w:r w:rsidRPr="00FC7942">
        <w:t xml:space="preserve"> Une personne désignée par le Tribunal afin de tenter d'amener les parties à s'entendre ne peut divulguer ni être contrainte de divulguer ce qui lui a été révélé ou ce dont elle a eu connaissance dans l'exercice de ses fonctions, ni produire des notes personnelles ou un document fait ou obtenu dans cet exercice devant un tribunal, un organisme ou une personne exerçant des fonctions judiciaires ou quasi judiciaires.</w:t>
      </w:r>
    </w:p>
    <w:p w:rsidR="00F32DF0" w:rsidRPr="00FC7942" w:rsidRDefault="00F32DF0">
      <w:pPr>
        <w:pStyle w:val="articlesdelaLSST"/>
      </w:pPr>
      <w:r w:rsidRPr="00FC7942">
        <w:t xml:space="preserve"> </w:t>
      </w:r>
    </w:p>
    <w:p w:rsidR="00F32DF0" w:rsidRPr="00FC7942" w:rsidRDefault="00F32DF0">
      <w:pPr>
        <w:pStyle w:val="articlesdelaLSST"/>
      </w:pPr>
      <w:r w:rsidRPr="00FC7942">
        <w:t xml:space="preserve">Malgré l'article 9 de la </w:t>
      </w:r>
      <w:r w:rsidRPr="00FC7942">
        <w:rPr>
          <w:i/>
        </w:rPr>
        <w:t>Loi sur l'accès aux documents des organismes publics et sur la protection des renseignements personnels</w:t>
      </w:r>
      <w:r w:rsidRPr="00FC7942">
        <w:t xml:space="preserve"> (chapitre A-2.1), nul n'a droit d'accès à un tel document, à moins que ce document ne serve à motiver l'accord et la décision qui l'entérine.</w:t>
      </w:r>
    </w:p>
    <w:p w:rsidR="00F32DF0" w:rsidRPr="00FC7942" w:rsidRDefault="00F32DF0">
      <w:pPr>
        <w:pStyle w:val="articlesdelaLSST"/>
      </w:pPr>
      <w:r w:rsidRPr="00FC7942">
        <w:t xml:space="preserve">__________ </w:t>
      </w:r>
    </w:p>
    <w:p w:rsidR="00F32DF0" w:rsidRPr="00FC7942" w:rsidRDefault="00F32DF0">
      <w:pPr>
        <w:pStyle w:val="articlesdelaLSST"/>
      </w:pPr>
      <w:r w:rsidRPr="00FC7942">
        <w:t>2015, c. 15, a. 25.</w:t>
      </w:r>
    </w:p>
    <w:p w:rsidR="00F32DF0" w:rsidRPr="00FC7942" w:rsidRDefault="00FD2968" w:rsidP="00FD2968">
      <w:pPr>
        <w:pStyle w:val="citation"/>
      </w:pPr>
      <w:r w:rsidRPr="00FC7942">
        <w:tab/>
      </w:r>
    </w:p>
    <w:p w:rsidR="00F32DF0" w:rsidRPr="00FC7942" w:rsidRDefault="00F32DF0" w:rsidP="00F32DF0">
      <w:pPr>
        <w:pStyle w:val="citation"/>
      </w:pPr>
    </w:p>
    <w:p w:rsidR="00A36EFD" w:rsidRPr="00FC7942" w:rsidRDefault="00A36EFD" w:rsidP="004F33F4">
      <w:pPr>
        <w:pStyle w:val="corpsdedcision"/>
        <w:tabs>
          <w:tab w:val="clear" w:pos="360"/>
          <w:tab w:val="num" w:pos="720"/>
        </w:tabs>
      </w:pPr>
      <w:r w:rsidRPr="00FC7942">
        <w:t>Pour que l’on puisse parler de «</w:t>
      </w:r>
      <w:r w:rsidR="009336DE">
        <w:t> </w:t>
      </w:r>
      <w:r w:rsidRPr="00FC7942">
        <w:rPr>
          <w:i/>
        </w:rPr>
        <w:t>conciliation</w:t>
      </w:r>
      <w:r w:rsidR="009336DE">
        <w:rPr>
          <w:i/>
        </w:rPr>
        <w:t> </w:t>
      </w:r>
      <w:r w:rsidRPr="00FC7942">
        <w:t xml:space="preserve">» </w:t>
      </w:r>
      <w:r w:rsidR="009D214F" w:rsidRPr="00FC7942">
        <w:t xml:space="preserve">menant à un accord </w:t>
      </w:r>
      <w:r w:rsidRPr="00FC7942">
        <w:t>au sens de la LITAT</w:t>
      </w:r>
      <w:r w:rsidR="00FD2968" w:rsidRPr="00FC7942">
        <w:t>, il faut constater l’intervention d’un membre du personnel</w:t>
      </w:r>
      <w:r w:rsidR="00B92E27" w:rsidRPr="00FC7942">
        <w:t xml:space="preserve"> du Tribunal administratif du travail</w:t>
      </w:r>
      <w:r w:rsidR="00FD2968" w:rsidRPr="00FC7942">
        <w:t>, un conciliateur</w:t>
      </w:r>
      <w:r w:rsidR="002006FB" w:rsidRPr="00FC7942">
        <w:t>. Certes, la pratique administrative du Tribunal varie en fonction de plusieurs facteurs</w:t>
      </w:r>
      <w:r w:rsidR="00FC7942">
        <w:t>,</w:t>
      </w:r>
      <w:r w:rsidR="002006FB" w:rsidRPr="00FC7942">
        <w:t xml:space="preserve"> </w:t>
      </w:r>
      <w:r w:rsidR="00730440" w:rsidRPr="00FC7942">
        <w:t>dont la représentation des parties au litige, leur volume de contestations, etc.</w:t>
      </w:r>
    </w:p>
    <w:p w:rsidR="00113521" w:rsidRPr="00FC7942" w:rsidRDefault="009D214F" w:rsidP="00A36EFD">
      <w:pPr>
        <w:pStyle w:val="corpsdedcision"/>
        <w:numPr>
          <w:ilvl w:val="0"/>
          <w:numId w:val="8"/>
        </w:numPr>
        <w:ind w:left="709" w:hanging="709"/>
        <w:rPr>
          <w:b/>
        </w:rPr>
      </w:pPr>
      <w:r w:rsidRPr="00FC7942">
        <w:rPr>
          <w:b/>
        </w:rPr>
        <w:t>Le</w:t>
      </w:r>
      <w:r w:rsidR="00113521" w:rsidRPr="00FC7942">
        <w:rPr>
          <w:b/>
        </w:rPr>
        <w:t xml:space="preserve"> sens </w:t>
      </w:r>
      <w:r w:rsidRPr="00FC7942">
        <w:rPr>
          <w:b/>
        </w:rPr>
        <w:t>à</w:t>
      </w:r>
      <w:r w:rsidR="00113521" w:rsidRPr="00FC7942">
        <w:rPr>
          <w:b/>
        </w:rPr>
        <w:t xml:space="preserve"> donner aux expressions </w:t>
      </w:r>
      <w:r w:rsidR="00A36EFD" w:rsidRPr="00FC7942">
        <w:rPr>
          <w:b/>
        </w:rPr>
        <w:t>contenues à</w:t>
      </w:r>
      <w:r w:rsidR="00113521" w:rsidRPr="00FC7942">
        <w:rPr>
          <w:b/>
        </w:rPr>
        <w:t xml:space="preserve"> l’article 13 de la LITAT dans le cadre d’un processus de conciliation</w:t>
      </w:r>
    </w:p>
    <w:p w:rsidR="00730440" w:rsidRPr="00FC7942" w:rsidRDefault="00730440" w:rsidP="00730440">
      <w:pPr>
        <w:pStyle w:val="corpsdedcision"/>
        <w:tabs>
          <w:tab w:val="clear" w:pos="360"/>
          <w:tab w:val="num" w:pos="720"/>
        </w:tabs>
      </w:pPr>
      <w:r w:rsidRPr="00FC7942">
        <w:t>Avant d’aller plus loin dans l’analyse, il y a lieu de définir certaines expressions contenues à l’article 13 de la LITAT.</w:t>
      </w:r>
    </w:p>
    <w:p w:rsidR="00730440" w:rsidRDefault="00730440" w:rsidP="00730440">
      <w:pPr>
        <w:pStyle w:val="corpsdedcision"/>
        <w:tabs>
          <w:tab w:val="clear" w:pos="360"/>
          <w:tab w:val="num" w:pos="720"/>
        </w:tabs>
      </w:pPr>
      <w:r w:rsidRPr="00FC7942">
        <w:t>Deux expressions méritent d’être discutées aux fins de la présente affaire. Il s’agit de «</w:t>
      </w:r>
      <w:r w:rsidR="009336DE">
        <w:t> </w:t>
      </w:r>
      <w:r w:rsidRPr="00FC7942">
        <w:rPr>
          <w:i/>
        </w:rPr>
        <w:t>peut intervenir</w:t>
      </w:r>
      <w:r w:rsidR="009336DE">
        <w:rPr>
          <w:i/>
        </w:rPr>
        <w:t> </w:t>
      </w:r>
      <w:r w:rsidRPr="00FC7942">
        <w:t>» et «</w:t>
      </w:r>
      <w:r w:rsidR="009336DE">
        <w:t> </w:t>
      </w:r>
      <w:r w:rsidRPr="00FC7942">
        <w:rPr>
          <w:i/>
        </w:rPr>
        <w:t>jusqu’à la fin de l’enquête et de l’audition</w:t>
      </w:r>
      <w:r w:rsidR="009336DE">
        <w:rPr>
          <w:i/>
        </w:rPr>
        <w:t> </w:t>
      </w:r>
      <w:r w:rsidRPr="00FC7942">
        <w:t>»</w:t>
      </w:r>
      <w:r w:rsidR="00843C2C" w:rsidRPr="00FC7942">
        <w:t>.</w:t>
      </w:r>
    </w:p>
    <w:p w:rsidR="00B703AC" w:rsidRDefault="00B703AC" w:rsidP="00B703AC">
      <w:pPr>
        <w:pStyle w:val="corpsdedcision"/>
        <w:numPr>
          <w:ilvl w:val="0"/>
          <w:numId w:val="0"/>
        </w:numPr>
        <w:tabs>
          <w:tab w:val="clear" w:pos="720"/>
        </w:tabs>
      </w:pPr>
    </w:p>
    <w:p w:rsidR="00B703AC" w:rsidRDefault="00B703AC" w:rsidP="00B703AC">
      <w:pPr>
        <w:pStyle w:val="corpsdedcision"/>
        <w:numPr>
          <w:ilvl w:val="0"/>
          <w:numId w:val="0"/>
        </w:numPr>
        <w:tabs>
          <w:tab w:val="clear" w:pos="720"/>
        </w:tabs>
      </w:pPr>
    </w:p>
    <w:p w:rsidR="001C7773" w:rsidRPr="00FC7942" w:rsidRDefault="001C7773" w:rsidP="001C7773">
      <w:pPr>
        <w:pStyle w:val="corpsdedcision"/>
        <w:numPr>
          <w:ilvl w:val="0"/>
          <w:numId w:val="0"/>
        </w:numPr>
        <w:tabs>
          <w:tab w:val="clear" w:pos="720"/>
        </w:tabs>
      </w:pPr>
      <w:r w:rsidRPr="00FC7942">
        <w:t>4.1</w:t>
      </w:r>
      <w:r w:rsidRPr="00FC7942">
        <w:tab/>
        <w:t>Le statut de la Commission (</w:t>
      </w:r>
      <w:r w:rsidRPr="00FC7942">
        <w:rPr>
          <w:i/>
        </w:rPr>
        <w:t>Locus standi</w:t>
      </w:r>
      <w:r w:rsidRPr="00FC7942">
        <w:t>) et l’expression «</w:t>
      </w:r>
      <w:r w:rsidR="009336DE">
        <w:t> </w:t>
      </w:r>
      <w:r w:rsidRPr="00FC7942">
        <w:rPr>
          <w:i/>
        </w:rPr>
        <w:t>peut intervenir</w:t>
      </w:r>
      <w:r w:rsidR="009336DE">
        <w:rPr>
          <w:i/>
        </w:rPr>
        <w:t> </w:t>
      </w:r>
      <w:r w:rsidRPr="00FC7942">
        <w:t>»</w:t>
      </w:r>
    </w:p>
    <w:p w:rsidR="005967E3" w:rsidRPr="00FC7942" w:rsidRDefault="005967E3" w:rsidP="00730440">
      <w:pPr>
        <w:pStyle w:val="corpsdedcision"/>
        <w:tabs>
          <w:tab w:val="clear" w:pos="360"/>
          <w:tab w:val="num" w:pos="720"/>
        </w:tabs>
      </w:pPr>
      <w:r w:rsidRPr="00FC7942">
        <w:t>Le statut de la Commission a été défini par la jurisprudence</w:t>
      </w:r>
      <w:r w:rsidR="0004217B">
        <w:t>,</w:t>
      </w:r>
      <w:r w:rsidRPr="00FC7942">
        <w:t xml:space="preserve"> notamment par l’arrêt de la Cour d’appel dans l’affaire </w:t>
      </w:r>
      <w:r w:rsidRPr="00FC7942">
        <w:rPr>
          <w:i/>
        </w:rPr>
        <w:t>McKenna</w:t>
      </w:r>
      <w:r w:rsidRPr="00FC7942">
        <w:t xml:space="preserve"> c. </w:t>
      </w:r>
      <w:r w:rsidRPr="00FC7942">
        <w:rPr>
          <w:i/>
        </w:rPr>
        <w:t>Commission des lésions professionnelles</w:t>
      </w:r>
      <w:r w:rsidRPr="00FC7942">
        <w:rPr>
          <w:rStyle w:val="Appelnotedebasdep"/>
        </w:rPr>
        <w:footnoteReference w:id="17"/>
      </w:r>
      <w:r w:rsidRPr="00FC7942">
        <w:t>.</w:t>
      </w:r>
      <w:r w:rsidR="00ED7632" w:rsidRPr="00FC7942">
        <w:t xml:space="preserve"> </w:t>
      </w:r>
      <w:r w:rsidR="00ED7632" w:rsidRPr="00946109">
        <w:t>À n’en pas douter, la Commission doit être considéré</w:t>
      </w:r>
      <w:r w:rsidR="00FC7942" w:rsidRPr="00946109">
        <w:t>e</w:t>
      </w:r>
      <w:r w:rsidR="00ED7632" w:rsidRPr="00946109">
        <w:t xml:space="preserve"> comme un</w:t>
      </w:r>
      <w:r w:rsidR="00FC7942" w:rsidRPr="00946109">
        <w:t>e</w:t>
      </w:r>
      <w:r w:rsidR="00ED7632" w:rsidRPr="00946109">
        <w:t xml:space="preserve"> partie et le Tribunal </w:t>
      </w:r>
      <w:r w:rsidR="00ED7632" w:rsidRPr="00FC7942">
        <w:t>est d’avis que la seule condition requise est de déposer son avis d’intervention. Aucun autre prérequis n’est nécessaire.</w:t>
      </w:r>
      <w:r w:rsidR="006B277D" w:rsidRPr="00FC7942">
        <w:t xml:space="preserve"> Il n’y a aucune condition à remplir</w:t>
      </w:r>
      <w:r w:rsidR="006B277D" w:rsidRPr="00FC7942">
        <w:rPr>
          <w:rStyle w:val="Appelnotedebasdep"/>
        </w:rPr>
        <w:footnoteReference w:id="18"/>
      </w:r>
      <w:r w:rsidR="006B277D" w:rsidRPr="00FC7942">
        <w:t>. Le Tribunal n’a aucune discrétion sur cette intervention. Il s’agit donc d’un choix appartenant strictement à la Commission.</w:t>
      </w:r>
      <w:r w:rsidR="00155E00" w:rsidRPr="00FC7942">
        <w:t xml:space="preserve"> Dans </w:t>
      </w:r>
      <w:r w:rsidR="00155E00" w:rsidRPr="00FC7942">
        <w:rPr>
          <w:i/>
        </w:rPr>
        <w:t>C.H. Champlain-Marie-Victorin</w:t>
      </w:r>
      <w:r w:rsidR="00155E00" w:rsidRPr="00FC7942">
        <w:t xml:space="preserve"> et </w:t>
      </w:r>
      <w:r w:rsidR="00155E00" w:rsidRPr="00FC7942">
        <w:rPr>
          <w:i/>
        </w:rPr>
        <w:t>Vezeau</w:t>
      </w:r>
      <w:r w:rsidR="00155E00" w:rsidRPr="00FC7942">
        <w:rPr>
          <w:rStyle w:val="Appelnotedebasdep"/>
        </w:rPr>
        <w:footnoteReference w:id="19"/>
      </w:r>
      <w:r w:rsidR="00155E00" w:rsidRPr="00FC7942">
        <w:t>, la Commission des lésions professionnelles, dans le cadre d’une requête en révision édicte :</w:t>
      </w:r>
    </w:p>
    <w:p w:rsidR="00155E00" w:rsidRPr="00FC7942" w:rsidRDefault="00155E00" w:rsidP="00155E00">
      <w:pPr>
        <w:pStyle w:val="citation"/>
      </w:pPr>
      <w:r w:rsidRPr="00FC7942">
        <w:t>[50]</w:t>
      </w:r>
      <w:r w:rsidRPr="00FC7942">
        <w:tab/>
        <w:t xml:space="preserve">Le simple dépôt d’un avis d’intervention en vertu de l’article 429.16 de la loi donne à la CSST le statut de partie. </w:t>
      </w:r>
      <w:r w:rsidRPr="00FC7942">
        <w:rPr>
          <w:u w:val="single"/>
        </w:rPr>
        <w:t>Son intervention n’est soumise à aucune condition ni autorisation.</w:t>
      </w:r>
      <w:r w:rsidRPr="00FC7942">
        <w:t xml:space="preserve"> Lorsque la CSST intervient, elle a les droits d’une partie puisqu’elle est « partie à la contestation ». Cette disposition est claire et ne souffre d’aucune ambiguïté quant au statut de partie de la CSST lorsqu’elle intervient conformément à l’article 429.16.</w:t>
      </w:r>
    </w:p>
    <w:p w:rsidR="00155E00" w:rsidRPr="00FC7942" w:rsidRDefault="00155E00" w:rsidP="00155E00">
      <w:pPr>
        <w:pStyle w:val="citation"/>
      </w:pPr>
    </w:p>
    <w:p w:rsidR="00155E00" w:rsidRPr="00001FB3" w:rsidRDefault="00001FB3" w:rsidP="00155E00">
      <w:pPr>
        <w:pStyle w:val="citation"/>
        <w:rPr>
          <w:sz w:val="22"/>
          <w:szCs w:val="22"/>
        </w:rPr>
      </w:pPr>
      <w:r w:rsidRPr="00001FB3">
        <w:rPr>
          <w:sz w:val="22"/>
          <w:szCs w:val="22"/>
        </w:rPr>
        <w:t>[N</w:t>
      </w:r>
      <w:r w:rsidR="00155E00" w:rsidRPr="00001FB3">
        <w:rPr>
          <w:sz w:val="22"/>
          <w:szCs w:val="22"/>
        </w:rPr>
        <w:t>ous soulignons]</w:t>
      </w:r>
    </w:p>
    <w:p w:rsidR="00155E00" w:rsidRDefault="00155E00" w:rsidP="00155E00">
      <w:pPr>
        <w:pStyle w:val="citation"/>
      </w:pPr>
    </w:p>
    <w:p w:rsidR="00001FB3" w:rsidRPr="00FC7942" w:rsidRDefault="00001FB3" w:rsidP="00155E00">
      <w:pPr>
        <w:pStyle w:val="citation"/>
      </w:pPr>
    </w:p>
    <w:p w:rsidR="00155E00" w:rsidRPr="00FC7942" w:rsidRDefault="00155E00" w:rsidP="00155E00">
      <w:pPr>
        <w:pStyle w:val="corpsdedcision"/>
        <w:tabs>
          <w:tab w:val="clear" w:pos="360"/>
          <w:tab w:val="num" w:pos="720"/>
        </w:tabs>
      </w:pPr>
      <w:r w:rsidRPr="00FC7942">
        <w:t xml:space="preserve">Dans cette dernière affaire, </w:t>
      </w:r>
      <w:r w:rsidR="003C09A1" w:rsidRPr="00FC7942">
        <w:t>initialement</w:t>
      </w:r>
      <w:r w:rsidRPr="00FC7942">
        <w:t>, la Commission des lésions professionnelles  avait déclaré que la Commission avait «</w:t>
      </w:r>
      <w:r w:rsidR="0004217B">
        <w:t> </w:t>
      </w:r>
      <w:r w:rsidRPr="00FC7942">
        <w:rPr>
          <w:i/>
        </w:rPr>
        <w:t>renoncé à son droit d’intervention dans les présents dossiers vu son absence à l’audience</w:t>
      </w:r>
      <w:r w:rsidR="003C09A1" w:rsidRPr="00FC7942">
        <w:rPr>
          <w:rStyle w:val="Appelnotedebasdep"/>
          <w:i/>
        </w:rPr>
        <w:footnoteReference w:id="20"/>
      </w:r>
      <w:r w:rsidR="0004217B">
        <w:rPr>
          <w:i/>
        </w:rPr>
        <w:t> </w:t>
      </w:r>
      <w:r w:rsidRPr="00FC7942">
        <w:t>» et qu’en conséquence, la Commission n’était «</w:t>
      </w:r>
      <w:r w:rsidR="0004217B">
        <w:t> </w:t>
      </w:r>
      <w:r w:rsidRPr="00FC7942">
        <w:rPr>
          <w:i/>
        </w:rPr>
        <w:t>plus une partie aux présents dossiers</w:t>
      </w:r>
      <w:r w:rsidR="0004217B">
        <w:rPr>
          <w:i/>
        </w:rPr>
        <w:t> </w:t>
      </w:r>
      <w:r w:rsidRPr="00FC7942">
        <w:t xml:space="preserve">». En révision, la Commission des lésions professionnelles a révoqué cette </w:t>
      </w:r>
      <w:r w:rsidR="003C09A1" w:rsidRPr="00FC7942">
        <w:t xml:space="preserve">première </w:t>
      </w:r>
      <w:r w:rsidRPr="00FC7942">
        <w:t>décision.</w:t>
      </w:r>
    </w:p>
    <w:p w:rsidR="00155E00" w:rsidRPr="00FC7942" w:rsidRDefault="00155E00" w:rsidP="00155E00">
      <w:pPr>
        <w:pStyle w:val="corpsdedcision"/>
        <w:tabs>
          <w:tab w:val="clear" w:pos="360"/>
          <w:tab w:val="num" w:pos="720"/>
        </w:tabs>
      </w:pPr>
      <w:r w:rsidRPr="00FC7942">
        <w:t>C’est une lapalissade que de dire que pour que la Commission puisse exercer son droit d’intervention</w:t>
      </w:r>
      <w:r w:rsidR="003C09A1" w:rsidRPr="00FC7942">
        <w:t>, elle doit c</w:t>
      </w:r>
      <w:r w:rsidR="00E72972" w:rsidRPr="00FC7942">
        <w:t>onnaître l’existence du litige</w:t>
      </w:r>
      <w:r w:rsidR="00E72972" w:rsidRPr="00FC7942">
        <w:rPr>
          <w:rStyle w:val="Appelnotedebasdep"/>
        </w:rPr>
        <w:footnoteReference w:id="21"/>
      </w:r>
      <w:r w:rsidR="00E72972" w:rsidRPr="00FC7942">
        <w:t> :</w:t>
      </w:r>
    </w:p>
    <w:p w:rsidR="00E72972" w:rsidRPr="00FC7942" w:rsidRDefault="00E72972" w:rsidP="00E72972">
      <w:pPr>
        <w:pStyle w:val="citation"/>
      </w:pPr>
      <w:r w:rsidRPr="00FC7942">
        <w:t>[37]</w:t>
      </w:r>
      <w:r w:rsidRPr="00FC7942">
        <w:tab/>
        <w:t>Or, la CSST ne peut évidemment pas décider d’intervenir avant d’avoir été avisée de l’existence d’un recours devant la Commission des lésions professionnelles.</w:t>
      </w:r>
    </w:p>
    <w:p w:rsidR="00E72972" w:rsidRDefault="00E72972" w:rsidP="00E72972">
      <w:pPr>
        <w:pStyle w:val="citation"/>
      </w:pPr>
    </w:p>
    <w:p w:rsidR="00001FB3" w:rsidRPr="00FC7942" w:rsidRDefault="00001FB3" w:rsidP="00E72972">
      <w:pPr>
        <w:pStyle w:val="citation"/>
      </w:pPr>
    </w:p>
    <w:p w:rsidR="003C09A1" w:rsidRDefault="003C09A1" w:rsidP="00155E00">
      <w:pPr>
        <w:pStyle w:val="corpsdedcision"/>
        <w:tabs>
          <w:tab w:val="clear" w:pos="360"/>
          <w:tab w:val="num" w:pos="720"/>
        </w:tabs>
      </w:pPr>
      <w:r w:rsidRPr="00FC7942">
        <w:t>Il est opportun, selon le Tribunal, de déterminer s’il existe un délai minimal à observer pour permettre l’intervention de la Commission. La loi n’en prévoit pas.</w:t>
      </w:r>
      <w:r w:rsidR="001C7773" w:rsidRPr="00FC7942">
        <w:t xml:space="preserve"> Le Tribunal discutera de cette question plus loin</w:t>
      </w:r>
      <w:r w:rsidR="0018515E" w:rsidRPr="00FC7942">
        <w:t>.</w:t>
      </w:r>
    </w:p>
    <w:p w:rsidR="001C7773" w:rsidRPr="00FC7942" w:rsidRDefault="001C7773" w:rsidP="0018515E">
      <w:pPr>
        <w:pStyle w:val="corpsdedcision"/>
        <w:numPr>
          <w:ilvl w:val="0"/>
          <w:numId w:val="0"/>
        </w:numPr>
        <w:tabs>
          <w:tab w:val="clear" w:pos="720"/>
        </w:tabs>
      </w:pPr>
      <w:r w:rsidRPr="00FC7942">
        <w:t xml:space="preserve">4.2 </w:t>
      </w:r>
      <w:r w:rsidRPr="00FC7942">
        <w:tab/>
        <w:t>L’expression «</w:t>
      </w:r>
      <w:r w:rsidR="0004217B">
        <w:t> </w:t>
      </w:r>
      <w:r w:rsidRPr="00FC7942">
        <w:rPr>
          <w:i/>
        </w:rPr>
        <w:t>jusqu’à la fin de l’enquête et de l’audition</w:t>
      </w:r>
      <w:r w:rsidR="0004217B">
        <w:rPr>
          <w:i/>
        </w:rPr>
        <w:t> </w:t>
      </w:r>
      <w:r w:rsidRPr="00FC7942">
        <w:t>»</w:t>
      </w:r>
    </w:p>
    <w:p w:rsidR="003C09A1" w:rsidRPr="00FC7942" w:rsidRDefault="003C09A1" w:rsidP="00155E00">
      <w:pPr>
        <w:pStyle w:val="corpsdedcision"/>
        <w:tabs>
          <w:tab w:val="clear" w:pos="360"/>
          <w:tab w:val="num" w:pos="720"/>
        </w:tabs>
      </w:pPr>
      <w:r w:rsidRPr="00FC7942">
        <w:t>Il y a aussi la notion «</w:t>
      </w:r>
      <w:r w:rsidR="0004217B">
        <w:t> </w:t>
      </w:r>
      <w:r w:rsidRPr="00FC7942">
        <w:rPr>
          <w:i/>
        </w:rPr>
        <w:t>jusqu’à la fin de l’enquête et de l’audition</w:t>
      </w:r>
      <w:r w:rsidR="0004217B">
        <w:rPr>
          <w:i/>
        </w:rPr>
        <w:t> </w:t>
      </w:r>
      <w:r w:rsidRPr="00FC7942">
        <w:t>». Cette dernière a fait couler plus d’encre jurisprudentielle.</w:t>
      </w:r>
      <w:r w:rsidR="004F33F4" w:rsidRPr="00FC7942">
        <w:t xml:space="preserve"> Les parties ont notamment déposé plusieurs décisions portant sur cette expression. Deux cas classiques sont repris</w:t>
      </w:r>
      <w:r w:rsidR="00B158C9">
        <w:t>,</w:t>
      </w:r>
      <w:r w:rsidR="004F33F4" w:rsidRPr="00FC7942">
        <w:t xml:space="preserve"> notamment dans l’affaire </w:t>
      </w:r>
      <w:r w:rsidR="004F33F4" w:rsidRPr="00FC7942">
        <w:rPr>
          <w:i/>
        </w:rPr>
        <w:t>Boivert</w:t>
      </w:r>
      <w:r w:rsidR="004F33F4" w:rsidRPr="00FC7942">
        <w:t xml:space="preserve"> et </w:t>
      </w:r>
      <w:r w:rsidR="004F33F4" w:rsidRPr="00FC7942">
        <w:rPr>
          <w:i/>
        </w:rPr>
        <w:t>Rio Tinto Alcan Métal Primaire (Shawinigan)</w:t>
      </w:r>
      <w:r w:rsidR="004F33F4" w:rsidRPr="00FC7942">
        <w:rPr>
          <w:rStyle w:val="Appelnotedebasdep"/>
        </w:rPr>
        <w:footnoteReference w:id="22"/>
      </w:r>
      <w:r w:rsidR="004F33F4" w:rsidRPr="00FC7942">
        <w:rPr>
          <w:i/>
        </w:rPr>
        <w:t> </w:t>
      </w:r>
      <w:r w:rsidR="004F33F4" w:rsidRPr="00FC7942">
        <w:t xml:space="preserve">: </w:t>
      </w:r>
    </w:p>
    <w:p w:rsidR="004F33F4" w:rsidRPr="00FC7942" w:rsidRDefault="004F33F4" w:rsidP="004F33F4">
      <w:pPr>
        <w:pStyle w:val="citation"/>
      </w:pPr>
      <w:r w:rsidRPr="00FC7942">
        <w:t>[42]</w:t>
      </w:r>
      <w:r w:rsidRPr="00FC7942">
        <w:tab/>
        <w:t xml:space="preserve">À quel moment l’enquête et l’audition prennent-elles fin? </w:t>
      </w:r>
    </w:p>
    <w:p w:rsidR="004F33F4" w:rsidRPr="00FC7942" w:rsidRDefault="004F33F4" w:rsidP="004F33F4">
      <w:pPr>
        <w:pStyle w:val="citation"/>
      </w:pPr>
    </w:p>
    <w:p w:rsidR="004F33F4" w:rsidRPr="00FC7942" w:rsidRDefault="004F33F4" w:rsidP="004F33F4">
      <w:pPr>
        <w:pStyle w:val="citation"/>
      </w:pPr>
      <w:r w:rsidRPr="00FC7942">
        <w:t>[43]</w:t>
      </w:r>
      <w:r w:rsidRPr="00FC7942">
        <w:tab/>
        <w:t>Le tribunal estime qu’un désistement met fin à l’enquête et à l’audition autant qu’il met fin à l’instance. Par exemple, un désistement qui serait annoncé en cours d’audience mettra fin à l’enquête et à l’audition de même qu’à l’instance.</w:t>
      </w:r>
    </w:p>
    <w:p w:rsidR="004F33F4" w:rsidRPr="00FC7942" w:rsidRDefault="004F33F4" w:rsidP="004F33F4">
      <w:pPr>
        <w:pStyle w:val="citation"/>
      </w:pPr>
    </w:p>
    <w:p w:rsidR="004F33F4" w:rsidRPr="00FC7942" w:rsidRDefault="004F33F4" w:rsidP="004F33F4">
      <w:pPr>
        <w:pStyle w:val="citation"/>
      </w:pPr>
      <w:r w:rsidRPr="00FC7942">
        <w:t>[44]</w:t>
      </w:r>
      <w:r w:rsidRPr="00FC7942">
        <w:tab/>
        <w:t xml:space="preserve">Lorsque les parties à l’audience déclarent leur preuve close et ont présenté leur plaidoirie, l’enquête et l’audition prennent fin et l’affaire est prise en délibéré. </w:t>
      </w:r>
    </w:p>
    <w:p w:rsidR="004F33F4" w:rsidRPr="00FC7942" w:rsidRDefault="004F33F4" w:rsidP="004F33F4">
      <w:pPr>
        <w:pStyle w:val="citation"/>
      </w:pPr>
    </w:p>
    <w:p w:rsidR="004F33F4" w:rsidRPr="00FC7942" w:rsidRDefault="004F33F4" w:rsidP="004F33F4">
      <w:pPr>
        <w:pStyle w:val="citation"/>
      </w:pPr>
      <w:r w:rsidRPr="00FC7942">
        <w:t>[45]</w:t>
      </w:r>
      <w:r w:rsidRPr="00FC7942">
        <w:tab/>
        <w:t>Dans ces situations, la CSST ne peut donc plus valablement  intervenir.</w:t>
      </w:r>
    </w:p>
    <w:p w:rsidR="00E61C52" w:rsidRDefault="00E61C52" w:rsidP="004F33F4">
      <w:pPr>
        <w:pStyle w:val="citation"/>
      </w:pPr>
    </w:p>
    <w:p w:rsidR="00001FB3" w:rsidRPr="00FC7942" w:rsidRDefault="00001FB3" w:rsidP="004F33F4">
      <w:pPr>
        <w:pStyle w:val="citation"/>
      </w:pPr>
    </w:p>
    <w:p w:rsidR="004F33F4" w:rsidRPr="00FC7942" w:rsidRDefault="004F33F4" w:rsidP="004F33F4">
      <w:pPr>
        <w:pStyle w:val="corpsdedcision"/>
        <w:tabs>
          <w:tab w:val="clear" w:pos="360"/>
          <w:tab w:val="num" w:pos="720"/>
        </w:tabs>
      </w:pPr>
      <w:r w:rsidRPr="00FC7942">
        <w:t>Cependant, avec beaucoup d’égards, le Tribunal n’est pas d’accord avec les paragraphes suivant</w:t>
      </w:r>
      <w:r w:rsidR="00FC7942">
        <w:t>s</w:t>
      </w:r>
      <w:r w:rsidRPr="00FC7942">
        <w:t xml:space="preserve"> de</w:t>
      </w:r>
      <w:r w:rsidR="008B2730" w:rsidRPr="00FC7942">
        <w:t xml:space="preserve"> cette décision. Lorsque la Commission des lésions professionnelles </w:t>
      </w:r>
      <w:r w:rsidR="0004217B">
        <w:t>m</w:t>
      </w:r>
      <w:r w:rsidRPr="00FC7942">
        <w:t>entionne</w:t>
      </w:r>
      <w:r w:rsidR="008B2730" w:rsidRPr="00FC7942">
        <w:t> :</w:t>
      </w:r>
    </w:p>
    <w:p w:rsidR="008B2730" w:rsidRPr="00FC7942" w:rsidRDefault="008B2730" w:rsidP="008B2730">
      <w:pPr>
        <w:pStyle w:val="citation"/>
      </w:pPr>
      <w:r w:rsidRPr="00FC7942">
        <w:t>[46]</w:t>
      </w:r>
      <w:r w:rsidRPr="00FC7942">
        <w:tab/>
        <w:t xml:space="preserve">Lorsque des parties informent le tribunal qu’elles en sont venues à un accord, l’accord intervenu entre elles met fin à l’enquête et à l’audition. En effet, il n’est plus besoin d’entendre la preuve ni les arguments puisqu’il n’existe plus de litige. </w:t>
      </w:r>
    </w:p>
    <w:p w:rsidR="008B2730" w:rsidRPr="00FC7942" w:rsidRDefault="008B2730" w:rsidP="008B2730">
      <w:pPr>
        <w:pStyle w:val="citation"/>
      </w:pPr>
    </w:p>
    <w:p w:rsidR="008B2730" w:rsidRPr="00FC7942" w:rsidRDefault="008B2730" w:rsidP="008B2730">
      <w:pPr>
        <w:pStyle w:val="citation"/>
      </w:pPr>
      <w:r w:rsidRPr="00FC7942">
        <w:t>[47]</w:t>
      </w:r>
      <w:r w:rsidRPr="00FC7942">
        <w:tab/>
        <w:t>Le tribunal est d’avis que pour mettre fin à l’enquête et à l’audition, l’accord intervenu entre les parties n’a pas à être écrit dans la mesure où il y a échange de consentement entre des personnes capables de contracter</w:t>
      </w:r>
      <w:r w:rsidRPr="00FC7942">
        <w:rPr>
          <w:vertAlign w:val="superscript"/>
        </w:rPr>
        <w:t>3</w:t>
      </w:r>
      <w:r w:rsidRPr="00FC7942">
        <w:t xml:space="preserve">. </w:t>
      </w:r>
    </w:p>
    <w:p w:rsidR="008B2730" w:rsidRPr="00FC7942" w:rsidRDefault="008B2730" w:rsidP="008B2730">
      <w:pPr>
        <w:pStyle w:val="citation"/>
      </w:pPr>
    </w:p>
    <w:p w:rsidR="008B2730" w:rsidRPr="00FC7942" w:rsidRDefault="008B2730" w:rsidP="008B2730">
      <w:pPr>
        <w:pStyle w:val="citation"/>
      </w:pPr>
      <w:r w:rsidRPr="00FC7942">
        <w:t>[48]</w:t>
      </w:r>
      <w:r w:rsidRPr="00FC7942">
        <w:tab/>
        <w:t>D’ailleurs, il arrive fréquemment qu’une audience soit annulée parce que les parties informent le tribunal qu’elles en sont venues à une entente, qu’elles ont réglé le litige qui les opposait. À ce moment, l’accord ne fait pas nécessairement l’objet d’un écrit. N’empêche, il met quand même fin à l’enquête et à l’audition.</w:t>
      </w:r>
    </w:p>
    <w:p w:rsidR="008B2730" w:rsidRPr="00FC7942" w:rsidRDefault="008B2730" w:rsidP="008B2730">
      <w:pPr>
        <w:pStyle w:val="citation"/>
      </w:pPr>
    </w:p>
    <w:p w:rsidR="008B2730" w:rsidRDefault="008B2730" w:rsidP="008B2730">
      <w:pPr>
        <w:pStyle w:val="citation"/>
      </w:pPr>
      <w:r w:rsidRPr="00FC7942">
        <w:t>[49]</w:t>
      </w:r>
      <w:r w:rsidRPr="00FC7942">
        <w:tab/>
        <w:t>En pareilles circonstances, le tribunal est d’avis qu’en vertu de l’article 429.16 de la loi, la CSST ne peut plus valablement intervenir, puisque l’enquête et l’audition a pris fin et qu’il n’y a plus de contestation.</w:t>
      </w:r>
    </w:p>
    <w:p w:rsidR="0004217B" w:rsidRPr="00FC7942" w:rsidRDefault="0004217B" w:rsidP="008B2730">
      <w:pPr>
        <w:pStyle w:val="citation"/>
      </w:pPr>
    </w:p>
    <w:p w:rsidR="008B2730" w:rsidRPr="00946109" w:rsidRDefault="00B158C9" w:rsidP="008B2730">
      <w:pPr>
        <w:pStyle w:val="citation"/>
        <w:rPr>
          <w:sz w:val="22"/>
          <w:szCs w:val="22"/>
        </w:rPr>
      </w:pPr>
      <w:r w:rsidRPr="00946109">
        <w:rPr>
          <w:sz w:val="22"/>
          <w:szCs w:val="22"/>
        </w:rPr>
        <w:t>[N</w:t>
      </w:r>
      <w:r w:rsidR="0004217B" w:rsidRPr="00946109">
        <w:rPr>
          <w:sz w:val="22"/>
          <w:szCs w:val="22"/>
        </w:rPr>
        <w:t>ote omise]</w:t>
      </w:r>
    </w:p>
    <w:p w:rsidR="00001FB3" w:rsidRDefault="00001FB3" w:rsidP="008B2730">
      <w:pPr>
        <w:pStyle w:val="citation"/>
      </w:pPr>
    </w:p>
    <w:p w:rsidR="0004217B" w:rsidRPr="00FC7942" w:rsidRDefault="0004217B" w:rsidP="008B2730">
      <w:pPr>
        <w:pStyle w:val="citation"/>
      </w:pPr>
    </w:p>
    <w:p w:rsidR="0018515E" w:rsidRPr="00FC7942" w:rsidRDefault="008B2730" w:rsidP="008B2730">
      <w:pPr>
        <w:pStyle w:val="corpsdedcision"/>
        <w:tabs>
          <w:tab w:val="clear" w:pos="360"/>
          <w:tab w:val="num" w:pos="720"/>
        </w:tabs>
      </w:pPr>
      <w:r w:rsidRPr="00FC7942">
        <w:t xml:space="preserve">Selon le Tribunal, il faut distinguer la pratique courante et son vocabulaire </w:t>
      </w:r>
      <w:r w:rsidR="00A75D6D" w:rsidRPr="00FC7942">
        <w:t xml:space="preserve">du </w:t>
      </w:r>
      <w:r w:rsidRPr="00FC7942">
        <w:t>mécanisme prévu à la LITAT</w:t>
      </w:r>
      <w:r w:rsidRPr="00FC7942">
        <w:rPr>
          <w:rStyle w:val="Appelnotedebasdep"/>
        </w:rPr>
        <w:footnoteReference w:id="23"/>
      </w:r>
      <w:r w:rsidRPr="00FC7942">
        <w:t xml:space="preserve">. </w:t>
      </w:r>
      <w:r w:rsidR="0018515E" w:rsidRPr="00FC7942">
        <w:t>Rappelons d’abord qu’</w:t>
      </w:r>
      <w:r w:rsidR="00B92E27" w:rsidRPr="00FC7942">
        <w:t>une affaire ne comprend qu’une audience. À titre d’exemple, lorsqu’un dossier en délibéré nécessite un ajout de preuve ou d’argumentation, on parle alors de «</w:t>
      </w:r>
      <w:r w:rsidR="0004217B">
        <w:t> </w:t>
      </w:r>
      <w:r w:rsidR="00B92E27" w:rsidRPr="00FC7942">
        <w:rPr>
          <w:i/>
        </w:rPr>
        <w:t>réouverture</w:t>
      </w:r>
      <w:r w:rsidR="0004217B">
        <w:rPr>
          <w:i/>
        </w:rPr>
        <w:t> </w:t>
      </w:r>
      <w:r w:rsidR="00B92E27" w:rsidRPr="00FC7942">
        <w:t>»</w:t>
      </w:r>
      <w:r w:rsidR="0018515E" w:rsidRPr="00FC7942">
        <w:t>.</w:t>
      </w:r>
      <w:r w:rsidR="000A5289" w:rsidRPr="00FC7942">
        <w:t xml:space="preserve"> Cette </w:t>
      </w:r>
      <w:r w:rsidR="00C450BF" w:rsidRPr="00FC7942">
        <w:t>audience</w:t>
      </w:r>
      <w:r w:rsidR="0018515E" w:rsidRPr="00FC7942">
        <w:t xml:space="preserve"> peut</w:t>
      </w:r>
      <w:r w:rsidR="00C450BF" w:rsidRPr="00FC7942">
        <w:t>,</w:t>
      </w:r>
      <w:r w:rsidR="0018515E" w:rsidRPr="00FC7942">
        <w:t xml:space="preserve"> </w:t>
      </w:r>
      <w:r w:rsidR="00C450BF" w:rsidRPr="00FC7942">
        <w:t xml:space="preserve">certes, </w:t>
      </w:r>
      <w:r w:rsidR="0018515E" w:rsidRPr="00FC7942">
        <w:t>être constituée de plusieurs séances, mais il ne s’agira que d’une seule audience.</w:t>
      </w:r>
    </w:p>
    <w:p w:rsidR="008B2730" w:rsidRPr="00FC7942" w:rsidRDefault="0018515E" w:rsidP="008B2730">
      <w:pPr>
        <w:pStyle w:val="corpsdedcision"/>
        <w:tabs>
          <w:tab w:val="clear" w:pos="360"/>
          <w:tab w:val="num" w:pos="720"/>
        </w:tabs>
      </w:pPr>
      <w:r w:rsidRPr="00FC7942">
        <w:t>Aussi, i</w:t>
      </w:r>
      <w:r w:rsidR="008B2730" w:rsidRPr="00FC7942">
        <w:t>l est courant d’entendre l’expression «</w:t>
      </w:r>
      <w:r w:rsidR="0004217B">
        <w:t> </w:t>
      </w:r>
      <w:r w:rsidR="008B2730" w:rsidRPr="00FC7942">
        <w:rPr>
          <w:i/>
        </w:rPr>
        <w:t>l’audience est annulée</w:t>
      </w:r>
      <w:r w:rsidR="0004217B">
        <w:rPr>
          <w:i/>
        </w:rPr>
        <w:t> </w:t>
      </w:r>
      <w:r w:rsidR="008B2730" w:rsidRPr="00FC7942">
        <w:t xml:space="preserve">». Or, dans les faits, l’effet juridique d’une </w:t>
      </w:r>
      <w:r w:rsidR="008B2730" w:rsidRPr="00FC7942">
        <w:rPr>
          <w:i/>
        </w:rPr>
        <w:t>entente</w:t>
      </w:r>
      <w:r w:rsidR="008B2730" w:rsidRPr="00FC7942">
        <w:t xml:space="preserve"> entre les parties pourra avoir plusieurs </w:t>
      </w:r>
      <w:r w:rsidR="008B2730" w:rsidRPr="00946109">
        <w:t>cheminements quant à l’acte introductif</w:t>
      </w:r>
      <w:r w:rsidR="00B158C9" w:rsidRPr="00946109">
        <w:t>,</w:t>
      </w:r>
      <w:r w:rsidR="007B15B3" w:rsidRPr="00946109">
        <w:t xml:space="preserve"> </w:t>
      </w:r>
      <w:r w:rsidR="00B158C9" w:rsidRPr="00946109">
        <w:t>s</w:t>
      </w:r>
      <w:r w:rsidR="007B15B3" w:rsidRPr="00946109">
        <w:t xml:space="preserve">oit que cette entente conduira à un désistement. </w:t>
      </w:r>
      <w:r w:rsidR="007B15B3" w:rsidRPr="00FC7942">
        <w:t>À ce moment, l’acte introductif n’aura plus d’effet et la décision visée par cet acte s’appliquera. La pratique veut que dans bien des cas, ce désistement sera accompagné d’une transaction</w:t>
      </w:r>
      <w:r w:rsidR="007B15B3" w:rsidRPr="00FC7942">
        <w:rPr>
          <w:rStyle w:val="Appelnotedebasdep"/>
        </w:rPr>
        <w:footnoteReference w:id="24"/>
      </w:r>
      <w:r w:rsidR="007B15B3" w:rsidRPr="00FC7942">
        <w:t xml:space="preserve"> qui n’est pas une décision.</w:t>
      </w:r>
      <w:r w:rsidR="00ED19FE" w:rsidRPr="00FC7942">
        <w:t xml:space="preserve"> Certes, dans cette hypothèse, l’audience sera annulée à proprement parler.</w:t>
      </w:r>
    </w:p>
    <w:p w:rsidR="004B5DF4" w:rsidRPr="00FC7942" w:rsidRDefault="00B158C9" w:rsidP="004B5DF4">
      <w:pPr>
        <w:pStyle w:val="corpsdedcision"/>
        <w:tabs>
          <w:tab w:val="clear" w:pos="360"/>
          <w:tab w:val="num" w:pos="720"/>
        </w:tabs>
      </w:pPr>
      <w:r w:rsidRPr="00946109">
        <w:t xml:space="preserve">L’entente peut aussi conduire </w:t>
      </w:r>
      <w:r w:rsidR="00ED19FE" w:rsidRPr="00946109">
        <w:t xml:space="preserve">à un accord au sens de la LITAT, sur le plan </w:t>
      </w:r>
      <w:r w:rsidR="00ED19FE" w:rsidRPr="00FC7942">
        <w:t xml:space="preserve">pratique, il n’y aura pas d’audience. Mais dans ce cas, </w:t>
      </w:r>
      <w:r w:rsidR="004B5DF4" w:rsidRPr="00FC7942">
        <w:t>cette dernière</w:t>
      </w:r>
      <w:r w:rsidR="00ED19FE" w:rsidRPr="00FC7942">
        <w:t xml:space="preserve"> sera alors suspendue. Si un juge administratif entérine l’</w:t>
      </w:r>
      <w:r w:rsidR="004B5DF4" w:rsidRPr="00FC7942">
        <w:t>accord, s</w:t>
      </w:r>
      <w:r w:rsidR="00ED19FE" w:rsidRPr="00FC7942">
        <w:t>a décision sera finale et l’audience sera alors annulée</w:t>
      </w:r>
      <w:r w:rsidR="00A75D6D" w:rsidRPr="00FC7942">
        <w:rPr>
          <w:rStyle w:val="Appelnotedebasdep"/>
        </w:rPr>
        <w:footnoteReference w:id="25"/>
      </w:r>
      <w:r w:rsidR="00ED19FE" w:rsidRPr="00FC7942">
        <w:t xml:space="preserve">. Si le juge administratif refuse d’entériner l’accord, celui-ci n’aura </w:t>
      </w:r>
      <w:r w:rsidR="00ED19FE" w:rsidRPr="00946109">
        <w:t>aucun effet juridique vis-à-vis l’acte introductif et les parties seront alors convoqué</w:t>
      </w:r>
      <w:r w:rsidR="00FC7942" w:rsidRPr="00946109">
        <w:t>es</w:t>
      </w:r>
      <w:r w:rsidR="00ED19FE" w:rsidRPr="00946109">
        <w:t xml:space="preserve"> de </w:t>
      </w:r>
      <w:r w:rsidR="00ED19FE" w:rsidRPr="00FC7942">
        <w:t>nouveau pour la tenue de l’audience</w:t>
      </w:r>
      <w:r w:rsidR="00C450BF" w:rsidRPr="00FC7942">
        <w:rPr>
          <w:rStyle w:val="Appelnotedebasdep"/>
        </w:rPr>
        <w:footnoteReference w:id="26"/>
      </w:r>
      <w:r w:rsidR="00ED19FE" w:rsidRPr="00FC7942">
        <w:t>.</w:t>
      </w:r>
      <w:r w:rsidR="004B5DF4" w:rsidRPr="00FC7942">
        <w:t xml:space="preserve"> C’est pourquoi, </w:t>
      </w:r>
      <w:r w:rsidR="00C450BF" w:rsidRPr="00FC7942">
        <w:t>tant qu’il n’y a pas de désistement ou de décision</w:t>
      </w:r>
      <w:r w:rsidR="004B5DF4" w:rsidRPr="00FC7942">
        <w:t>, l’audience ne sera pas annulée</w:t>
      </w:r>
      <w:r w:rsidR="00FC7942">
        <w:t>,</w:t>
      </w:r>
      <w:r w:rsidR="004B5DF4" w:rsidRPr="00FC7942">
        <w:t xml:space="preserve"> mais bien suspendue.</w:t>
      </w:r>
      <w:r w:rsidR="00C450BF" w:rsidRPr="00FC7942">
        <w:t xml:space="preserve"> Il faut aussi garder en tête que la «</w:t>
      </w:r>
      <w:r w:rsidR="0004217B">
        <w:t> </w:t>
      </w:r>
      <w:r w:rsidR="00C450BF" w:rsidRPr="00FC7942">
        <w:t>décision</w:t>
      </w:r>
      <w:r w:rsidR="0004217B">
        <w:t> </w:t>
      </w:r>
      <w:r w:rsidR="00C450BF" w:rsidRPr="00FC7942">
        <w:t>» ne consiste qu’à la section du dispositif que signe le juge administratif.</w:t>
      </w:r>
    </w:p>
    <w:p w:rsidR="00E61C52" w:rsidRPr="00FC7942" w:rsidRDefault="00E61C52" w:rsidP="008B2730">
      <w:pPr>
        <w:pStyle w:val="corpsdedcision"/>
        <w:tabs>
          <w:tab w:val="clear" w:pos="360"/>
          <w:tab w:val="num" w:pos="720"/>
        </w:tabs>
      </w:pPr>
      <w:r w:rsidRPr="00FC7942">
        <w:t>Le Tribunal a requis des parties leur position sur cette expression. Avec égard</w:t>
      </w:r>
      <w:r w:rsidR="000408EA">
        <w:t>s</w:t>
      </w:r>
      <w:r w:rsidRPr="00FC7942">
        <w:t xml:space="preserve">, le Tribunal retient de ce qui lui a été soumis, que </w:t>
      </w:r>
      <w:r w:rsidR="00A75D6D" w:rsidRPr="00FC7942">
        <w:t>«</w:t>
      </w:r>
      <w:r w:rsidR="0004217B">
        <w:t> </w:t>
      </w:r>
      <w:r w:rsidRPr="00FC7942">
        <w:rPr>
          <w:i/>
        </w:rPr>
        <w:t>l’enquête</w:t>
      </w:r>
      <w:r w:rsidR="0004217B">
        <w:rPr>
          <w:i/>
        </w:rPr>
        <w:t> </w:t>
      </w:r>
      <w:r w:rsidR="00A75D6D" w:rsidRPr="00FC7942">
        <w:t>»</w:t>
      </w:r>
      <w:r w:rsidRPr="00FC7942">
        <w:t xml:space="preserve"> consiste à la partie de l’instance portant sur la preuve</w:t>
      </w:r>
      <w:r w:rsidR="0004217B">
        <w:t>,</w:t>
      </w:r>
      <w:r w:rsidRPr="00FC7942">
        <w:t xml:space="preserve"> et ce, que cette dernière soit documentaire ou testimoniale. Le Tribunal fait sien</w:t>
      </w:r>
      <w:r w:rsidR="00FC7942">
        <w:t>s</w:t>
      </w:r>
      <w:r w:rsidRPr="00FC7942">
        <w:t xml:space="preserve"> les propos de la Cour supérieure dans l’affaire </w:t>
      </w:r>
      <w:r w:rsidRPr="00FC7942">
        <w:rPr>
          <w:i/>
        </w:rPr>
        <w:t>Bourbonnais</w:t>
      </w:r>
      <w:r w:rsidR="00822776" w:rsidRPr="00FC7942">
        <w:t xml:space="preserve"> c. </w:t>
      </w:r>
      <w:r w:rsidR="00822776" w:rsidRPr="00FC7942">
        <w:rPr>
          <w:i/>
        </w:rPr>
        <w:t>Commission scolaire des Eaux-Vives</w:t>
      </w:r>
      <w:r w:rsidR="004B5DF4" w:rsidRPr="00FC7942">
        <w:rPr>
          <w:rStyle w:val="Appelnotedebasdep"/>
        </w:rPr>
        <w:t xml:space="preserve"> </w:t>
      </w:r>
      <w:r w:rsidR="004B5DF4" w:rsidRPr="00FC7942">
        <w:t xml:space="preserve">et </w:t>
      </w:r>
      <w:r w:rsidR="004B5DF4" w:rsidRPr="00FC7942">
        <w:rPr>
          <w:i/>
        </w:rPr>
        <w:t>Commission d’appel en matière de lésions professionnelles</w:t>
      </w:r>
      <w:r w:rsidR="005A4644" w:rsidRPr="00FC7942">
        <w:rPr>
          <w:rStyle w:val="Appelnotedebasdep"/>
        </w:rPr>
        <w:footnoteReference w:id="27"/>
      </w:r>
      <w:r w:rsidR="00822776" w:rsidRPr="00FC7942">
        <w:t>.</w:t>
      </w:r>
    </w:p>
    <w:p w:rsidR="00822776" w:rsidRDefault="00822776" w:rsidP="00962E06">
      <w:pPr>
        <w:pStyle w:val="citation"/>
      </w:pPr>
      <w:r w:rsidRPr="00FC7942">
        <w:t>L'intimée prétend que «enquête» et «audition» sont synonymes et réfère particulièrement au second alinéa de l'article 423.</w:t>
      </w:r>
    </w:p>
    <w:p w:rsidR="00962E06" w:rsidRPr="00FC7942" w:rsidRDefault="00962E06" w:rsidP="00962E06">
      <w:pPr>
        <w:pStyle w:val="citation"/>
      </w:pPr>
    </w:p>
    <w:p w:rsidR="00822776" w:rsidRDefault="00822776" w:rsidP="00962E06">
      <w:pPr>
        <w:pStyle w:val="citation"/>
        <w:rPr>
          <w:u w:val="single"/>
        </w:rPr>
      </w:pPr>
      <w:r w:rsidRPr="00FC7942">
        <w:t xml:space="preserve">Dans le jargon du palais, le mot </w:t>
      </w:r>
      <w:r w:rsidRPr="00FC7942">
        <w:rPr>
          <w:u w:val="single"/>
        </w:rPr>
        <w:t>«audition»</w:t>
      </w:r>
      <w:r w:rsidRPr="00FC7942">
        <w:t xml:space="preserve"> a plusieurs sens. D'abord et avant tout, il </w:t>
      </w:r>
      <w:r w:rsidRPr="00FC7942">
        <w:rPr>
          <w:u w:val="single"/>
        </w:rPr>
        <w:t>désigne cette partie de la séance devant un tribunal où l'une ou les parties exposent leurs arguments (généralement après la preuve terminée).</w:t>
      </w:r>
    </w:p>
    <w:p w:rsidR="00962E06" w:rsidRPr="00FC7942" w:rsidRDefault="00962E06" w:rsidP="00962E06">
      <w:pPr>
        <w:pStyle w:val="citation"/>
        <w:rPr>
          <w:u w:val="single"/>
        </w:rPr>
      </w:pPr>
    </w:p>
    <w:p w:rsidR="00822776" w:rsidRDefault="00822776" w:rsidP="00962E06">
      <w:pPr>
        <w:pStyle w:val="citation"/>
      </w:pPr>
      <w:r w:rsidRPr="00FC7942">
        <w:t>Quelquefois - et c'est le cas au second alinéa de l'article 423 - le mot «audition» est utilisé au lieu d'«audience». Le mot «audience» signifie la «[s]éance au cours de laquelle sont entendues les prétentions des parties, les dépositions des témoins et les plaidoiries. Le terme anglais "hearing of the case" se rend en français par audience, employé seul, et non par le calque audition de la cause(3)</w:t>
      </w:r>
      <w:r w:rsidRPr="00FC7942">
        <w:rPr>
          <w:vertAlign w:val="superscript"/>
        </w:rPr>
        <w:t>3</w:t>
      </w:r>
      <w:r w:rsidRPr="00FC7942">
        <w:t>».</w:t>
      </w:r>
    </w:p>
    <w:p w:rsidR="00962E06" w:rsidRPr="00FC7942" w:rsidRDefault="00962E06" w:rsidP="00962E06">
      <w:pPr>
        <w:pStyle w:val="citation"/>
      </w:pPr>
    </w:p>
    <w:p w:rsidR="00822776" w:rsidRDefault="00822776" w:rsidP="00962E06">
      <w:pPr>
        <w:pStyle w:val="citation"/>
        <w:rPr>
          <w:vertAlign w:val="superscript"/>
        </w:rPr>
      </w:pPr>
      <w:r w:rsidRPr="00FC7942">
        <w:t>On utilise parfois le mot «audition» à la place de l'interrogatoire: audition des témoins au lieu d'interrogatoire des témoins(4).</w:t>
      </w:r>
      <w:r w:rsidRPr="00FC7942">
        <w:rPr>
          <w:vertAlign w:val="superscript"/>
        </w:rPr>
        <w:t>4</w:t>
      </w:r>
    </w:p>
    <w:p w:rsidR="00962E06" w:rsidRPr="00962E06" w:rsidRDefault="00962E06" w:rsidP="00962E06">
      <w:pPr>
        <w:pStyle w:val="citation"/>
      </w:pPr>
    </w:p>
    <w:p w:rsidR="00822776" w:rsidRDefault="00822776" w:rsidP="00001FB3">
      <w:pPr>
        <w:pStyle w:val="citation"/>
        <w:spacing w:after="120"/>
      </w:pPr>
      <w:r w:rsidRPr="00FC7942">
        <w:t xml:space="preserve">         Le sens du mot «audition» dépend donc du contexte.</w:t>
      </w:r>
    </w:p>
    <w:p w:rsidR="00822776" w:rsidRPr="00FC7942" w:rsidRDefault="00822776" w:rsidP="00001FB3">
      <w:pPr>
        <w:pStyle w:val="citation"/>
      </w:pPr>
      <w:r w:rsidRPr="00FC7942">
        <w:rPr>
          <w:u w:val="single"/>
        </w:rPr>
        <w:t>Lorsque le législateur parle d'enquête et d'audition, il vise manifestement deux choses, autrement il parlerait pour ne rien dire</w:t>
      </w:r>
      <w:r w:rsidRPr="00FC7942">
        <w:t>(5).</w:t>
      </w:r>
      <w:r w:rsidRPr="00FC7942">
        <w:rPr>
          <w:vertAlign w:val="superscript"/>
        </w:rPr>
        <w:t>5</w:t>
      </w:r>
    </w:p>
    <w:p w:rsidR="00822776" w:rsidRPr="00FC7942" w:rsidRDefault="00822776" w:rsidP="00822776">
      <w:pPr>
        <w:pStyle w:val="citation"/>
      </w:pPr>
      <w:r w:rsidRPr="00FC7942">
        <w:t>_________</w:t>
      </w:r>
    </w:p>
    <w:p w:rsidR="00822776" w:rsidRPr="00FC7942" w:rsidRDefault="00822776" w:rsidP="00822776">
      <w:pPr>
        <w:pStyle w:val="citation"/>
        <w:ind w:left="851" w:hanging="131"/>
        <w:rPr>
          <w:sz w:val="16"/>
          <w:szCs w:val="16"/>
        </w:rPr>
      </w:pPr>
      <w:r w:rsidRPr="00FC7942">
        <w:rPr>
          <w:vertAlign w:val="superscript"/>
        </w:rPr>
        <w:t>3</w:t>
      </w:r>
      <w:r w:rsidRPr="00FC7942">
        <w:t xml:space="preserve"> </w:t>
      </w:r>
      <w:r w:rsidRPr="00FC7942">
        <w:rPr>
          <w:sz w:val="16"/>
          <w:szCs w:val="16"/>
        </w:rPr>
        <w:t xml:space="preserve">Commission de terminologie juridique.   Termes juridiques: vocabulaire  français-anglais  Québec: Ministère de la Justice, 1997. P. 12. </w:t>
      </w:r>
    </w:p>
    <w:p w:rsidR="00822776" w:rsidRPr="00FC7942" w:rsidRDefault="00822776" w:rsidP="00822776">
      <w:pPr>
        <w:pStyle w:val="citation"/>
        <w:ind w:left="851" w:hanging="131"/>
        <w:rPr>
          <w:sz w:val="16"/>
          <w:szCs w:val="16"/>
        </w:rPr>
      </w:pPr>
      <w:r w:rsidRPr="00FC7942">
        <w:rPr>
          <w:vertAlign w:val="superscript"/>
        </w:rPr>
        <w:t>4</w:t>
      </w:r>
      <w:r w:rsidRPr="00FC7942">
        <w:rPr>
          <w:vertAlign w:val="superscript"/>
        </w:rPr>
        <w:tab/>
      </w:r>
      <w:r w:rsidRPr="00FC7942">
        <w:rPr>
          <w:sz w:val="16"/>
          <w:szCs w:val="16"/>
        </w:rPr>
        <w:t xml:space="preserve">Par exemple, le titre de la section V du Chapitre 1er du Titre V du Livre II du  Code de procédure civile, (art. 293 à 323). </w:t>
      </w:r>
    </w:p>
    <w:p w:rsidR="00822776" w:rsidRDefault="00822776" w:rsidP="00822776">
      <w:pPr>
        <w:pStyle w:val="citation"/>
        <w:ind w:left="851" w:hanging="131"/>
        <w:rPr>
          <w:sz w:val="16"/>
          <w:szCs w:val="16"/>
        </w:rPr>
      </w:pPr>
      <w:r w:rsidRPr="00FC7942">
        <w:rPr>
          <w:vertAlign w:val="superscript"/>
        </w:rPr>
        <w:t>5</w:t>
      </w:r>
      <w:r w:rsidRPr="00FC7942">
        <w:rPr>
          <w:vertAlign w:val="superscript"/>
        </w:rPr>
        <w:tab/>
      </w:r>
      <w:r w:rsidRPr="00FC7942">
        <w:rPr>
          <w:sz w:val="16"/>
          <w:szCs w:val="16"/>
        </w:rPr>
        <w:t>Voir, par analogie, l'article  192  C.P.</w:t>
      </w:r>
    </w:p>
    <w:p w:rsidR="00962E06" w:rsidRDefault="00962E06" w:rsidP="00822776">
      <w:pPr>
        <w:pStyle w:val="citation"/>
        <w:ind w:left="851" w:hanging="131"/>
        <w:rPr>
          <w:sz w:val="16"/>
          <w:szCs w:val="16"/>
        </w:rPr>
      </w:pPr>
    </w:p>
    <w:p w:rsidR="00962E06" w:rsidRPr="00FC7942" w:rsidRDefault="00962E06" w:rsidP="00822776">
      <w:pPr>
        <w:pStyle w:val="citation"/>
        <w:ind w:left="851" w:hanging="131"/>
        <w:rPr>
          <w:sz w:val="16"/>
          <w:szCs w:val="16"/>
        </w:rPr>
      </w:pPr>
    </w:p>
    <w:p w:rsidR="00A75D6D" w:rsidRPr="00FC7942" w:rsidRDefault="00A504DF" w:rsidP="008B2730">
      <w:pPr>
        <w:pStyle w:val="corpsdedcision"/>
        <w:tabs>
          <w:tab w:val="clear" w:pos="360"/>
          <w:tab w:val="num" w:pos="720"/>
        </w:tabs>
      </w:pPr>
      <w:r w:rsidRPr="00FC7942">
        <w:t>En adaptant les termes «</w:t>
      </w:r>
      <w:r w:rsidR="0004217B">
        <w:t> </w:t>
      </w:r>
      <w:r w:rsidRPr="00FC7942">
        <w:t>enquête et de l’audition</w:t>
      </w:r>
      <w:r w:rsidR="0004217B">
        <w:t> </w:t>
      </w:r>
      <w:r w:rsidRPr="00FC7942">
        <w:t>» au processus de conciliation, le Tribunal fait les constats suivants. En ce qui a trait à</w:t>
      </w:r>
      <w:r w:rsidR="00980E93" w:rsidRPr="00FC7942">
        <w:t xml:space="preserve"> «</w:t>
      </w:r>
      <w:r w:rsidR="0004217B">
        <w:t> </w:t>
      </w:r>
      <w:r w:rsidRPr="00FC7942">
        <w:t>l’enquête</w:t>
      </w:r>
      <w:r w:rsidR="0004217B">
        <w:t> </w:t>
      </w:r>
      <w:r w:rsidR="00980E93" w:rsidRPr="00FC7942">
        <w:t>»</w:t>
      </w:r>
      <w:r w:rsidRPr="00FC7942">
        <w:t>, il faut se rappeler que ce processus débute normalement avec le dépôt au Tribunal administratif du travail du dossier que détient la Commission</w:t>
      </w:r>
      <w:r w:rsidRPr="00FC7942">
        <w:rPr>
          <w:rStyle w:val="Appelnotedebasdep"/>
        </w:rPr>
        <w:footnoteReference w:id="28"/>
      </w:r>
      <w:r w:rsidRPr="00FC7942">
        <w:t xml:space="preserve">. Il s’agit des premiers éléments de preuve documentaire. </w:t>
      </w:r>
      <w:r w:rsidR="00A75D6D" w:rsidRPr="00FC7942">
        <w:t xml:space="preserve">Ce dossier fait partie de la preuve à n’en pas douter. Imaginer le contraire équivaudrait à demander aux parties de présenter de nouveau, tous les documents, </w:t>
      </w:r>
      <w:r w:rsidR="00A75D6D" w:rsidRPr="00946109">
        <w:t>notamment</w:t>
      </w:r>
      <w:r w:rsidR="00946109" w:rsidRPr="00946109">
        <w:t xml:space="preserve"> médicaux, d’un dossier qui</w:t>
      </w:r>
      <w:r w:rsidR="00A75D6D" w:rsidRPr="00946109">
        <w:t xml:space="preserve"> peut contenir plusieurs centaines de pages voire </w:t>
      </w:r>
      <w:r w:rsidR="00A75D6D" w:rsidRPr="00FC7942">
        <w:t>des milliers. La LITAT prévoit donc que le dossier de la Commission transmis au Tribunal administratif du travail fait partie de la preuve. C’est pourquoi «</w:t>
      </w:r>
      <w:r w:rsidR="0004217B">
        <w:t> </w:t>
      </w:r>
      <w:r w:rsidR="00A75D6D" w:rsidRPr="00FC7942">
        <w:t>l’enquête</w:t>
      </w:r>
      <w:r w:rsidR="0004217B">
        <w:t> </w:t>
      </w:r>
      <w:r w:rsidR="00A75D6D" w:rsidRPr="00FC7942">
        <w:t>» débute à cette étape.</w:t>
      </w:r>
    </w:p>
    <w:p w:rsidR="00E61C52" w:rsidRPr="00FC7942" w:rsidRDefault="00A504DF" w:rsidP="008B2730">
      <w:pPr>
        <w:pStyle w:val="corpsdedcision"/>
        <w:tabs>
          <w:tab w:val="clear" w:pos="360"/>
          <w:tab w:val="num" w:pos="720"/>
        </w:tabs>
      </w:pPr>
      <w:r w:rsidRPr="00FC7942">
        <w:t>Rappelons, que, de l’avis du Tribunal, le juge administratif saisi d’un accord et appelé à rendre une décision pour l’</w:t>
      </w:r>
      <w:r w:rsidR="003D30A1" w:rsidRPr="00FC7942">
        <w:t>entériner</w:t>
      </w:r>
      <w:r w:rsidRPr="00FC7942">
        <w:t xml:space="preserve">, devrait normalement, être en mesure de consulter ce dossier pour </w:t>
      </w:r>
      <w:r w:rsidR="009D214F" w:rsidRPr="00FC7942">
        <w:t>s’assurer de</w:t>
      </w:r>
      <w:r w:rsidRPr="00FC7942">
        <w:t xml:space="preserve"> sa conformité</w:t>
      </w:r>
      <w:r w:rsidR="00980E93" w:rsidRPr="00FC7942">
        <w:t xml:space="preserve"> à la L</w:t>
      </w:r>
      <w:r w:rsidRPr="00FC7942">
        <w:t>oi.</w:t>
      </w:r>
    </w:p>
    <w:p w:rsidR="00A504DF" w:rsidRPr="00FC7942" w:rsidRDefault="00A504DF" w:rsidP="008B2730">
      <w:pPr>
        <w:pStyle w:val="corpsdedcision"/>
        <w:tabs>
          <w:tab w:val="clear" w:pos="360"/>
          <w:tab w:val="num" w:pos="720"/>
        </w:tabs>
      </w:pPr>
      <w:r w:rsidRPr="00FC7942">
        <w:t>Le Tribunal ajoute également une remarque sur «</w:t>
      </w:r>
      <w:r w:rsidR="00DB5166">
        <w:t> </w:t>
      </w:r>
      <w:r w:rsidRPr="00FC7942">
        <w:t>l’audition</w:t>
      </w:r>
      <w:r w:rsidR="00DB5166">
        <w:t> </w:t>
      </w:r>
      <w:r w:rsidRPr="00FC7942">
        <w:t xml:space="preserve">». Il faut observer que l’accord comporte ce qu’il convient d’appeler des représentations communes des parties. En ce sens, par l’accord, les parties, ensemble, demande au Tribunal </w:t>
      </w:r>
      <w:r w:rsidR="003D30A1" w:rsidRPr="00FC7942">
        <w:t xml:space="preserve">de rendre </w:t>
      </w:r>
      <w:r w:rsidR="00DB5166">
        <w:t xml:space="preserve">une </w:t>
      </w:r>
      <w:r w:rsidR="003D30A1" w:rsidRPr="00FC7942">
        <w:t>décision selon les constats soumis conjointement. Le Tribunal retrouve là le sens de «</w:t>
      </w:r>
      <w:r w:rsidR="00DB5166">
        <w:t> </w:t>
      </w:r>
      <w:r w:rsidR="003D30A1" w:rsidRPr="00FC7942">
        <w:t>l’audition</w:t>
      </w:r>
      <w:r w:rsidR="00DB5166">
        <w:t> </w:t>
      </w:r>
      <w:r w:rsidR="003D30A1" w:rsidRPr="00FC7942">
        <w:t xml:space="preserve">» dans le cadre d’un processus de conciliation. </w:t>
      </w:r>
    </w:p>
    <w:p w:rsidR="003D30A1" w:rsidRPr="00FC7942" w:rsidRDefault="003D30A1" w:rsidP="008B2730">
      <w:pPr>
        <w:pStyle w:val="corpsdedcision"/>
        <w:tabs>
          <w:tab w:val="clear" w:pos="360"/>
          <w:tab w:val="num" w:pos="720"/>
        </w:tabs>
      </w:pPr>
      <w:r w:rsidRPr="00FC7942">
        <w:t>C’est pour ces raisons, encore une fois</w:t>
      </w:r>
      <w:r w:rsidR="006E48BB" w:rsidRPr="00FC7942">
        <w:t>,</w:t>
      </w:r>
      <w:r w:rsidRPr="00FC7942">
        <w:t xml:space="preserve"> </w:t>
      </w:r>
      <w:r w:rsidR="006E48BB" w:rsidRPr="00FC7942">
        <w:t xml:space="preserve">le tout </w:t>
      </w:r>
      <w:r w:rsidRPr="00FC7942">
        <w:t>soumis avec égard</w:t>
      </w:r>
      <w:r w:rsidR="000408EA">
        <w:t>s</w:t>
      </w:r>
      <w:r w:rsidRPr="00FC7942">
        <w:t>, que le Tribunal conclut qu’au lieu de prétendre qu’il n’y a pas d’</w:t>
      </w:r>
      <w:r w:rsidR="00980E93" w:rsidRPr="00FC7942">
        <w:t>«</w:t>
      </w:r>
      <w:r w:rsidR="00DB5166">
        <w:t> </w:t>
      </w:r>
      <w:r w:rsidRPr="00FC7942">
        <w:t xml:space="preserve">enquête et </w:t>
      </w:r>
      <w:r w:rsidR="00980E93" w:rsidRPr="00FC7942">
        <w:t>l’</w:t>
      </w:r>
      <w:r w:rsidRPr="00FC7942">
        <w:t>audition</w:t>
      </w:r>
      <w:r w:rsidR="00DB5166">
        <w:t> </w:t>
      </w:r>
      <w:r w:rsidR="00980E93" w:rsidRPr="00FC7942">
        <w:t>»</w:t>
      </w:r>
      <w:r w:rsidRPr="00FC7942">
        <w:t xml:space="preserve"> dans le cadre de la conciliation, il y a lieu d’analyser le tout plus rigoureusement en constatant qu’il y a un début d’enquête</w:t>
      </w:r>
      <w:r w:rsidRPr="00FC7942">
        <w:rPr>
          <w:rStyle w:val="Appelnotedebasdep"/>
        </w:rPr>
        <w:footnoteReference w:id="29"/>
      </w:r>
      <w:r w:rsidRPr="00FC7942">
        <w:t xml:space="preserve"> et une terminaison de l’audition</w:t>
      </w:r>
      <w:r w:rsidRPr="00FC7942">
        <w:rPr>
          <w:rStyle w:val="Appelnotedebasdep"/>
        </w:rPr>
        <w:footnoteReference w:id="30"/>
      </w:r>
      <w:r w:rsidRPr="00FC7942">
        <w:t>. Certes, demeure les principes déjà reconnus par la jurisprudence quant à la validité de l’accord verbal, jusqu’à ce qu’il soit soumis par écrit à un juge administratif du Tribunal administratif du travail</w:t>
      </w:r>
      <w:r w:rsidR="00C277A9" w:rsidRPr="00FC7942">
        <w:t>, et ce, sous réserve de ce qui suit.</w:t>
      </w:r>
    </w:p>
    <w:p w:rsidR="00E61C52" w:rsidRPr="00946109" w:rsidRDefault="003D30A1" w:rsidP="008B2730">
      <w:pPr>
        <w:pStyle w:val="corpsdedcision"/>
        <w:tabs>
          <w:tab w:val="clear" w:pos="360"/>
          <w:tab w:val="num" w:pos="720"/>
        </w:tabs>
      </w:pPr>
      <w:r w:rsidRPr="00FC7942">
        <w:t>Maintenant que l’on a déterminé les balises temporelles de «</w:t>
      </w:r>
      <w:r w:rsidR="00DB5166">
        <w:t> </w:t>
      </w:r>
      <w:r w:rsidRPr="00FC7942">
        <w:t>l’enquête et l’audition</w:t>
      </w:r>
      <w:r w:rsidR="00DB5166">
        <w:t> </w:t>
      </w:r>
      <w:r w:rsidRPr="00FC7942">
        <w:t xml:space="preserve">», il y a lieu de </w:t>
      </w:r>
      <w:r w:rsidR="000A5289" w:rsidRPr="00FC7942">
        <w:t xml:space="preserve">déterminer ce que serait un délai raisonnable pour permettre à </w:t>
      </w:r>
      <w:r w:rsidR="000A5289" w:rsidRPr="00946109">
        <w:t xml:space="preserve">la Commission </w:t>
      </w:r>
      <w:r w:rsidR="00675C66" w:rsidRPr="00946109">
        <w:t>d’</w:t>
      </w:r>
      <w:r w:rsidR="000A5289" w:rsidRPr="00946109">
        <w:t>intervenir.</w:t>
      </w:r>
    </w:p>
    <w:p w:rsidR="002B3906" w:rsidRPr="00FC7942" w:rsidRDefault="000A5289" w:rsidP="00113521">
      <w:pPr>
        <w:pStyle w:val="corpsdedcision"/>
        <w:numPr>
          <w:ilvl w:val="0"/>
          <w:numId w:val="8"/>
        </w:numPr>
        <w:ind w:hanging="1080"/>
        <w:rPr>
          <w:b/>
        </w:rPr>
      </w:pPr>
      <w:r w:rsidRPr="00FC7942">
        <w:rPr>
          <w:b/>
        </w:rPr>
        <w:t>Le délai à observer pour permettre l’intervention de la Commission</w:t>
      </w:r>
    </w:p>
    <w:p w:rsidR="008E1B9D" w:rsidRPr="00FC7942" w:rsidRDefault="008E1B9D" w:rsidP="000A5289">
      <w:pPr>
        <w:pStyle w:val="corpsdedcision"/>
        <w:tabs>
          <w:tab w:val="clear" w:pos="360"/>
          <w:tab w:val="num" w:pos="720"/>
        </w:tabs>
      </w:pPr>
      <w:r w:rsidRPr="00FC7942">
        <w:t>Tel que mentionné plus haut, la LITAT ne prévoit pas de délai minimal pour permettre l’intervention de la Commission avant de conclure un accord entre l’employeur et le travailleur.</w:t>
      </w:r>
    </w:p>
    <w:p w:rsidR="00E72972" w:rsidRPr="00FC7942" w:rsidRDefault="009D214F" w:rsidP="000A5289">
      <w:pPr>
        <w:pStyle w:val="corpsdedcision"/>
        <w:tabs>
          <w:tab w:val="clear" w:pos="360"/>
          <w:tab w:val="num" w:pos="720"/>
        </w:tabs>
      </w:pPr>
      <w:r w:rsidRPr="00FC7942">
        <w:t>En se rappelant la position de l’employeur voulant</w:t>
      </w:r>
      <w:r w:rsidR="00E72972" w:rsidRPr="00FC7942">
        <w:t xml:space="preserve"> que chaque cas est un cas d’espèce, le Tribunal doit aussi conclure qu’en termes d’application du devoir d’agir équitablement, tous sont en droit de s’attendre, sous réserve de certaines exceptions, à une application uniforme à travers toutes les directions régionales du Tribunal administratif du travail, en ce qui a trait à ce délai.</w:t>
      </w:r>
    </w:p>
    <w:p w:rsidR="00E72972" w:rsidRPr="00FC7942" w:rsidRDefault="00E72972" w:rsidP="000A5289">
      <w:pPr>
        <w:pStyle w:val="corpsdedcision"/>
        <w:tabs>
          <w:tab w:val="clear" w:pos="360"/>
          <w:tab w:val="num" w:pos="720"/>
        </w:tabs>
      </w:pPr>
      <w:r w:rsidRPr="00FC7942">
        <w:t xml:space="preserve">Ainsi, entre l’objectif de célérité, objectif de la justice administrative </w:t>
      </w:r>
      <w:r w:rsidR="00C277A9" w:rsidRPr="00FC7942">
        <w:t>(</w:t>
      </w:r>
      <w:r w:rsidR="003130C6" w:rsidRPr="00FC7942">
        <w:t>ainsi que</w:t>
      </w:r>
      <w:r w:rsidRPr="00FC7942">
        <w:t xml:space="preserve"> la dynamique que peuvent avoir les parties dans le cadre de leur relation</w:t>
      </w:r>
      <w:r w:rsidR="00C277A9" w:rsidRPr="00FC7942">
        <w:t xml:space="preserve"> de travail)</w:t>
      </w:r>
      <w:r w:rsidR="003130C6" w:rsidRPr="00FC7942">
        <w:t xml:space="preserve"> et le respect des droits de la Commission, il faut déterminer un délai raisonna</w:t>
      </w:r>
      <w:r w:rsidR="00675C66">
        <w:t>ble. Le Tribunal considère que l</w:t>
      </w:r>
      <w:r w:rsidR="003130C6" w:rsidRPr="00FC7942">
        <w:t>e délai doit être fixé à 20</w:t>
      </w:r>
      <w:r w:rsidR="00675C66">
        <w:t> </w:t>
      </w:r>
      <w:r w:rsidR="003130C6" w:rsidRPr="00FC7942">
        <w:t xml:space="preserve">jours de la transmission de </w:t>
      </w:r>
      <w:r w:rsidR="00C277A9" w:rsidRPr="00FC7942">
        <w:t xml:space="preserve">la copie de </w:t>
      </w:r>
      <w:r w:rsidR="003130C6" w:rsidRPr="00FC7942">
        <w:t>l’acte introductif, à toutes les parties incluant la Commission.</w:t>
      </w:r>
    </w:p>
    <w:p w:rsidR="003130C6" w:rsidRPr="00FC7942" w:rsidRDefault="003130C6" w:rsidP="008F2533">
      <w:pPr>
        <w:pStyle w:val="corpsdedcision"/>
        <w:tabs>
          <w:tab w:val="clear" w:pos="360"/>
          <w:tab w:val="num" w:pos="720"/>
        </w:tabs>
      </w:pPr>
      <w:r w:rsidRPr="00FC7942">
        <w:t>Ce délai est celui prévu pour la transmission du dossier de la Commission au Tribunal</w:t>
      </w:r>
      <w:r w:rsidRPr="00FC7942">
        <w:rPr>
          <w:rStyle w:val="Appelnotedebasdep"/>
        </w:rPr>
        <w:footnoteReference w:id="31"/>
      </w:r>
      <w:r w:rsidRPr="00FC7942">
        <w:t xml:space="preserve">. À compter de cette transmission, la Commission ne peut pas prétendre ne pas être </w:t>
      </w:r>
      <w:r w:rsidR="00C277A9" w:rsidRPr="00FC7942">
        <w:t>avisée</w:t>
      </w:r>
      <w:r w:rsidRPr="00FC7942">
        <w:t xml:space="preserve"> de l’existence de l’acte introductif et à l’intérieur de cette période, elle devra </w:t>
      </w:r>
      <w:r w:rsidR="008F2533" w:rsidRPr="00FC7942">
        <w:t xml:space="preserve">développer, au besoin, des mécanismes efficients pour la prise de décision d’intervenir. Le Tribunal note également, que rien dans la LITAT ne force la Commission à procéder par un membre de son contentieux pour déposer un avis d’intervention. </w:t>
      </w:r>
      <w:r w:rsidR="00C277A9" w:rsidRPr="00FC7942">
        <w:t xml:space="preserve">Un avis émis par la Commission qui pourrait être suivi dans le temps par une comparution de son contentieux, peut très bien être envisageable. </w:t>
      </w:r>
      <w:r w:rsidR="008F2533" w:rsidRPr="00FC7942">
        <w:t xml:space="preserve">De tout cela, le Tribunal conclut à la </w:t>
      </w:r>
      <w:r w:rsidR="00C277A9" w:rsidRPr="00FC7942">
        <w:t>raisonnabilité</w:t>
      </w:r>
      <w:r w:rsidR="008F2533" w:rsidRPr="00FC7942">
        <w:t xml:space="preserve"> de ce délai de 20 jours</w:t>
      </w:r>
      <w:r w:rsidR="00FC7942">
        <w:t>.</w:t>
      </w:r>
    </w:p>
    <w:p w:rsidR="003130C6" w:rsidRDefault="003130C6" w:rsidP="00962E06">
      <w:pPr>
        <w:pStyle w:val="corpsdedcision"/>
        <w:tabs>
          <w:tab w:val="clear" w:pos="360"/>
          <w:tab w:val="num" w:pos="720"/>
        </w:tabs>
        <w:spacing w:after="240"/>
      </w:pPr>
      <w:r w:rsidRPr="00FC7942">
        <w:t xml:space="preserve">Le Tribunal partage les propos tenus </w:t>
      </w:r>
      <w:r w:rsidRPr="00B703AC">
        <w:t>aux paragraphes 86 à 89 de l’affaire</w:t>
      </w:r>
      <w:r w:rsidRPr="00FC7942">
        <w:t xml:space="preserve"> </w:t>
      </w:r>
      <w:r w:rsidRPr="00FC7942">
        <w:rPr>
          <w:i/>
        </w:rPr>
        <w:t>Pepsi</w:t>
      </w:r>
      <w:r w:rsidRPr="00FC7942">
        <w:rPr>
          <w:rStyle w:val="Appelnotedebasdep"/>
        </w:rPr>
        <w:footnoteReference w:id="32"/>
      </w:r>
      <w:r w:rsidRPr="00FC7942">
        <w:t>, et plus particulièrement :</w:t>
      </w:r>
    </w:p>
    <w:p w:rsidR="00B703AC" w:rsidRPr="00FC7942" w:rsidRDefault="00B703AC" w:rsidP="00B703AC">
      <w:pPr>
        <w:pStyle w:val="corpsdedcision"/>
        <w:numPr>
          <w:ilvl w:val="0"/>
          <w:numId w:val="0"/>
        </w:numPr>
        <w:tabs>
          <w:tab w:val="clear" w:pos="720"/>
        </w:tabs>
        <w:spacing w:after="240"/>
      </w:pPr>
    </w:p>
    <w:p w:rsidR="003130C6" w:rsidRPr="00FC7942" w:rsidRDefault="003130C6" w:rsidP="00962E06">
      <w:pPr>
        <w:pStyle w:val="citation"/>
        <w:spacing w:after="120"/>
        <w:rPr>
          <w:u w:val="single"/>
        </w:rPr>
      </w:pPr>
      <w:r w:rsidRPr="00FC7942">
        <w:t>[87]</w:t>
      </w:r>
      <w:r w:rsidRPr="00FC7942">
        <w:tab/>
        <w:t xml:space="preserve">Le Tribunal rappelle que certains accords conclus entre un employeur et un travailleur n’impliquent aucune perte ni versement de quelque somme d’argent de la part de l’un ou de l’autre ni quelque autre impact pour eux, seule la Commission, administratrice du régime d’indemnisation pour l’ensemble des employeurs qui le financent, étant alors appelée à assumer les coûts résultant de cet accord. </w:t>
      </w:r>
      <w:r w:rsidRPr="00FC7942">
        <w:rPr>
          <w:u w:val="single"/>
        </w:rPr>
        <w:t xml:space="preserve">La conclusion précipitée d’un accord, avant l’intervention de la Commission, parfois sans que les parties à l’accord n’en fassent de quelque façon les frais, ne peut, notamment dans ce contexte, que porter ombrage à l’ensemble du processus de conciliation et à la justice administrative. Une telle pratique ne peut ainsi raisonnablement être avalisée. </w:t>
      </w:r>
    </w:p>
    <w:p w:rsidR="003130C6" w:rsidRPr="00FC7942" w:rsidRDefault="003130C6" w:rsidP="00962E06">
      <w:pPr>
        <w:pStyle w:val="citation"/>
        <w:spacing w:after="120"/>
      </w:pPr>
      <w:r w:rsidRPr="00FC7942">
        <w:t>[88]</w:t>
      </w:r>
      <w:r w:rsidRPr="00FC7942">
        <w:tab/>
      </w:r>
      <w:r w:rsidRPr="00FC7942">
        <w:rPr>
          <w:u w:val="single"/>
        </w:rPr>
        <w:t>Devoir attendre 20 jours</w:t>
      </w:r>
      <w:r w:rsidRPr="00FC7942">
        <w:t xml:space="preserve"> après la réception par toutes les parties, dont la Commission, de la contestation déposée au Tribunal pour conclure un accord, et qu’il soit opposable à tous, </w:t>
      </w:r>
      <w:r w:rsidRPr="00FC7942">
        <w:rPr>
          <w:u w:val="single"/>
        </w:rPr>
        <w:t>n’est rien lorsque mis dans la balance par opposition au droit de la Commission d’intervenir au dossier et d’être entendue</w:t>
      </w:r>
      <w:r w:rsidRPr="00FC7942">
        <w:t>. Chose certaine, il apparaît souhaitable que la Commission (comme, par ailleurs, l’ensemble des intervenants) sache à l’avance le délai dont elle dispose pour intervenir dans un dossier sans que son droit soit menacé.</w:t>
      </w:r>
    </w:p>
    <w:p w:rsidR="003130C6" w:rsidRPr="00C7162B" w:rsidRDefault="00C7162B" w:rsidP="003130C6">
      <w:pPr>
        <w:pStyle w:val="citation"/>
        <w:rPr>
          <w:sz w:val="22"/>
          <w:szCs w:val="22"/>
        </w:rPr>
      </w:pPr>
      <w:r w:rsidRPr="00C7162B">
        <w:rPr>
          <w:sz w:val="22"/>
          <w:szCs w:val="22"/>
        </w:rPr>
        <w:t>[N</w:t>
      </w:r>
      <w:r w:rsidR="003130C6" w:rsidRPr="00C7162B">
        <w:rPr>
          <w:sz w:val="22"/>
          <w:szCs w:val="22"/>
        </w:rPr>
        <w:t>ous soulignons]</w:t>
      </w:r>
    </w:p>
    <w:p w:rsidR="00C7162B" w:rsidRDefault="00C7162B" w:rsidP="003130C6">
      <w:pPr>
        <w:pStyle w:val="citation"/>
      </w:pPr>
    </w:p>
    <w:p w:rsidR="00C7162B" w:rsidRPr="00FC7942" w:rsidRDefault="00C7162B" w:rsidP="003130C6">
      <w:pPr>
        <w:pStyle w:val="citation"/>
      </w:pPr>
    </w:p>
    <w:p w:rsidR="009D214F" w:rsidRPr="00FC7942" w:rsidRDefault="009D214F" w:rsidP="008F2533">
      <w:pPr>
        <w:pStyle w:val="corpsdedcision"/>
        <w:tabs>
          <w:tab w:val="clear" w:pos="360"/>
          <w:tab w:val="num" w:pos="720"/>
        </w:tabs>
      </w:pPr>
      <w:r w:rsidRPr="00FC7942">
        <w:t xml:space="preserve">À titre d’opinion incidente, le Tribunal a posé </w:t>
      </w:r>
      <w:r w:rsidRPr="00FC7942">
        <w:rPr>
          <w:b/>
        </w:rPr>
        <w:t>ironiquement</w:t>
      </w:r>
      <w:r w:rsidRPr="00FC7942">
        <w:t xml:space="preserve"> à la procureure de la Commission la question à savoir pourquoi les parties n’aimaient par la présence de l’organisme dans le processus de conciliation. De fait</w:t>
      </w:r>
      <w:r w:rsidR="00FC7942">
        <w:t>,</w:t>
      </w:r>
      <w:r w:rsidRPr="00FC7942">
        <w:t xml:space="preserve"> la réponse à cette question se retrouve aux paragraphes 87 et 88 de la décision rendue dans l’affaire </w:t>
      </w:r>
      <w:r w:rsidRPr="00675C66">
        <w:rPr>
          <w:i/>
        </w:rPr>
        <w:t>Pepsi</w:t>
      </w:r>
      <w:r w:rsidR="00F50359">
        <w:rPr>
          <w:rStyle w:val="Appelnotedebasdep"/>
          <w:i/>
        </w:rPr>
        <w:footnoteReference w:id="33"/>
      </w:r>
      <w:r w:rsidR="000408EA">
        <w:t>.</w:t>
      </w:r>
    </w:p>
    <w:p w:rsidR="008F2533" w:rsidRPr="00FC7942" w:rsidRDefault="00102A1F" w:rsidP="008F2533">
      <w:pPr>
        <w:pStyle w:val="corpsdedcision"/>
        <w:tabs>
          <w:tab w:val="clear" w:pos="360"/>
          <w:tab w:val="num" w:pos="720"/>
        </w:tabs>
      </w:pPr>
      <w:r w:rsidRPr="00FC7942">
        <w:t>Toujours à</w:t>
      </w:r>
      <w:r w:rsidR="008F2533" w:rsidRPr="00FC7942">
        <w:t xml:space="preserve"> titre d’opinion incidente, le Tribunal rappelle les objectifs de cohérence</w:t>
      </w:r>
      <w:r w:rsidR="008F2533" w:rsidRPr="00FC7942">
        <w:rPr>
          <w:rFonts w:asciiTheme="minorHAnsi" w:eastAsiaTheme="minorEastAsia" w:hAnsiTheme="minorHAnsi" w:cstheme="minorBidi"/>
          <w:color w:val="000000"/>
          <w:szCs w:val="24"/>
          <w:lang w:eastAsia="fr-FR"/>
        </w:rPr>
        <w:t xml:space="preserve"> </w:t>
      </w:r>
      <w:r w:rsidR="00675C66">
        <w:t>décisionnelle au sein d'un T</w:t>
      </w:r>
      <w:r w:rsidR="008F2533" w:rsidRPr="00FC7942">
        <w:t>ribunal administratif qui est un objectif souhaitable tant dans l'intérêt des parties et des décideurs que dans l'intérêt de la justice. Cette cohérence favorise l'équité ou l'égalité de traitement. Elle permet aux parties de planifier leurs actions dans une atmosphère de stabilité et de prévisibilité. Elle contribue à bâtir la confiance du public dans l'intégrité du système de justice administrative et laisse une impression de bon sens et de bonne administration</w:t>
      </w:r>
      <w:r w:rsidR="008F2533" w:rsidRPr="00FC7942">
        <w:rPr>
          <w:vertAlign w:val="superscript"/>
        </w:rPr>
        <w:footnoteReference w:id="34"/>
      </w:r>
      <w:r w:rsidR="008F2533" w:rsidRPr="00FC7942">
        <w:t>.</w:t>
      </w:r>
      <w:r w:rsidRPr="00FC7942">
        <w:t xml:space="preserve"> C’est pour cette raison qu’il y a lieu de considérer qu’un même délai devrait se retrouver dans chacune des directions régionales du Tribunal administratif du travail.</w:t>
      </w:r>
    </w:p>
    <w:p w:rsidR="00C74B6F" w:rsidRPr="00FC7942" w:rsidRDefault="00C74B6F">
      <w:pPr>
        <w:pStyle w:val="Dispositif"/>
      </w:pPr>
      <w:r w:rsidRPr="00FC7942">
        <w:rPr>
          <w:b/>
        </w:rPr>
        <w:t>P</w:t>
      </w:r>
      <w:r w:rsidR="00D07FA6" w:rsidRPr="00FC7942">
        <w:rPr>
          <w:b/>
        </w:rPr>
        <w:t>AR CES MOTIFS, LE TRIBUNAL ADMINISTRATIF DU TRAVAIL</w:t>
      </w:r>
      <w:r w:rsidRPr="00FC7942">
        <w:rPr>
          <w:b/>
        </w:rPr>
        <w:t> :</w:t>
      </w:r>
    </w:p>
    <w:p w:rsidR="00C74B6F" w:rsidRPr="00FC7942" w:rsidRDefault="008F2533">
      <w:pPr>
        <w:pStyle w:val="Dispositif"/>
      </w:pPr>
      <w:r w:rsidRPr="00FC7942">
        <w:rPr>
          <w:b/>
        </w:rPr>
        <w:t>ACCUEILLE</w:t>
      </w:r>
      <w:r w:rsidRPr="00FC7942">
        <w:t xml:space="preserve"> </w:t>
      </w:r>
      <w:r w:rsidR="001451E9" w:rsidRPr="00FC7942">
        <w:t>la demande d’intervention</w:t>
      </w:r>
      <w:r w:rsidRPr="00FC7942">
        <w:t xml:space="preserve"> de la Commission des normes, de l’équité, de la santé et de la sécurité du travail déposé</w:t>
      </w:r>
      <w:r w:rsidR="001451E9" w:rsidRPr="00FC7942">
        <w:t xml:space="preserve"> le 31 octobre 2018;</w:t>
      </w:r>
    </w:p>
    <w:p w:rsidR="001451E9" w:rsidRPr="00FC7942" w:rsidRDefault="001451E9">
      <w:pPr>
        <w:pStyle w:val="Dispositif"/>
      </w:pPr>
      <w:r w:rsidRPr="00FC7942">
        <w:rPr>
          <w:b/>
        </w:rPr>
        <w:t>DÉCLARE</w:t>
      </w:r>
      <w:r w:rsidRPr="00FC7942">
        <w:t xml:space="preserve"> qu’un délai minimal de 20 jours, pour intervenir auprès du Tribunal administratif du travail, et ce, à compter de la transmission de l’acte introductif aux parties ainsi qu’à la Commission, est raisonnable;</w:t>
      </w:r>
    </w:p>
    <w:p w:rsidR="001451E9" w:rsidRPr="00FC7942" w:rsidRDefault="001451E9">
      <w:pPr>
        <w:pStyle w:val="Dispositif"/>
      </w:pPr>
      <w:r w:rsidRPr="00FC7942">
        <w:rPr>
          <w:b/>
        </w:rPr>
        <w:t>DÉCLARE</w:t>
      </w:r>
      <w:r w:rsidRPr="00FC7942">
        <w:t xml:space="preserve"> que la Commission des normes, de l’équité, de la santé et de la sécurité du travail est partie à la contestation initiée par l’acte introductif déposé pa</w:t>
      </w:r>
      <w:r w:rsidR="00C7162B">
        <w:t>r l’employeur le 9 octobre 2018;</w:t>
      </w:r>
    </w:p>
    <w:p w:rsidR="00102A1F" w:rsidRPr="00FC7942" w:rsidRDefault="00102A1F" w:rsidP="00102A1F">
      <w:pPr>
        <w:pStyle w:val="Dispositif"/>
      </w:pPr>
      <w:r w:rsidRPr="00FC7942">
        <w:rPr>
          <w:b/>
        </w:rPr>
        <w:t>CONVOQUERA</w:t>
      </w:r>
      <w:r w:rsidRPr="00FC7942">
        <w:t xml:space="preserve"> les parties à une audience sur le fond.</w:t>
      </w:r>
    </w:p>
    <w:p w:rsidR="00C74B6F" w:rsidRDefault="00C74B6F">
      <w:pPr>
        <w:pStyle w:val="Dispositif"/>
      </w:pPr>
    </w:p>
    <w:p w:rsidR="00962E06" w:rsidRPr="00FC7942" w:rsidRDefault="00962E06">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rsidRPr="00FC7942">
        <w:tc>
          <w:tcPr>
            <w:tcW w:w="4795" w:type="dxa"/>
          </w:tcPr>
          <w:p w:rsidR="00C74B6F" w:rsidRPr="00FC7942" w:rsidRDefault="00C74B6F"/>
        </w:tc>
        <w:tc>
          <w:tcPr>
            <w:tcW w:w="4795" w:type="dxa"/>
          </w:tcPr>
          <w:p w:rsidR="00C74B6F" w:rsidRPr="00FC7942" w:rsidRDefault="00C74B6F">
            <w:bookmarkStart w:id="7" w:name="signature"/>
            <w:bookmarkEnd w:id="7"/>
          </w:p>
        </w:tc>
      </w:tr>
      <w:tr w:rsidR="00C74B6F" w:rsidRPr="00FC7942">
        <w:tc>
          <w:tcPr>
            <w:tcW w:w="4795" w:type="dxa"/>
          </w:tcPr>
          <w:p w:rsidR="00C74B6F" w:rsidRPr="00FC7942" w:rsidRDefault="00C74B6F"/>
        </w:tc>
        <w:tc>
          <w:tcPr>
            <w:tcW w:w="4795" w:type="dxa"/>
          </w:tcPr>
          <w:p w:rsidR="00C74B6F" w:rsidRPr="00FC7942" w:rsidRDefault="008F2533">
            <w:r w:rsidRPr="00FC7942">
              <w:rPr>
                <w:rFonts w:cs="Arial"/>
              </w:rPr>
              <w:t>JEAN M. POIRIER, j.a.t.a.t.</w:t>
            </w:r>
          </w:p>
        </w:tc>
      </w:tr>
      <w:tr w:rsidR="00C74B6F" w:rsidRPr="00FC7942">
        <w:trPr>
          <w:cantSplit/>
        </w:trPr>
        <w:tc>
          <w:tcPr>
            <w:tcW w:w="9590" w:type="dxa"/>
            <w:gridSpan w:val="2"/>
          </w:tcPr>
          <w:p w:rsidR="00C74B6F" w:rsidRPr="00FC7942" w:rsidRDefault="00C74B6F"/>
        </w:tc>
      </w:tr>
      <w:tr w:rsidR="00C74B6F" w:rsidRPr="00FC7942">
        <w:trPr>
          <w:cantSplit/>
        </w:trPr>
        <w:tc>
          <w:tcPr>
            <w:tcW w:w="9590" w:type="dxa"/>
            <w:gridSpan w:val="2"/>
          </w:tcPr>
          <w:p w:rsidR="00C74B6F" w:rsidRPr="00FC7942" w:rsidRDefault="00C74B6F"/>
        </w:tc>
      </w:tr>
      <w:tr w:rsidR="00C74B6F" w:rsidRPr="00FC7942">
        <w:trPr>
          <w:cantSplit/>
        </w:trPr>
        <w:tc>
          <w:tcPr>
            <w:tcW w:w="9590" w:type="dxa"/>
            <w:gridSpan w:val="2"/>
          </w:tcPr>
          <w:p w:rsidR="00C74B6F" w:rsidRPr="00FC7942" w:rsidRDefault="0030353D">
            <w:pPr>
              <w:pStyle w:val="zSoquijdatNomProcureurDem"/>
            </w:pPr>
            <w:r w:rsidRPr="00FC7942">
              <w:t>M</w:t>
            </w:r>
            <w:r w:rsidRPr="00FC7942">
              <w:rPr>
                <w:vertAlign w:val="superscript"/>
              </w:rPr>
              <w:t>e</w:t>
            </w:r>
            <w:r w:rsidRPr="00FC7942">
              <w:t xml:space="preserve"> Sylvain Chabot</w:t>
            </w:r>
          </w:p>
        </w:tc>
      </w:tr>
      <w:tr w:rsidR="00C74B6F" w:rsidRPr="00FC7942">
        <w:trPr>
          <w:cantSplit/>
        </w:trPr>
        <w:tc>
          <w:tcPr>
            <w:tcW w:w="9590" w:type="dxa"/>
            <w:gridSpan w:val="2"/>
          </w:tcPr>
          <w:p w:rsidR="00C74B6F" w:rsidRPr="00FC7942" w:rsidRDefault="0030353D">
            <w:pPr>
              <w:pStyle w:val="zSoquijdatCabinetProcureurDem"/>
            </w:pPr>
            <w:r w:rsidRPr="00FC7942">
              <w:t>CAIN LAMARRE S.E.N.C.R.L.</w:t>
            </w:r>
          </w:p>
        </w:tc>
      </w:tr>
      <w:tr w:rsidR="00C74B6F" w:rsidRPr="00FC7942">
        <w:trPr>
          <w:cantSplit/>
        </w:trPr>
        <w:tc>
          <w:tcPr>
            <w:tcW w:w="9590" w:type="dxa"/>
            <w:gridSpan w:val="2"/>
          </w:tcPr>
          <w:p w:rsidR="00C74B6F" w:rsidRPr="00FC7942" w:rsidRDefault="00CB05A7">
            <w:pPr>
              <w:pStyle w:val="zSoquijlblProcureurDem"/>
            </w:pPr>
            <w:r w:rsidRPr="00FC7942">
              <w:t>Pour la partie demanderesse</w:t>
            </w:r>
          </w:p>
        </w:tc>
      </w:tr>
      <w:tr w:rsidR="00C74B6F" w:rsidRPr="00FC7942">
        <w:trPr>
          <w:cantSplit/>
        </w:trPr>
        <w:tc>
          <w:tcPr>
            <w:tcW w:w="9590" w:type="dxa"/>
            <w:gridSpan w:val="2"/>
          </w:tcPr>
          <w:p w:rsidR="00C74B6F" w:rsidRPr="00FC7942" w:rsidRDefault="00C74B6F"/>
        </w:tc>
      </w:tr>
      <w:tr w:rsidR="00C74B6F" w:rsidRPr="00FC7942">
        <w:trPr>
          <w:cantSplit/>
        </w:trPr>
        <w:tc>
          <w:tcPr>
            <w:tcW w:w="9590" w:type="dxa"/>
            <w:gridSpan w:val="2"/>
          </w:tcPr>
          <w:p w:rsidR="00C74B6F" w:rsidRPr="00FC7942" w:rsidRDefault="0015453B">
            <w:pPr>
              <w:pStyle w:val="zSoquijdatNomProcureurDef"/>
            </w:pPr>
            <w:r w:rsidRPr="00FC7942">
              <w:t xml:space="preserve">Monsieur Éric Gravelle </w:t>
            </w:r>
          </w:p>
        </w:tc>
      </w:tr>
      <w:tr w:rsidR="00C74B6F" w:rsidRPr="000408EA">
        <w:trPr>
          <w:cantSplit/>
        </w:trPr>
        <w:tc>
          <w:tcPr>
            <w:tcW w:w="9590" w:type="dxa"/>
            <w:gridSpan w:val="2"/>
          </w:tcPr>
          <w:p w:rsidR="00C74B6F" w:rsidRPr="00AF420E" w:rsidRDefault="0015453B">
            <w:pPr>
              <w:pStyle w:val="zSoquijdatCabinetProcureurDef"/>
              <w:rPr>
                <w:lang w:val="en-CA"/>
              </w:rPr>
            </w:pPr>
            <w:r w:rsidRPr="00AF420E">
              <w:rPr>
                <w:lang w:val="en-CA"/>
              </w:rPr>
              <w:t>T.U.A.C. (LOCAL 1991-P)</w:t>
            </w:r>
          </w:p>
        </w:tc>
      </w:tr>
      <w:tr w:rsidR="00C74B6F" w:rsidRPr="00FC7942">
        <w:trPr>
          <w:cantSplit/>
        </w:trPr>
        <w:tc>
          <w:tcPr>
            <w:tcW w:w="9590" w:type="dxa"/>
            <w:gridSpan w:val="2"/>
          </w:tcPr>
          <w:p w:rsidR="00C74B6F" w:rsidRPr="00FC7942" w:rsidRDefault="00CB05A7" w:rsidP="0015453B">
            <w:pPr>
              <w:pStyle w:val="zSoquijlblProcureurDef"/>
            </w:pPr>
            <w:r w:rsidRPr="00FC7942">
              <w:t xml:space="preserve">Pour la </w:t>
            </w:r>
            <w:r w:rsidR="0015453B" w:rsidRPr="00FC7942">
              <w:t>p</w:t>
            </w:r>
            <w:r w:rsidR="0030353D" w:rsidRPr="00FC7942">
              <w:t>artie mise en cause</w:t>
            </w:r>
          </w:p>
        </w:tc>
      </w:tr>
      <w:tr w:rsidR="007569DE" w:rsidRPr="00FC7942">
        <w:trPr>
          <w:cantSplit/>
        </w:trPr>
        <w:tc>
          <w:tcPr>
            <w:tcW w:w="9590" w:type="dxa"/>
            <w:gridSpan w:val="2"/>
          </w:tcPr>
          <w:p w:rsidR="007569DE" w:rsidRPr="00FC7942" w:rsidRDefault="007569DE"/>
        </w:tc>
      </w:tr>
      <w:tr w:rsidR="0030353D" w:rsidRPr="00FC7942">
        <w:trPr>
          <w:cantSplit/>
        </w:trPr>
        <w:tc>
          <w:tcPr>
            <w:tcW w:w="9590" w:type="dxa"/>
            <w:gridSpan w:val="2"/>
          </w:tcPr>
          <w:p w:rsidR="0030353D" w:rsidRPr="00FC7942" w:rsidRDefault="0030353D" w:rsidP="0030353D">
            <w:r w:rsidRPr="00FC7942">
              <w:t>M</w:t>
            </w:r>
            <w:r w:rsidRPr="00FC7942">
              <w:rPr>
                <w:vertAlign w:val="superscript"/>
              </w:rPr>
              <w:t>e</w:t>
            </w:r>
            <w:r w:rsidRPr="00FC7942">
              <w:t xml:space="preserve"> Marie-Anne Lecavalier</w:t>
            </w:r>
          </w:p>
        </w:tc>
      </w:tr>
      <w:tr w:rsidR="0030353D" w:rsidRPr="00FC7942">
        <w:trPr>
          <w:cantSplit/>
        </w:trPr>
        <w:tc>
          <w:tcPr>
            <w:tcW w:w="9590" w:type="dxa"/>
            <w:gridSpan w:val="2"/>
          </w:tcPr>
          <w:p w:rsidR="0030353D" w:rsidRPr="00FC7942" w:rsidRDefault="0030353D" w:rsidP="0030353D">
            <w:r w:rsidRPr="00FC7942">
              <w:t>Paquet Tellier</w:t>
            </w:r>
          </w:p>
        </w:tc>
      </w:tr>
      <w:tr w:rsidR="0030353D" w:rsidRPr="00FC7942">
        <w:trPr>
          <w:cantSplit/>
        </w:trPr>
        <w:tc>
          <w:tcPr>
            <w:tcW w:w="9590" w:type="dxa"/>
            <w:gridSpan w:val="2"/>
          </w:tcPr>
          <w:p w:rsidR="0030353D" w:rsidRPr="00FC7942" w:rsidRDefault="0030353D" w:rsidP="0030353D">
            <w:r w:rsidRPr="00FC7942">
              <w:t xml:space="preserve">Pour la partie intervenante </w:t>
            </w:r>
            <w:r w:rsidRPr="00FC7942">
              <w:rPr>
                <w:b/>
              </w:rPr>
              <w:t>REQUÉRANTE</w:t>
            </w:r>
          </w:p>
        </w:tc>
      </w:tr>
      <w:tr w:rsidR="00C15A3F" w:rsidRPr="00FC7942">
        <w:trPr>
          <w:cantSplit/>
        </w:trPr>
        <w:tc>
          <w:tcPr>
            <w:tcW w:w="9590" w:type="dxa"/>
            <w:gridSpan w:val="2"/>
          </w:tcPr>
          <w:p w:rsidR="00C15A3F" w:rsidRPr="00FC7942" w:rsidRDefault="00C15A3F">
            <w:pPr>
              <w:pStyle w:val="zSoquijlblProcureurInt"/>
            </w:pPr>
          </w:p>
        </w:tc>
      </w:tr>
      <w:tr w:rsidR="00C15A3F" w:rsidRPr="00FC7942">
        <w:trPr>
          <w:cantSplit/>
        </w:trPr>
        <w:tc>
          <w:tcPr>
            <w:tcW w:w="9590" w:type="dxa"/>
            <w:gridSpan w:val="2"/>
          </w:tcPr>
          <w:p w:rsidR="00C15A3F" w:rsidRPr="00FC7942" w:rsidRDefault="0015453B" w:rsidP="0015453B">
            <w:pPr>
              <w:pStyle w:val="zSoquijdatDateAudience"/>
            </w:pPr>
            <w:r w:rsidRPr="00FC7942">
              <w:t>Date de l’</w:t>
            </w:r>
            <w:r w:rsidR="00C15A3F" w:rsidRPr="00FC7942">
              <w:t>audience :</w:t>
            </w:r>
            <w:r w:rsidR="00597016" w:rsidRPr="00FC7942">
              <w:tab/>
            </w:r>
            <w:r w:rsidRPr="00FC7942">
              <w:tab/>
            </w:r>
            <w:r w:rsidRPr="00FC7942">
              <w:tab/>
              <w:t>Le 20 février 2019.</w:t>
            </w:r>
          </w:p>
        </w:tc>
      </w:tr>
      <w:tr w:rsidR="0015453B" w:rsidRPr="00FC7942">
        <w:trPr>
          <w:cantSplit/>
        </w:trPr>
        <w:tc>
          <w:tcPr>
            <w:tcW w:w="9590" w:type="dxa"/>
            <w:gridSpan w:val="2"/>
          </w:tcPr>
          <w:p w:rsidR="0015453B" w:rsidRPr="00FC7942" w:rsidRDefault="0015453B" w:rsidP="0015453B">
            <w:pPr>
              <w:pStyle w:val="zSoquijdatDateAudience"/>
            </w:pPr>
            <w:r w:rsidRPr="00FC7942">
              <w:t>Date du délibéré :</w:t>
            </w:r>
            <w:r w:rsidRPr="00FC7942">
              <w:tab/>
            </w:r>
            <w:r w:rsidRPr="00FC7942">
              <w:tab/>
            </w:r>
            <w:r w:rsidRPr="00FC7942">
              <w:tab/>
              <w:t>Le 1</w:t>
            </w:r>
            <w:r w:rsidRPr="00FC7942">
              <w:rPr>
                <w:vertAlign w:val="superscript"/>
              </w:rPr>
              <w:t>er</w:t>
            </w:r>
            <w:r w:rsidRPr="00FC7942">
              <w:t xml:space="preserve"> avril 2019</w:t>
            </w:r>
          </w:p>
        </w:tc>
      </w:tr>
    </w:tbl>
    <w:p w:rsidR="009A135C" w:rsidRPr="00FC7942" w:rsidRDefault="009A135C" w:rsidP="009A135C">
      <w:pPr>
        <w:pStyle w:val="articlesdelaLSST"/>
        <w:ind w:left="0"/>
      </w:pPr>
    </w:p>
    <w:p w:rsidR="00A95452" w:rsidRPr="00FC7942" w:rsidRDefault="00A95452" w:rsidP="00623044">
      <w:pPr>
        <w:pStyle w:val="articlesdelaLSST"/>
        <w:ind w:left="0"/>
      </w:pPr>
    </w:p>
    <w:sectPr w:rsidR="00A95452" w:rsidRPr="00FC7942">
      <w:headerReference w:type="default" r:id="rId9"/>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56E" w:rsidRDefault="005D056E">
      <w:r>
        <w:separator/>
      </w:r>
    </w:p>
  </w:endnote>
  <w:endnote w:type="continuationSeparator" w:id="0">
    <w:p w:rsidR="005D056E" w:rsidRDefault="005D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56E" w:rsidRDefault="005D056E">
      <w:r>
        <w:separator/>
      </w:r>
    </w:p>
  </w:footnote>
  <w:footnote w:type="continuationSeparator" w:id="0">
    <w:p w:rsidR="005D056E" w:rsidRDefault="005D056E">
      <w:r>
        <w:continuationSeparator/>
      </w:r>
    </w:p>
  </w:footnote>
  <w:footnote w:id="1">
    <w:p w:rsidR="004F33F4" w:rsidRPr="0003000E" w:rsidRDefault="004F33F4" w:rsidP="0003000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T-15.1.</w:t>
      </w:r>
    </w:p>
  </w:footnote>
  <w:footnote w:id="2">
    <w:p w:rsidR="003A067D" w:rsidRPr="006E48BB" w:rsidRDefault="003A067D" w:rsidP="003A067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359 de la Loi.</w:t>
      </w:r>
    </w:p>
  </w:footnote>
  <w:footnote w:id="3">
    <w:p w:rsidR="003A067D" w:rsidRPr="006E48BB" w:rsidRDefault="003A067D" w:rsidP="003A067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1</w:t>
      </w:r>
      <w:r w:rsidRPr="006E48BB">
        <w:rPr>
          <w:rFonts w:cs="Arial"/>
          <w:sz w:val="20"/>
          <w:vertAlign w:val="superscript"/>
        </w:rPr>
        <w:t>er</w:t>
      </w:r>
      <w:r>
        <w:rPr>
          <w:rFonts w:cs="Arial"/>
          <w:sz w:val="20"/>
        </w:rPr>
        <w:t xml:space="preserve"> alinéa de l’article 13 de la LITAT.</w:t>
      </w:r>
    </w:p>
  </w:footnote>
  <w:footnote w:id="4">
    <w:p w:rsidR="004F33F4" w:rsidRPr="00700CE7" w:rsidRDefault="004F33F4" w:rsidP="00700CE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2019 QCTAT 2005.</w:t>
      </w:r>
    </w:p>
  </w:footnote>
  <w:footnote w:id="5">
    <w:p w:rsidR="004F33F4" w:rsidRPr="006A6B01" w:rsidRDefault="004F33F4" w:rsidP="006A6B0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AF420E">
        <w:rPr>
          <w:rFonts w:cs="Arial"/>
          <w:sz w:val="20"/>
        </w:rPr>
        <w:t>4</w:t>
      </w:r>
      <w:r>
        <w:rPr>
          <w:rFonts w:cs="Arial"/>
          <w:sz w:val="20"/>
        </w:rPr>
        <w:t>.</w:t>
      </w:r>
    </w:p>
  </w:footnote>
  <w:footnote w:id="6">
    <w:p w:rsidR="004F33F4" w:rsidRPr="00023E0D" w:rsidRDefault="004F33F4" w:rsidP="00023E0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J-3.</w:t>
      </w:r>
    </w:p>
  </w:footnote>
  <w:footnote w:id="7">
    <w:p w:rsidR="004F33F4" w:rsidRPr="00023E0D" w:rsidRDefault="004F33F4" w:rsidP="00023E0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8">
    <w:p w:rsidR="0018515E" w:rsidRPr="0018515E" w:rsidRDefault="0018515E" w:rsidP="0018515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2014 QCCLP 1415.</w:t>
      </w:r>
    </w:p>
  </w:footnote>
  <w:footnote w:id="9">
    <w:p w:rsidR="004F33F4" w:rsidRPr="00F05911" w:rsidRDefault="004F33F4" w:rsidP="00F0591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6 de la LITAT.</w:t>
      </w:r>
    </w:p>
  </w:footnote>
  <w:footnote w:id="10">
    <w:p w:rsidR="004F33F4" w:rsidRPr="00F05911" w:rsidRDefault="004F33F4" w:rsidP="00F0591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11 de la LITAT.</w:t>
      </w:r>
    </w:p>
  </w:footnote>
  <w:footnote w:id="11">
    <w:p w:rsidR="004F33F4" w:rsidRPr="00652C96" w:rsidRDefault="004F33F4" w:rsidP="00652C9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AF420E">
        <w:rPr>
          <w:rFonts w:cs="Arial"/>
          <w:sz w:val="20"/>
        </w:rPr>
        <w:t>4</w:t>
      </w:r>
      <w:r>
        <w:rPr>
          <w:rFonts w:cs="Arial"/>
          <w:sz w:val="20"/>
        </w:rPr>
        <w:t>.</w:t>
      </w:r>
    </w:p>
  </w:footnote>
  <w:footnote w:id="12">
    <w:p w:rsidR="00EC6FAA" w:rsidRPr="00EC6FAA" w:rsidRDefault="00EC6FAA" w:rsidP="00EC6FA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2015 QCCLP 691.</w:t>
      </w:r>
    </w:p>
  </w:footnote>
  <w:footnote w:id="13">
    <w:p w:rsidR="004F33F4" w:rsidRPr="002006FB" w:rsidRDefault="004F33F4" w:rsidP="002006F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AF420E">
        <w:rPr>
          <w:rFonts w:cs="Arial"/>
          <w:sz w:val="20"/>
        </w:rPr>
        <w:t>4</w:t>
      </w:r>
      <w:r>
        <w:rPr>
          <w:rFonts w:cs="Arial"/>
          <w:sz w:val="20"/>
        </w:rPr>
        <w:t>.</w:t>
      </w:r>
    </w:p>
  </w:footnote>
  <w:footnote w:id="14">
    <w:p w:rsidR="00DB4389" w:rsidRPr="00DB4389" w:rsidRDefault="00DB4389" w:rsidP="00DB43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B4389">
        <w:rPr>
          <w:rFonts w:cs="Arial"/>
          <w:sz w:val="20"/>
        </w:rPr>
        <w:t>À ce sujet, cet article 35 de la LITAT rappelle le principe général de cette loi pour la conduite des affaires du Tribunal, c’est-à-dire par la tenue d’une audience permettant aux parties de se faire entendre</w:t>
      </w:r>
      <w:r>
        <w:rPr>
          <w:rFonts w:cs="Arial"/>
          <w:sz w:val="20"/>
        </w:rPr>
        <w:t>, mais qu’elles peuvent y renoncer si le Tribunal le juge approprié.</w:t>
      </w:r>
    </w:p>
  </w:footnote>
  <w:footnote w:id="15">
    <w:p w:rsidR="000408EA" w:rsidRPr="000408EA" w:rsidRDefault="000408EA" w:rsidP="000408E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Bien que la </w:t>
      </w:r>
      <w:r w:rsidRPr="000408EA">
        <w:rPr>
          <w:sz w:val="20"/>
        </w:rPr>
        <w:t>Loi prévoi</w:t>
      </w:r>
      <w:r>
        <w:rPr>
          <w:sz w:val="20"/>
        </w:rPr>
        <w:t>t</w:t>
      </w:r>
      <w:r w:rsidRPr="000408EA">
        <w:rPr>
          <w:sz w:val="20"/>
        </w:rPr>
        <w:t xml:space="preserve"> que les documents pertinents auxquels l’accord fait référence sont annexés</w:t>
      </w:r>
      <w:r>
        <w:rPr>
          <w:sz w:val="20"/>
        </w:rPr>
        <w:t>.</w:t>
      </w:r>
    </w:p>
  </w:footnote>
  <w:footnote w:id="16">
    <w:p w:rsidR="00AF420E" w:rsidRPr="002006FB" w:rsidRDefault="00AF420E" w:rsidP="00AF420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1</w:t>
      </w:r>
      <w:r w:rsidRPr="002006FB">
        <w:rPr>
          <w:rFonts w:cs="Arial"/>
          <w:sz w:val="20"/>
          <w:vertAlign w:val="superscript"/>
        </w:rPr>
        <w:t>er</w:t>
      </w:r>
      <w:r>
        <w:rPr>
          <w:rFonts w:cs="Arial"/>
          <w:sz w:val="20"/>
        </w:rPr>
        <w:t xml:space="preserve"> alinéa de l’article 13 de la LITAT.</w:t>
      </w:r>
    </w:p>
  </w:footnote>
  <w:footnote w:id="17">
    <w:p w:rsidR="004F33F4" w:rsidRPr="005967E3" w:rsidRDefault="004F33F4" w:rsidP="005967E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[2001] C.L.P. 491. Voir à cet effet le par. 43; Voir également </w:t>
      </w:r>
      <w:r w:rsidRPr="003C09A1">
        <w:rPr>
          <w:rFonts w:cs="Arial"/>
          <w:i/>
          <w:sz w:val="20"/>
        </w:rPr>
        <w:t>Commission des transports du Québec</w:t>
      </w:r>
      <w:r>
        <w:rPr>
          <w:rFonts w:cs="Arial"/>
          <w:sz w:val="20"/>
        </w:rPr>
        <w:t xml:space="preserve"> c. </w:t>
      </w:r>
      <w:r w:rsidRPr="003C09A1">
        <w:rPr>
          <w:rFonts w:cs="Arial"/>
          <w:i/>
          <w:sz w:val="20"/>
        </w:rPr>
        <w:t>Villeneuve</w:t>
      </w:r>
      <w:r>
        <w:rPr>
          <w:rFonts w:cs="Arial"/>
          <w:sz w:val="20"/>
        </w:rPr>
        <w:t>. 2009 QCCA 1558.</w:t>
      </w:r>
    </w:p>
  </w:footnote>
  <w:footnote w:id="18">
    <w:p w:rsidR="004F33F4" w:rsidRPr="006B277D" w:rsidRDefault="004F33F4" w:rsidP="006B277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Outre l’avis d’intervention.</w:t>
      </w:r>
    </w:p>
  </w:footnote>
  <w:footnote w:id="19">
    <w:p w:rsidR="004F33F4" w:rsidRPr="00155E00" w:rsidRDefault="004F33F4" w:rsidP="00155E0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2015 QCCLP 691.</w:t>
      </w:r>
    </w:p>
  </w:footnote>
  <w:footnote w:id="20">
    <w:p w:rsidR="004F33F4" w:rsidRPr="003C09A1" w:rsidRDefault="004F33F4" w:rsidP="003C09A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C09A1">
        <w:rPr>
          <w:rFonts w:cs="Arial"/>
          <w:i/>
          <w:sz w:val="20"/>
        </w:rPr>
        <w:t>CH Champlain-Marie-Victorin</w:t>
      </w:r>
      <w:r w:rsidRPr="003C09A1">
        <w:rPr>
          <w:rFonts w:cs="Arial"/>
          <w:sz w:val="20"/>
        </w:rPr>
        <w:t xml:space="preserve"> et </w:t>
      </w:r>
      <w:r w:rsidRPr="003C09A1">
        <w:rPr>
          <w:rFonts w:cs="Arial"/>
          <w:i/>
          <w:sz w:val="20"/>
        </w:rPr>
        <w:t>Vezeau</w:t>
      </w:r>
      <w:r>
        <w:rPr>
          <w:rFonts w:cs="Arial"/>
          <w:sz w:val="20"/>
        </w:rPr>
        <w:t>, 2013 QCCLP 6513.</w:t>
      </w:r>
    </w:p>
  </w:footnote>
  <w:footnote w:id="21">
    <w:p w:rsidR="00E72972" w:rsidRPr="00E72972" w:rsidRDefault="00E72972" w:rsidP="00E729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72972">
        <w:rPr>
          <w:rFonts w:cs="Arial"/>
          <w:i/>
          <w:sz w:val="20"/>
        </w:rPr>
        <w:t>Roberge</w:t>
      </w:r>
      <w:r w:rsidRPr="00E72972">
        <w:rPr>
          <w:rFonts w:cs="Arial"/>
          <w:sz w:val="20"/>
        </w:rPr>
        <w:t xml:space="preserve"> et </w:t>
      </w:r>
      <w:r w:rsidRPr="00E72972">
        <w:rPr>
          <w:rFonts w:cs="Arial"/>
          <w:i/>
          <w:sz w:val="20"/>
        </w:rPr>
        <w:t>T.C.A. Local 1044 (employeur)</w:t>
      </w:r>
      <w:r w:rsidRPr="00E72972">
        <w:rPr>
          <w:rFonts w:cs="Arial"/>
          <w:sz w:val="20"/>
        </w:rPr>
        <w:t xml:space="preserve"> et </w:t>
      </w:r>
      <w:r w:rsidRPr="00E72972">
        <w:rPr>
          <w:rFonts w:cs="Arial"/>
          <w:i/>
          <w:sz w:val="20"/>
        </w:rPr>
        <w:t>CSST</w:t>
      </w:r>
      <w:r w:rsidRPr="00E72972">
        <w:rPr>
          <w:rFonts w:cs="Arial"/>
          <w:sz w:val="20"/>
        </w:rPr>
        <w:t>, C.L.P. 215175-03B-0309,1</w:t>
      </w:r>
      <w:r w:rsidRPr="00E72972">
        <w:rPr>
          <w:rFonts w:cs="Arial"/>
          <w:sz w:val="20"/>
          <w:vertAlign w:val="superscript"/>
        </w:rPr>
        <w:t>er</w:t>
      </w:r>
      <w:r>
        <w:rPr>
          <w:rFonts w:cs="Arial"/>
          <w:sz w:val="20"/>
        </w:rPr>
        <w:t xml:space="preserve"> </w:t>
      </w:r>
      <w:r w:rsidRPr="00E72972">
        <w:rPr>
          <w:rFonts w:cs="Arial"/>
          <w:sz w:val="20"/>
        </w:rPr>
        <w:t>octobre 2003, M</w:t>
      </w:r>
      <w:r>
        <w:rPr>
          <w:rFonts w:cs="Arial"/>
          <w:sz w:val="20"/>
        </w:rPr>
        <w:t>.</w:t>
      </w:r>
      <w:r w:rsidRPr="00E72972">
        <w:rPr>
          <w:rFonts w:cs="Arial"/>
          <w:sz w:val="20"/>
        </w:rPr>
        <w:t xml:space="preserve"> Beaudoin.</w:t>
      </w:r>
    </w:p>
  </w:footnote>
  <w:footnote w:id="22">
    <w:p w:rsidR="004F33F4" w:rsidRPr="004F33F4" w:rsidRDefault="004F33F4" w:rsidP="004F33F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342107-04-0805, 8 décembre 2010, D. Lajoie.</w:t>
      </w:r>
    </w:p>
  </w:footnote>
  <w:footnote w:id="23">
    <w:p w:rsidR="008B2730" w:rsidRPr="008B2730" w:rsidRDefault="008B2730" w:rsidP="008B27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Ou l’ancien article 429.16 de la Loi.</w:t>
      </w:r>
    </w:p>
  </w:footnote>
  <w:footnote w:id="24">
    <w:p w:rsidR="007B15B3" w:rsidRPr="007B15B3" w:rsidRDefault="007B15B3" w:rsidP="007B15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Au sens du Code civil du Québec.</w:t>
      </w:r>
    </w:p>
  </w:footnote>
  <w:footnote w:id="25">
    <w:p w:rsidR="00A75D6D" w:rsidRPr="00A75D6D" w:rsidRDefault="00A75D6D" w:rsidP="00A75D6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w:t>
      </w:r>
      <w:r w:rsidRPr="00A75D6D">
        <w:rPr>
          <w:rFonts w:cs="Arial"/>
          <w:sz w:val="20"/>
          <w:vertAlign w:val="superscript"/>
        </w:rPr>
        <w:t>e</w:t>
      </w:r>
      <w:r>
        <w:rPr>
          <w:rFonts w:cs="Arial"/>
          <w:sz w:val="20"/>
        </w:rPr>
        <w:t xml:space="preserve"> alinéa de l’art. 23 de la LITAT</w:t>
      </w:r>
    </w:p>
  </w:footnote>
  <w:footnote w:id="26">
    <w:p w:rsidR="00C450BF" w:rsidRPr="00C450BF" w:rsidRDefault="00C450BF" w:rsidP="00C450B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24 de la LITAT.</w:t>
      </w:r>
    </w:p>
  </w:footnote>
  <w:footnote w:id="27">
    <w:p w:rsidR="005A4644" w:rsidRPr="005A4644" w:rsidRDefault="005A4644" w:rsidP="005A46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B5DF4">
        <w:rPr>
          <w:rFonts w:cs="Arial"/>
          <w:sz w:val="20"/>
        </w:rPr>
        <w:t xml:space="preserve">C.S., </w:t>
      </w:r>
      <w:r w:rsidR="004B5DF4" w:rsidRPr="004B5DF4">
        <w:rPr>
          <w:rFonts w:cs="Arial"/>
          <w:sz w:val="20"/>
        </w:rPr>
        <w:t>460-05-000164-975</w:t>
      </w:r>
      <w:r w:rsidR="004B5DF4">
        <w:rPr>
          <w:rFonts w:cs="Arial"/>
          <w:sz w:val="20"/>
        </w:rPr>
        <w:t>, 11 décembre 1997, j. T. Tôth.</w:t>
      </w:r>
    </w:p>
  </w:footnote>
  <w:footnote w:id="28">
    <w:p w:rsidR="00A504DF" w:rsidRPr="00A504DF" w:rsidRDefault="00A504DF" w:rsidP="00A504D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1</w:t>
      </w:r>
      <w:r w:rsidRPr="00A504DF">
        <w:rPr>
          <w:rFonts w:cs="Arial"/>
          <w:sz w:val="20"/>
          <w:vertAlign w:val="superscript"/>
        </w:rPr>
        <w:t>er</w:t>
      </w:r>
      <w:r>
        <w:rPr>
          <w:rFonts w:cs="Arial"/>
          <w:sz w:val="20"/>
        </w:rPr>
        <w:t xml:space="preserve"> alinéa de l’article 13 de la LITAT.</w:t>
      </w:r>
    </w:p>
  </w:footnote>
  <w:footnote w:id="29">
    <w:p w:rsidR="003D30A1" w:rsidRPr="003D30A1" w:rsidRDefault="003D30A1" w:rsidP="003D30A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Par le dépôt au Tribunal du dossier de la Commission, les premières preuves documentaires.</w:t>
      </w:r>
    </w:p>
  </w:footnote>
  <w:footnote w:id="30">
    <w:p w:rsidR="003D30A1" w:rsidRPr="003D30A1" w:rsidRDefault="003D30A1" w:rsidP="003D30A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Par les représentations que font conjointement les parties dans l’accord.</w:t>
      </w:r>
    </w:p>
  </w:footnote>
  <w:footnote w:id="31">
    <w:p w:rsidR="003130C6" w:rsidRPr="003130C6" w:rsidRDefault="003130C6" w:rsidP="003130C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1</w:t>
      </w:r>
      <w:r w:rsidRPr="003130C6">
        <w:rPr>
          <w:rFonts w:cs="Arial"/>
          <w:sz w:val="20"/>
          <w:vertAlign w:val="superscript"/>
        </w:rPr>
        <w:t>er</w:t>
      </w:r>
      <w:r>
        <w:rPr>
          <w:rFonts w:cs="Arial"/>
          <w:sz w:val="20"/>
        </w:rPr>
        <w:t xml:space="preserve"> alinéa de l’article 13 de la LITAT</w:t>
      </w:r>
    </w:p>
  </w:footnote>
  <w:footnote w:id="32">
    <w:p w:rsidR="003130C6" w:rsidRPr="003130C6" w:rsidRDefault="003130C6" w:rsidP="003130C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B158C9">
        <w:rPr>
          <w:rFonts w:cs="Arial"/>
          <w:sz w:val="20"/>
        </w:rPr>
        <w:t>4</w:t>
      </w:r>
      <w:r>
        <w:rPr>
          <w:rFonts w:cs="Arial"/>
          <w:sz w:val="20"/>
        </w:rPr>
        <w:t>.</w:t>
      </w:r>
    </w:p>
  </w:footnote>
  <w:footnote w:id="33">
    <w:p w:rsidR="00F50359" w:rsidRPr="00F50359" w:rsidRDefault="00F50359" w:rsidP="00F503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4, paragraphes citées plus haut. </w:t>
      </w:r>
    </w:p>
  </w:footnote>
  <w:footnote w:id="34">
    <w:p w:rsidR="008F2533" w:rsidRPr="00FC2DF7" w:rsidRDefault="008F2533" w:rsidP="008F2533">
      <w:pPr>
        <w:pStyle w:val="Notedebasdepage"/>
        <w:ind w:left="708" w:hanging="708"/>
        <w:jc w:val="both"/>
        <w:rPr>
          <w:sz w:val="20"/>
        </w:rPr>
      </w:pPr>
      <w:r w:rsidRPr="006A7AB8">
        <w:rPr>
          <w:rStyle w:val="Appelnotedebasdep"/>
        </w:rPr>
        <w:footnoteRef/>
      </w:r>
      <w:r w:rsidRPr="006A7AB8">
        <w:t xml:space="preserve"> </w:t>
      </w:r>
      <w:r>
        <w:rPr>
          <w:sz w:val="20"/>
        </w:rPr>
        <w:tab/>
      </w:r>
      <w:r w:rsidRPr="00572BEE">
        <w:rPr>
          <w:rFonts w:cs="Arial"/>
          <w:color w:val="000000"/>
          <w:sz w:val="20"/>
        </w:rPr>
        <w:t xml:space="preserve">Suzanne COMTOIS, « Le contrôle de la cohérence décisionnelle au sein des tribunaux administratifs », (1990-91) </w:t>
      </w:r>
      <w:r w:rsidRPr="00572BEE">
        <w:rPr>
          <w:rFonts w:cs="Arial"/>
          <w:i/>
          <w:iCs/>
          <w:color w:val="000000"/>
          <w:sz w:val="20"/>
        </w:rPr>
        <w:t>Revue de droit, Université de Sherbrooke</w:t>
      </w:r>
      <w:r w:rsidRPr="00572BEE">
        <w:rPr>
          <w:rFonts w:cs="Arial"/>
          <w:color w:val="000000"/>
          <w:sz w:val="20"/>
        </w:rPr>
        <w:t xml:space="preserve">. </w:t>
      </w:r>
      <w:r w:rsidRPr="00572BEE">
        <w:rPr>
          <w:color w:val="000000"/>
          <w:sz w:val="20"/>
        </w:rPr>
        <w:t>Texte d'une communication prononcée dans le cadre du 6</w:t>
      </w:r>
      <w:r w:rsidRPr="00572BEE">
        <w:rPr>
          <w:color w:val="000000"/>
          <w:sz w:val="20"/>
          <w:vertAlign w:val="superscript"/>
        </w:rPr>
        <w:t>e</w:t>
      </w:r>
      <w:r w:rsidRPr="00572BEE">
        <w:rPr>
          <w:color w:val="000000"/>
          <w:sz w:val="20"/>
        </w:rPr>
        <w:t xml:space="preserve"> Congrès annuel de la Conférence des membres de tribunaux</w:t>
      </w:r>
      <w:r w:rsidRPr="00FC2DF7">
        <w:rPr>
          <w:color w:val="000000"/>
          <w:sz w:val="20"/>
        </w:rPr>
        <w:t xml:space="preserve"> administratifs du Québec, Montréal, le 28 septembre 1990.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4F33F4" w:rsidTr="0030353D">
      <w:tc>
        <w:tcPr>
          <w:tcW w:w="8730" w:type="dxa"/>
        </w:tcPr>
        <w:p w:rsidR="004F33F4" w:rsidRDefault="004F33F4">
          <w:pPr>
            <w:pStyle w:val="En-tte"/>
            <w:ind w:left="-90"/>
          </w:pPr>
        </w:p>
      </w:tc>
      <w:tc>
        <w:tcPr>
          <w:tcW w:w="860" w:type="dxa"/>
        </w:tcPr>
        <w:p w:rsidR="004F33F4" w:rsidRDefault="004F33F4">
          <w:pPr>
            <w:pStyle w:val="En-tte"/>
            <w:ind w:left="-90"/>
          </w:pPr>
        </w:p>
      </w:tc>
    </w:tr>
    <w:tr w:rsidR="004F33F4" w:rsidTr="0030353D">
      <w:tc>
        <w:tcPr>
          <w:tcW w:w="8730" w:type="dxa"/>
        </w:tcPr>
        <w:p w:rsidR="004F33F4" w:rsidRDefault="004F33F4" w:rsidP="0030353D">
          <w:pPr>
            <w:pStyle w:val="zSoquijdatNoDossier"/>
          </w:pPr>
          <w:r>
            <w:t>678721-04-1810</w:t>
          </w:r>
        </w:p>
      </w:tc>
      <w:tc>
        <w:tcPr>
          <w:tcW w:w="860" w:type="dxa"/>
        </w:tcPr>
        <w:p w:rsidR="004F33F4" w:rsidRDefault="004F33F4" w:rsidP="0030353D">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772243">
            <w:rPr>
              <w:rStyle w:val="Numrodepage"/>
              <w:noProof/>
            </w:rPr>
            <w:t>4</w:t>
          </w:r>
          <w:r>
            <w:rPr>
              <w:rStyle w:val="Numrodepage"/>
            </w:rPr>
            <w:fldChar w:fldCharType="end"/>
          </w:r>
        </w:p>
      </w:tc>
    </w:tr>
    <w:tr w:rsidR="004F33F4" w:rsidTr="0030353D">
      <w:tc>
        <w:tcPr>
          <w:tcW w:w="8730" w:type="dxa"/>
        </w:tcPr>
        <w:p w:rsidR="004F33F4" w:rsidRDefault="004F33F4" w:rsidP="0030353D"/>
      </w:tc>
      <w:tc>
        <w:tcPr>
          <w:tcW w:w="860" w:type="dxa"/>
        </w:tcPr>
        <w:p w:rsidR="004F33F4" w:rsidRDefault="004F33F4" w:rsidP="0030353D">
          <w:pPr>
            <w:pStyle w:val="En-tte"/>
            <w:ind w:left="-90"/>
            <w:jc w:val="right"/>
          </w:pPr>
        </w:p>
      </w:tc>
    </w:tr>
  </w:tbl>
  <w:p w:rsidR="004F33F4" w:rsidRDefault="004F33F4">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170C8"/>
    <w:multiLevelType w:val="hybridMultilevel"/>
    <w:tmpl w:val="36E2FDDA"/>
    <w:lvl w:ilvl="0" w:tplc="A516AE90">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nsid w:val="2EB76E5C"/>
    <w:multiLevelType w:val="hybridMultilevel"/>
    <w:tmpl w:val="3756269E"/>
    <w:lvl w:ilvl="0" w:tplc="0C0C0001">
      <w:start w:val="1"/>
      <w:numFmt w:val="bullet"/>
      <w:lvlText w:val=""/>
      <w:lvlJc w:val="left"/>
      <w:pPr>
        <w:ind w:left="1004" w:hanging="360"/>
      </w:pPr>
      <w:rPr>
        <w:rFonts w:ascii="Symbol" w:hAnsi="Symbol"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2">
    <w:nsid w:val="53BD3E99"/>
    <w:multiLevelType w:val="hybridMultilevel"/>
    <w:tmpl w:val="6C567AA6"/>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nsid w:val="616366EB"/>
    <w:multiLevelType w:val="hybridMultilevel"/>
    <w:tmpl w:val="24C2994A"/>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4">
    <w:nsid w:val="692A35F4"/>
    <w:multiLevelType w:val="hybridMultilevel"/>
    <w:tmpl w:val="3A5C5D80"/>
    <w:lvl w:ilvl="0" w:tplc="0C0C0001">
      <w:start w:val="1"/>
      <w:numFmt w:val="bullet"/>
      <w:lvlText w:val=""/>
      <w:lvlJc w:val="left"/>
      <w:pPr>
        <w:ind w:left="1004" w:hanging="360"/>
      </w:pPr>
      <w:rPr>
        <w:rFonts w:ascii="Symbol" w:hAnsi="Symbol"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5">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5"/>
  </w:num>
  <w:num w:numId="5">
    <w:abstractNumId w:val="9"/>
  </w:num>
  <w:num w:numId="6">
    <w:abstractNumId w:val="9"/>
  </w:num>
  <w:num w:numId="7">
    <w:abstractNumId w:val="3"/>
  </w:num>
  <w:num w:numId="8">
    <w:abstractNumId w:val="0"/>
  </w:num>
  <w:num w:numId="9">
    <w:abstractNumId w:val="2"/>
  </w:num>
  <w:num w:numId="10">
    <w:abstractNumId w:val="8"/>
  </w:num>
  <w:num w:numId="11">
    <w:abstractNumId w:val="8"/>
  </w:num>
  <w:num w:numId="12">
    <w:abstractNumId w:val="4"/>
  </w:num>
  <w:num w:numId="13">
    <w:abstractNumId w:val="8"/>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845"/>
    <w:rsid w:val="00001FB3"/>
    <w:rsid w:val="000034B0"/>
    <w:rsid w:val="000041A1"/>
    <w:rsid w:val="00021B30"/>
    <w:rsid w:val="00021E4C"/>
    <w:rsid w:val="00022556"/>
    <w:rsid w:val="00023E0D"/>
    <w:rsid w:val="0003000E"/>
    <w:rsid w:val="00033790"/>
    <w:rsid w:val="000366EC"/>
    <w:rsid w:val="000408EA"/>
    <w:rsid w:val="0004217B"/>
    <w:rsid w:val="0004229F"/>
    <w:rsid w:val="00043E4D"/>
    <w:rsid w:val="00056393"/>
    <w:rsid w:val="0007225E"/>
    <w:rsid w:val="00076D81"/>
    <w:rsid w:val="0008378A"/>
    <w:rsid w:val="0008784D"/>
    <w:rsid w:val="00090018"/>
    <w:rsid w:val="00090306"/>
    <w:rsid w:val="00093ACD"/>
    <w:rsid w:val="00095814"/>
    <w:rsid w:val="00097D81"/>
    <w:rsid w:val="000A4AD0"/>
    <w:rsid w:val="000A5289"/>
    <w:rsid w:val="000A77C5"/>
    <w:rsid w:val="000B7F1B"/>
    <w:rsid w:val="000D3948"/>
    <w:rsid w:val="000E0C28"/>
    <w:rsid w:val="000E1320"/>
    <w:rsid w:val="000E2F8D"/>
    <w:rsid w:val="000E56A6"/>
    <w:rsid w:val="000F3423"/>
    <w:rsid w:val="00102A1F"/>
    <w:rsid w:val="001050B4"/>
    <w:rsid w:val="00113521"/>
    <w:rsid w:val="0012224D"/>
    <w:rsid w:val="001225BC"/>
    <w:rsid w:val="00122A9E"/>
    <w:rsid w:val="0012326A"/>
    <w:rsid w:val="001407FC"/>
    <w:rsid w:val="00142FE8"/>
    <w:rsid w:val="001451E9"/>
    <w:rsid w:val="00147A49"/>
    <w:rsid w:val="00147B8B"/>
    <w:rsid w:val="0015125A"/>
    <w:rsid w:val="00152464"/>
    <w:rsid w:val="0015453B"/>
    <w:rsid w:val="0015539F"/>
    <w:rsid w:val="00155E00"/>
    <w:rsid w:val="00160597"/>
    <w:rsid w:val="001664C8"/>
    <w:rsid w:val="00167AD0"/>
    <w:rsid w:val="00173184"/>
    <w:rsid w:val="00175079"/>
    <w:rsid w:val="00183515"/>
    <w:rsid w:val="0018515E"/>
    <w:rsid w:val="001A03BE"/>
    <w:rsid w:val="001A067E"/>
    <w:rsid w:val="001A2900"/>
    <w:rsid w:val="001A4081"/>
    <w:rsid w:val="001A65F1"/>
    <w:rsid w:val="001B2B40"/>
    <w:rsid w:val="001B3E9D"/>
    <w:rsid w:val="001B4A40"/>
    <w:rsid w:val="001C2B0B"/>
    <w:rsid w:val="001C7773"/>
    <w:rsid w:val="001E549F"/>
    <w:rsid w:val="002006FB"/>
    <w:rsid w:val="00201EB7"/>
    <w:rsid w:val="00227040"/>
    <w:rsid w:val="00230CFC"/>
    <w:rsid w:val="00231C1D"/>
    <w:rsid w:val="00231EFF"/>
    <w:rsid w:val="002379FB"/>
    <w:rsid w:val="00241CED"/>
    <w:rsid w:val="00242FB4"/>
    <w:rsid w:val="00245605"/>
    <w:rsid w:val="002563F0"/>
    <w:rsid w:val="00266064"/>
    <w:rsid w:val="00267C8D"/>
    <w:rsid w:val="002701DD"/>
    <w:rsid w:val="002769B5"/>
    <w:rsid w:val="00276B59"/>
    <w:rsid w:val="00281319"/>
    <w:rsid w:val="00286149"/>
    <w:rsid w:val="0028668D"/>
    <w:rsid w:val="00290289"/>
    <w:rsid w:val="00296645"/>
    <w:rsid w:val="00296A4B"/>
    <w:rsid w:val="00297284"/>
    <w:rsid w:val="002A0077"/>
    <w:rsid w:val="002A374B"/>
    <w:rsid w:val="002A73E9"/>
    <w:rsid w:val="002B2FC3"/>
    <w:rsid w:val="002B35F0"/>
    <w:rsid w:val="002B3906"/>
    <w:rsid w:val="002B5224"/>
    <w:rsid w:val="002B58AF"/>
    <w:rsid w:val="002C3748"/>
    <w:rsid w:val="002C5E89"/>
    <w:rsid w:val="002D71A9"/>
    <w:rsid w:val="002F7507"/>
    <w:rsid w:val="00302FB4"/>
    <w:rsid w:val="0030353D"/>
    <w:rsid w:val="00305273"/>
    <w:rsid w:val="003054CD"/>
    <w:rsid w:val="003057FC"/>
    <w:rsid w:val="00307C85"/>
    <w:rsid w:val="003112B3"/>
    <w:rsid w:val="00312983"/>
    <w:rsid w:val="003130C6"/>
    <w:rsid w:val="003248CB"/>
    <w:rsid w:val="00331EA7"/>
    <w:rsid w:val="003332B8"/>
    <w:rsid w:val="00344465"/>
    <w:rsid w:val="0034740A"/>
    <w:rsid w:val="0035375B"/>
    <w:rsid w:val="003555FC"/>
    <w:rsid w:val="003664E9"/>
    <w:rsid w:val="00366D1E"/>
    <w:rsid w:val="00373EE5"/>
    <w:rsid w:val="003817E7"/>
    <w:rsid w:val="00382E55"/>
    <w:rsid w:val="003961B2"/>
    <w:rsid w:val="003A067D"/>
    <w:rsid w:val="003A41AD"/>
    <w:rsid w:val="003A524B"/>
    <w:rsid w:val="003B152B"/>
    <w:rsid w:val="003B1734"/>
    <w:rsid w:val="003B1735"/>
    <w:rsid w:val="003B6CBF"/>
    <w:rsid w:val="003C09A1"/>
    <w:rsid w:val="003C47A7"/>
    <w:rsid w:val="003D0826"/>
    <w:rsid w:val="003D30A1"/>
    <w:rsid w:val="003D3C93"/>
    <w:rsid w:val="003E00D5"/>
    <w:rsid w:val="003E02BA"/>
    <w:rsid w:val="003F7F38"/>
    <w:rsid w:val="0040399B"/>
    <w:rsid w:val="00406F0C"/>
    <w:rsid w:val="00412585"/>
    <w:rsid w:val="0041363B"/>
    <w:rsid w:val="00415109"/>
    <w:rsid w:val="00415D5D"/>
    <w:rsid w:val="0042650F"/>
    <w:rsid w:val="00431E0B"/>
    <w:rsid w:val="004337FE"/>
    <w:rsid w:val="00433E98"/>
    <w:rsid w:val="00435738"/>
    <w:rsid w:val="00437137"/>
    <w:rsid w:val="004403B8"/>
    <w:rsid w:val="00441ADA"/>
    <w:rsid w:val="0044371C"/>
    <w:rsid w:val="0044627E"/>
    <w:rsid w:val="0045114F"/>
    <w:rsid w:val="00452365"/>
    <w:rsid w:val="004529D3"/>
    <w:rsid w:val="00453F31"/>
    <w:rsid w:val="00456B0C"/>
    <w:rsid w:val="0046538B"/>
    <w:rsid w:val="00471C92"/>
    <w:rsid w:val="004739AC"/>
    <w:rsid w:val="00475FEF"/>
    <w:rsid w:val="0047776F"/>
    <w:rsid w:val="004870EA"/>
    <w:rsid w:val="00487F13"/>
    <w:rsid w:val="00496193"/>
    <w:rsid w:val="004A02AF"/>
    <w:rsid w:val="004A5845"/>
    <w:rsid w:val="004A679B"/>
    <w:rsid w:val="004B5DF4"/>
    <w:rsid w:val="004C0FB4"/>
    <w:rsid w:val="004C1811"/>
    <w:rsid w:val="004C4047"/>
    <w:rsid w:val="004C4555"/>
    <w:rsid w:val="004D6CEA"/>
    <w:rsid w:val="004E3564"/>
    <w:rsid w:val="004E51C0"/>
    <w:rsid w:val="004E64BE"/>
    <w:rsid w:val="004F33F4"/>
    <w:rsid w:val="00503B8D"/>
    <w:rsid w:val="00503EE3"/>
    <w:rsid w:val="00505811"/>
    <w:rsid w:val="00515DE7"/>
    <w:rsid w:val="00517EB0"/>
    <w:rsid w:val="005205CB"/>
    <w:rsid w:val="005352F1"/>
    <w:rsid w:val="00540094"/>
    <w:rsid w:val="005412EC"/>
    <w:rsid w:val="00545CFF"/>
    <w:rsid w:val="00555800"/>
    <w:rsid w:val="00556DBB"/>
    <w:rsid w:val="00560781"/>
    <w:rsid w:val="0056268F"/>
    <w:rsid w:val="005662E9"/>
    <w:rsid w:val="00572AAF"/>
    <w:rsid w:val="00572BEE"/>
    <w:rsid w:val="005801AE"/>
    <w:rsid w:val="00582868"/>
    <w:rsid w:val="00582ECC"/>
    <w:rsid w:val="0058399B"/>
    <w:rsid w:val="0058692F"/>
    <w:rsid w:val="00587045"/>
    <w:rsid w:val="00587C22"/>
    <w:rsid w:val="0059436D"/>
    <w:rsid w:val="005945C0"/>
    <w:rsid w:val="005967E3"/>
    <w:rsid w:val="00597016"/>
    <w:rsid w:val="005974B7"/>
    <w:rsid w:val="005A0D51"/>
    <w:rsid w:val="005A181B"/>
    <w:rsid w:val="005A1CA2"/>
    <w:rsid w:val="005A1CB3"/>
    <w:rsid w:val="005A3073"/>
    <w:rsid w:val="005A33A5"/>
    <w:rsid w:val="005A4644"/>
    <w:rsid w:val="005A70A0"/>
    <w:rsid w:val="005B0612"/>
    <w:rsid w:val="005B13F0"/>
    <w:rsid w:val="005B30F6"/>
    <w:rsid w:val="005B45BA"/>
    <w:rsid w:val="005B5689"/>
    <w:rsid w:val="005B6774"/>
    <w:rsid w:val="005C0A89"/>
    <w:rsid w:val="005C3BC4"/>
    <w:rsid w:val="005D056E"/>
    <w:rsid w:val="005D59B1"/>
    <w:rsid w:val="005D764B"/>
    <w:rsid w:val="005E2367"/>
    <w:rsid w:val="005E5E90"/>
    <w:rsid w:val="005E654C"/>
    <w:rsid w:val="005F05F6"/>
    <w:rsid w:val="00605734"/>
    <w:rsid w:val="0061488E"/>
    <w:rsid w:val="0061574B"/>
    <w:rsid w:val="00622670"/>
    <w:rsid w:val="00622EA9"/>
    <w:rsid w:val="00623044"/>
    <w:rsid w:val="00623A1A"/>
    <w:rsid w:val="00626E8D"/>
    <w:rsid w:val="00632DA8"/>
    <w:rsid w:val="00634AA6"/>
    <w:rsid w:val="00634E6E"/>
    <w:rsid w:val="0064342A"/>
    <w:rsid w:val="00643A28"/>
    <w:rsid w:val="006452FA"/>
    <w:rsid w:val="0065093D"/>
    <w:rsid w:val="00652C96"/>
    <w:rsid w:val="00653823"/>
    <w:rsid w:val="00655193"/>
    <w:rsid w:val="00655459"/>
    <w:rsid w:val="00656FB2"/>
    <w:rsid w:val="00661454"/>
    <w:rsid w:val="0066642D"/>
    <w:rsid w:val="00675C66"/>
    <w:rsid w:val="00675E85"/>
    <w:rsid w:val="0067750F"/>
    <w:rsid w:val="006775DB"/>
    <w:rsid w:val="0068401E"/>
    <w:rsid w:val="006841A4"/>
    <w:rsid w:val="0068643F"/>
    <w:rsid w:val="006877A1"/>
    <w:rsid w:val="00692150"/>
    <w:rsid w:val="00692F0C"/>
    <w:rsid w:val="00696E7C"/>
    <w:rsid w:val="006A0C54"/>
    <w:rsid w:val="006A6B01"/>
    <w:rsid w:val="006A7C53"/>
    <w:rsid w:val="006B0B4A"/>
    <w:rsid w:val="006B277D"/>
    <w:rsid w:val="006B309C"/>
    <w:rsid w:val="006B727F"/>
    <w:rsid w:val="006C6D3A"/>
    <w:rsid w:val="006C7B36"/>
    <w:rsid w:val="006C7B7F"/>
    <w:rsid w:val="006D19E8"/>
    <w:rsid w:val="006E04B5"/>
    <w:rsid w:val="006E330C"/>
    <w:rsid w:val="006E3DD8"/>
    <w:rsid w:val="006E48BB"/>
    <w:rsid w:val="006E6233"/>
    <w:rsid w:val="006E793F"/>
    <w:rsid w:val="006F0154"/>
    <w:rsid w:val="006F5D9A"/>
    <w:rsid w:val="006F7944"/>
    <w:rsid w:val="00700CE7"/>
    <w:rsid w:val="00704121"/>
    <w:rsid w:val="00705BB5"/>
    <w:rsid w:val="0071326F"/>
    <w:rsid w:val="007153D7"/>
    <w:rsid w:val="00720ED4"/>
    <w:rsid w:val="00723F82"/>
    <w:rsid w:val="00730440"/>
    <w:rsid w:val="0074488F"/>
    <w:rsid w:val="00745AA8"/>
    <w:rsid w:val="007510EC"/>
    <w:rsid w:val="0075233C"/>
    <w:rsid w:val="0075256A"/>
    <w:rsid w:val="007569DE"/>
    <w:rsid w:val="0075723C"/>
    <w:rsid w:val="00772243"/>
    <w:rsid w:val="00782C8F"/>
    <w:rsid w:val="00785F78"/>
    <w:rsid w:val="0078659D"/>
    <w:rsid w:val="007869EC"/>
    <w:rsid w:val="007A1E58"/>
    <w:rsid w:val="007A5C7E"/>
    <w:rsid w:val="007A6E2F"/>
    <w:rsid w:val="007B15B3"/>
    <w:rsid w:val="007B3BC5"/>
    <w:rsid w:val="007C6249"/>
    <w:rsid w:val="007D03DF"/>
    <w:rsid w:val="007D4953"/>
    <w:rsid w:val="007D50F4"/>
    <w:rsid w:val="007D7173"/>
    <w:rsid w:val="007E1216"/>
    <w:rsid w:val="007E4CD4"/>
    <w:rsid w:val="007F0E8E"/>
    <w:rsid w:val="008079DD"/>
    <w:rsid w:val="0081130F"/>
    <w:rsid w:val="00815818"/>
    <w:rsid w:val="00822776"/>
    <w:rsid w:val="00824430"/>
    <w:rsid w:val="00825B1F"/>
    <w:rsid w:val="00827D55"/>
    <w:rsid w:val="00840EDD"/>
    <w:rsid w:val="0084255F"/>
    <w:rsid w:val="00843C2C"/>
    <w:rsid w:val="00854FB3"/>
    <w:rsid w:val="00860F13"/>
    <w:rsid w:val="00861F8B"/>
    <w:rsid w:val="0086561F"/>
    <w:rsid w:val="00865FE1"/>
    <w:rsid w:val="008748C7"/>
    <w:rsid w:val="0087521A"/>
    <w:rsid w:val="00877182"/>
    <w:rsid w:val="008808C0"/>
    <w:rsid w:val="00886E29"/>
    <w:rsid w:val="00890BDE"/>
    <w:rsid w:val="008962E7"/>
    <w:rsid w:val="008A1118"/>
    <w:rsid w:val="008A281F"/>
    <w:rsid w:val="008A4AF6"/>
    <w:rsid w:val="008A4FF8"/>
    <w:rsid w:val="008A5ED1"/>
    <w:rsid w:val="008A7FD1"/>
    <w:rsid w:val="008B042E"/>
    <w:rsid w:val="008B211E"/>
    <w:rsid w:val="008B2730"/>
    <w:rsid w:val="008B6D48"/>
    <w:rsid w:val="008C5EA9"/>
    <w:rsid w:val="008C7660"/>
    <w:rsid w:val="008C79A7"/>
    <w:rsid w:val="008D555F"/>
    <w:rsid w:val="008D625D"/>
    <w:rsid w:val="008D650E"/>
    <w:rsid w:val="008E1B9D"/>
    <w:rsid w:val="008E6A41"/>
    <w:rsid w:val="008F09B3"/>
    <w:rsid w:val="008F2533"/>
    <w:rsid w:val="00903990"/>
    <w:rsid w:val="00904950"/>
    <w:rsid w:val="00915E5E"/>
    <w:rsid w:val="009166B8"/>
    <w:rsid w:val="00922DB7"/>
    <w:rsid w:val="00926741"/>
    <w:rsid w:val="0092684A"/>
    <w:rsid w:val="009336DE"/>
    <w:rsid w:val="00937FAB"/>
    <w:rsid w:val="00940816"/>
    <w:rsid w:val="0094094D"/>
    <w:rsid w:val="00942AB8"/>
    <w:rsid w:val="00945CAF"/>
    <w:rsid w:val="00946109"/>
    <w:rsid w:val="00947448"/>
    <w:rsid w:val="00952B38"/>
    <w:rsid w:val="00952C99"/>
    <w:rsid w:val="00962E06"/>
    <w:rsid w:val="00965333"/>
    <w:rsid w:val="009712EF"/>
    <w:rsid w:val="009727BF"/>
    <w:rsid w:val="00973321"/>
    <w:rsid w:val="00975C2E"/>
    <w:rsid w:val="00977270"/>
    <w:rsid w:val="00980E93"/>
    <w:rsid w:val="009824F2"/>
    <w:rsid w:val="00983080"/>
    <w:rsid w:val="00986AA3"/>
    <w:rsid w:val="00993B24"/>
    <w:rsid w:val="0099611F"/>
    <w:rsid w:val="009A083F"/>
    <w:rsid w:val="009A135C"/>
    <w:rsid w:val="009A67E7"/>
    <w:rsid w:val="009C603A"/>
    <w:rsid w:val="009C74CD"/>
    <w:rsid w:val="009C7A13"/>
    <w:rsid w:val="009D048F"/>
    <w:rsid w:val="009D214F"/>
    <w:rsid w:val="009D401F"/>
    <w:rsid w:val="009D68FA"/>
    <w:rsid w:val="009E32CF"/>
    <w:rsid w:val="009E4FC2"/>
    <w:rsid w:val="009F44AE"/>
    <w:rsid w:val="009F52AD"/>
    <w:rsid w:val="00A02529"/>
    <w:rsid w:val="00A02EF2"/>
    <w:rsid w:val="00A04D5E"/>
    <w:rsid w:val="00A10DDF"/>
    <w:rsid w:val="00A11172"/>
    <w:rsid w:val="00A12E55"/>
    <w:rsid w:val="00A242E4"/>
    <w:rsid w:val="00A24437"/>
    <w:rsid w:val="00A24CA0"/>
    <w:rsid w:val="00A3362A"/>
    <w:rsid w:val="00A36EFD"/>
    <w:rsid w:val="00A37B70"/>
    <w:rsid w:val="00A40AC7"/>
    <w:rsid w:val="00A435C7"/>
    <w:rsid w:val="00A504DF"/>
    <w:rsid w:val="00A569B2"/>
    <w:rsid w:val="00A611A4"/>
    <w:rsid w:val="00A6695B"/>
    <w:rsid w:val="00A72703"/>
    <w:rsid w:val="00A727F6"/>
    <w:rsid w:val="00A729EF"/>
    <w:rsid w:val="00A72E71"/>
    <w:rsid w:val="00A75D6D"/>
    <w:rsid w:val="00A76432"/>
    <w:rsid w:val="00A84FC6"/>
    <w:rsid w:val="00A8528E"/>
    <w:rsid w:val="00A94A49"/>
    <w:rsid w:val="00A95452"/>
    <w:rsid w:val="00AA1815"/>
    <w:rsid w:val="00AA1D3E"/>
    <w:rsid w:val="00AA39F9"/>
    <w:rsid w:val="00AB0931"/>
    <w:rsid w:val="00AB5C9B"/>
    <w:rsid w:val="00AC0276"/>
    <w:rsid w:val="00AC0312"/>
    <w:rsid w:val="00AC0449"/>
    <w:rsid w:val="00AD2497"/>
    <w:rsid w:val="00AD5EB4"/>
    <w:rsid w:val="00AE63E2"/>
    <w:rsid w:val="00AF04C9"/>
    <w:rsid w:val="00AF26B6"/>
    <w:rsid w:val="00AF2979"/>
    <w:rsid w:val="00AF420E"/>
    <w:rsid w:val="00B0375C"/>
    <w:rsid w:val="00B052CB"/>
    <w:rsid w:val="00B156C3"/>
    <w:rsid w:val="00B158C9"/>
    <w:rsid w:val="00B15F67"/>
    <w:rsid w:val="00B1624F"/>
    <w:rsid w:val="00B224C5"/>
    <w:rsid w:val="00B325CD"/>
    <w:rsid w:val="00B4768D"/>
    <w:rsid w:val="00B518E5"/>
    <w:rsid w:val="00B51E1F"/>
    <w:rsid w:val="00B51F66"/>
    <w:rsid w:val="00B60222"/>
    <w:rsid w:val="00B62CFB"/>
    <w:rsid w:val="00B662F5"/>
    <w:rsid w:val="00B7000C"/>
    <w:rsid w:val="00B703AC"/>
    <w:rsid w:val="00B760D5"/>
    <w:rsid w:val="00B83B2C"/>
    <w:rsid w:val="00B92488"/>
    <w:rsid w:val="00B92E27"/>
    <w:rsid w:val="00B94740"/>
    <w:rsid w:val="00B97F75"/>
    <w:rsid w:val="00BA1CAE"/>
    <w:rsid w:val="00BA33BB"/>
    <w:rsid w:val="00BA4830"/>
    <w:rsid w:val="00BA6E22"/>
    <w:rsid w:val="00BB362C"/>
    <w:rsid w:val="00BC0A03"/>
    <w:rsid w:val="00BD4139"/>
    <w:rsid w:val="00BE059A"/>
    <w:rsid w:val="00BE1981"/>
    <w:rsid w:val="00BE56E9"/>
    <w:rsid w:val="00BE63CF"/>
    <w:rsid w:val="00BE7014"/>
    <w:rsid w:val="00BF25C7"/>
    <w:rsid w:val="00C009B7"/>
    <w:rsid w:val="00C04E32"/>
    <w:rsid w:val="00C15A3F"/>
    <w:rsid w:val="00C20630"/>
    <w:rsid w:val="00C22F7A"/>
    <w:rsid w:val="00C2666F"/>
    <w:rsid w:val="00C277A9"/>
    <w:rsid w:val="00C32020"/>
    <w:rsid w:val="00C3408C"/>
    <w:rsid w:val="00C351CC"/>
    <w:rsid w:val="00C35435"/>
    <w:rsid w:val="00C432FD"/>
    <w:rsid w:val="00C43CDF"/>
    <w:rsid w:val="00C450BF"/>
    <w:rsid w:val="00C512B2"/>
    <w:rsid w:val="00C62B69"/>
    <w:rsid w:val="00C644B7"/>
    <w:rsid w:val="00C64564"/>
    <w:rsid w:val="00C7162B"/>
    <w:rsid w:val="00C73C87"/>
    <w:rsid w:val="00C74B6F"/>
    <w:rsid w:val="00C82783"/>
    <w:rsid w:val="00C87EF3"/>
    <w:rsid w:val="00C9015F"/>
    <w:rsid w:val="00C912F9"/>
    <w:rsid w:val="00C9241B"/>
    <w:rsid w:val="00C97569"/>
    <w:rsid w:val="00CA199D"/>
    <w:rsid w:val="00CA4D9C"/>
    <w:rsid w:val="00CB05A7"/>
    <w:rsid w:val="00CB06A4"/>
    <w:rsid w:val="00CB325B"/>
    <w:rsid w:val="00CB56F0"/>
    <w:rsid w:val="00CB64FF"/>
    <w:rsid w:val="00CB7078"/>
    <w:rsid w:val="00CC014B"/>
    <w:rsid w:val="00CC21D8"/>
    <w:rsid w:val="00CC3369"/>
    <w:rsid w:val="00CC5343"/>
    <w:rsid w:val="00CC667B"/>
    <w:rsid w:val="00CC78DE"/>
    <w:rsid w:val="00CD0F93"/>
    <w:rsid w:val="00CD6D6E"/>
    <w:rsid w:val="00CD6F23"/>
    <w:rsid w:val="00CF640B"/>
    <w:rsid w:val="00D027AF"/>
    <w:rsid w:val="00D06652"/>
    <w:rsid w:val="00D07FA6"/>
    <w:rsid w:val="00D17C53"/>
    <w:rsid w:val="00D17D57"/>
    <w:rsid w:val="00D2277E"/>
    <w:rsid w:val="00D2341D"/>
    <w:rsid w:val="00D25E0E"/>
    <w:rsid w:val="00D302EB"/>
    <w:rsid w:val="00D31679"/>
    <w:rsid w:val="00D320C8"/>
    <w:rsid w:val="00D3672F"/>
    <w:rsid w:val="00D40ABA"/>
    <w:rsid w:val="00D40FE2"/>
    <w:rsid w:val="00D440FA"/>
    <w:rsid w:val="00D44BCF"/>
    <w:rsid w:val="00D46E73"/>
    <w:rsid w:val="00D5548D"/>
    <w:rsid w:val="00D60F81"/>
    <w:rsid w:val="00D63951"/>
    <w:rsid w:val="00D63BF2"/>
    <w:rsid w:val="00D67348"/>
    <w:rsid w:val="00D75FEC"/>
    <w:rsid w:val="00D76B98"/>
    <w:rsid w:val="00D86F2C"/>
    <w:rsid w:val="00DA36F6"/>
    <w:rsid w:val="00DB4389"/>
    <w:rsid w:val="00DB5166"/>
    <w:rsid w:val="00DC1611"/>
    <w:rsid w:val="00DD6354"/>
    <w:rsid w:val="00DF0774"/>
    <w:rsid w:val="00DF1036"/>
    <w:rsid w:val="00E05451"/>
    <w:rsid w:val="00E05651"/>
    <w:rsid w:val="00E11BA5"/>
    <w:rsid w:val="00E20425"/>
    <w:rsid w:val="00E25DCB"/>
    <w:rsid w:val="00E4156E"/>
    <w:rsid w:val="00E453F2"/>
    <w:rsid w:val="00E460AD"/>
    <w:rsid w:val="00E61925"/>
    <w:rsid w:val="00E61C52"/>
    <w:rsid w:val="00E65C0E"/>
    <w:rsid w:val="00E72972"/>
    <w:rsid w:val="00E730FC"/>
    <w:rsid w:val="00E746F0"/>
    <w:rsid w:val="00E82A15"/>
    <w:rsid w:val="00E87589"/>
    <w:rsid w:val="00E938FF"/>
    <w:rsid w:val="00EA34DC"/>
    <w:rsid w:val="00EA5017"/>
    <w:rsid w:val="00EA6BED"/>
    <w:rsid w:val="00EB14F0"/>
    <w:rsid w:val="00EB3844"/>
    <w:rsid w:val="00EB5A9F"/>
    <w:rsid w:val="00EC5C8D"/>
    <w:rsid w:val="00EC6FAA"/>
    <w:rsid w:val="00ED106C"/>
    <w:rsid w:val="00ED19FE"/>
    <w:rsid w:val="00ED2D34"/>
    <w:rsid w:val="00ED4805"/>
    <w:rsid w:val="00ED6C51"/>
    <w:rsid w:val="00ED7632"/>
    <w:rsid w:val="00EF4258"/>
    <w:rsid w:val="00F02237"/>
    <w:rsid w:val="00F05911"/>
    <w:rsid w:val="00F22423"/>
    <w:rsid w:val="00F24C72"/>
    <w:rsid w:val="00F31D22"/>
    <w:rsid w:val="00F32DF0"/>
    <w:rsid w:val="00F348B2"/>
    <w:rsid w:val="00F34BF0"/>
    <w:rsid w:val="00F4095A"/>
    <w:rsid w:val="00F45845"/>
    <w:rsid w:val="00F50189"/>
    <w:rsid w:val="00F50359"/>
    <w:rsid w:val="00F508FC"/>
    <w:rsid w:val="00F54044"/>
    <w:rsid w:val="00F576E7"/>
    <w:rsid w:val="00F7324A"/>
    <w:rsid w:val="00F763FC"/>
    <w:rsid w:val="00F772C1"/>
    <w:rsid w:val="00F8026D"/>
    <w:rsid w:val="00F8245F"/>
    <w:rsid w:val="00F91629"/>
    <w:rsid w:val="00F91E2A"/>
    <w:rsid w:val="00FA153F"/>
    <w:rsid w:val="00FA1D78"/>
    <w:rsid w:val="00FA1F7E"/>
    <w:rsid w:val="00FA280F"/>
    <w:rsid w:val="00FB2186"/>
    <w:rsid w:val="00FC7942"/>
    <w:rsid w:val="00FD0133"/>
    <w:rsid w:val="00FD2968"/>
    <w:rsid w:val="00FD6206"/>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paragraph" w:styleId="Textedebulles">
    <w:name w:val="Balloon Text"/>
    <w:basedOn w:val="Normal"/>
    <w:link w:val="TextedebullesCar"/>
    <w:rsid w:val="00675C66"/>
    <w:rPr>
      <w:rFonts w:ascii="Segoe UI" w:hAnsi="Segoe UI" w:cs="Segoe UI"/>
      <w:sz w:val="18"/>
      <w:szCs w:val="18"/>
    </w:rPr>
  </w:style>
  <w:style w:type="character" w:customStyle="1" w:styleId="TextedebullesCar">
    <w:name w:val="Texte de bulles Car"/>
    <w:basedOn w:val="Policepardfaut"/>
    <w:link w:val="Textedebulles"/>
    <w:rsid w:val="00675C6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paragraph" w:styleId="Textedebulles">
    <w:name w:val="Balloon Text"/>
    <w:basedOn w:val="Normal"/>
    <w:link w:val="TextedebullesCar"/>
    <w:rsid w:val="00675C66"/>
    <w:rPr>
      <w:rFonts w:ascii="Segoe UI" w:hAnsi="Segoe UI" w:cs="Segoe UI"/>
      <w:sz w:val="18"/>
      <w:szCs w:val="18"/>
    </w:rPr>
  </w:style>
  <w:style w:type="character" w:customStyle="1" w:styleId="TextedebullesCar">
    <w:name w:val="Texte de bulles Car"/>
    <w:basedOn w:val="Policepardfaut"/>
    <w:link w:val="Textedebulles"/>
    <w:rsid w:val="00675C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469E1-1AE7-4B67-AFC5-432D43445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5399</Words>
  <Characters>29699</Characters>
  <Application>Microsoft Office Word</Application>
  <DocSecurity>0</DocSecurity>
  <Lines>247</Lines>
  <Paragraphs>70</Paragraphs>
  <ScaleCrop>false</ScaleCrop>
  <Company/>
  <LinksUpToDate>false</LinksUpToDate>
  <CharactersWithSpaces>35028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2019-05-28T13:55:00Z</dcterms:created>
  <dcterms:modified xsi:type="dcterms:W3CDTF">2019-05-28T13:55:00Z</dcterms:modified>
</cp:coreProperties>
</file>