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9590" w:type="dxa"/>
        <w:tblLayout w:type="fixed"/>
        <w:tblCellMar>
          <w:left w:w="70" w:type="dxa"/>
          <w:right w:w="70" w:type="dxa"/>
        </w:tblCellMar>
        <w:tblLook w:val="0000" w:firstRow="0" w:lastRow="0" w:firstColumn="0" w:lastColumn="0" w:noHBand="0" w:noVBand="0"/>
      </w:tblPr>
      <w:tblGrid>
        <w:gridCol w:w="6323"/>
        <w:gridCol w:w="3267"/>
      </w:tblGrid>
      <w:tr w:rsidR="00A66CF9" w:rsidRPr="008A7FD1" w14:paraId="434EEFEE" w14:textId="77777777" w:rsidTr="00A66CF9">
        <w:trPr>
          <w:cantSplit/>
        </w:trPr>
        <w:tc>
          <w:tcPr>
            <w:tcW w:w="4795" w:type="dxa"/>
          </w:tcPr>
          <w:p w14:paraId="355C74BC" w14:textId="77777777" w:rsidR="00A66CF9" w:rsidRPr="00FB3128" w:rsidRDefault="00FB3128" w:rsidP="00FB3128">
            <w:pPr>
              <w:pStyle w:val="zSoquijdatRepertorie"/>
              <w:rPr>
                <w:rFonts w:cs="Arial"/>
              </w:rPr>
            </w:pPr>
            <w:r>
              <w:rPr>
                <w:rFonts w:cs="Arial"/>
              </w:rPr>
              <w:t>Lauzon et IAMGOLD-Mine Westwood</w:t>
            </w:r>
          </w:p>
        </w:tc>
        <w:tc>
          <w:tcPr>
            <w:tcW w:w="2477" w:type="dxa"/>
          </w:tcPr>
          <w:p w14:paraId="36F72B8F" w14:textId="77777777" w:rsidR="00A66CF9" w:rsidRPr="005D0F3D" w:rsidRDefault="005D0F3D" w:rsidP="005D0F3D">
            <w:pPr>
              <w:pStyle w:val="zSoquijdatRefNeutre"/>
              <w:rPr>
                <w:rFonts w:cs="Arial"/>
              </w:rPr>
            </w:pPr>
            <w:r w:rsidRPr="005D0F3D">
              <w:rPr>
                <w:rFonts w:cs="Arial"/>
              </w:rPr>
              <w:t>2019 QCTAT 2211</w:t>
            </w:r>
          </w:p>
        </w:tc>
      </w:tr>
    </w:tbl>
    <w:p w14:paraId="46575547" w14:textId="77777777" w:rsidR="00A66CF9" w:rsidRDefault="00A66CF9" w:rsidP="00A66CF9"/>
    <w:tbl>
      <w:tblPr>
        <w:tblW w:w="9568" w:type="dxa"/>
        <w:tblLayout w:type="fixed"/>
        <w:tblCellMar>
          <w:left w:w="70" w:type="dxa"/>
          <w:right w:w="70" w:type="dxa"/>
        </w:tblCellMar>
        <w:tblLook w:val="0000" w:firstRow="0" w:lastRow="0" w:firstColumn="0" w:lastColumn="0" w:noHBand="0" w:noVBand="0"/>
      </w:tblPr>
      <w:tblGrid>
        <w:gridCol w:w="3614"/>
        <w:gridCol w:w="1489"/>
        <w:gridCol w:w="354"/>
        <w:gridCol w:w="4111"/>
      </w:tblGrid>
      <w:tr w:rsidR="00A66CF9" w14:paraId="0DE1C649" w14:textId="77777777" w:rsidTr="00A66CF9">
        <w:trPr>
          <w:cantSplit/>
        </w:trPr>
        <w:tc>
          <w:tcPr>
            <w:tcW w:w="9568" w:type="dxa"/>
            <w:gridSpan w:val="4"/>
          </w:tcPr>
          <w:p w14:paraId="1F6F5A23" w14:textId="77777777" w:rsidR="00A66CF9" w:rsidRPr="00BE1981" w:rsidRDefault="00A66CF9" w:rsidP="006263F8">
            <w:pPr>
              <w:rPr>
                <w:szCs w:val="24"/>
              </w:rPr>
            </w:pPr>
          </w:p>
        </w:tc>
      </w:tr>
      <w:tr w:rsidR="00A66CF9" w14:paraId="46EBD899" w14:textId="77777777" w:rsidTr="00A66CF9">
        <w:trPr>
          <w:cantSplit/>
        </w:trPr>
        <w:tc>
          <w:tcPr>
            <w:tcW w:w="9568" w:type="dxa"/>
            <w:gridSpan w:val="4"/>
            <w:vAlign w:val="center"/>
          </w:tcPr>
          <w:p w14:paraId="2980A2A2" w14:textId="77777777" w:rsidR="00A66CF9" w:rsidRPr="000E1320" w:rsidRDefault="00A66CF9" w:rsidP="006263F8">
            <w:pPr>
              <w:jc w:val="center"/>
              <w:rPr>
                <w:sz w:val="36"/>
                <w:szCs w:val="36"/>
              </w:rPr>
            </w:pPr>
            <w:r w:rsidRPr="000E1320">
              <w:rPr>
                <w:b/>
                <w:sz w:val="36"/>
                <w:szCs w:val="36"/>
              </w:rPr>
              <w:t>TRIBUNAL ADMINISTRATIF DU TRAVAIL</w:t>
            </w:r>
          </w:p>
        </w:tc>
      </w:tr>
      <w:tr w:rsidR="00A66CF9" w14:paraId="3D19DA98" w14:textId="77777777" w:rsidTr="00A66CF9">
        <w:trPr>
          <w:cantSplit/>
        </w:trPr>
        <w:tc>
          <w:tcPr>
            <w:tcW w:w="9568" w:type="dxa"/>
            <w:gridSpan w:val="4"/>
          </w:tcPr>
          <w:p w14:paraId="60E144D0" w14:textId="77777777" w:rsidR="00A66CF9" w:rsidRPr="00BE7014" w:rsidRDefault="00A66CF9" w:rsidP="006263F8">
            <w:pPr>
              <w:pStyle w:val="zSoquijdatDivision"/>
            </w:pPr>
            <w:r w:rsidRPr="00BE7014">
              <w:t>(</w:t>
            </w:r>
            <w:r w:rsidR="00160550" w:rsidRPr="00441ADA">
              <w:t>Division de la santé et de la sécurité du travail</w:t>
            </w:r>
            <w:r w:rsidRPr="00BE7014">
              <w:t>)</w:t>
            </w:r>
          </w:p>
        </w:tc>
      </w:tr>
      <w:tr w:rsidR="00A66CF9" w14:paraId="779A674E" w14:textId="77777777" w:rsidTr="00A66CF9">
        <w:trPr>
          <w:cantSplit/>
        </w:trPr>
        <w:tc>
          <w:tcPr>
            <w:tcW w:w="9568" w:type="dxa"/>
            <w:gridSpan w:val="4"/>
          </w:tcPr>
          <w:p w14:paraId="23E3DCCD" w14:textId="77777777" w:rsidR="00A66CF9" w:rsidRDefault="00A66CF9" w:rsidP="006263F8"/>
        </w:tc>
      </w:tr>
      <w:tr w:rsidR="00A66CF9" w14:paraId="5CA1CD54" w14:textId="77777777" w:rsidTr="00A66CF9">
        <w:trPr>
          <w:cantSplit/>
        </w:trPr>
        <w:tc>
          <w:tcPr>
            <w:tcW w:w="9568" w:type="dxa"/>
            <w:gridSpan w:val="4"/>
          </w:tcPr>
          <w:p w14:paraId="797A1C6F" w14:textId="77777777" w:rsidR="00A66CF9" w:rsidRDefault="00A66CF9" w:rsidP="006263F8"/>
        </w:tc>
      </w:tr>
      <w:tr w:rsidR="00A66CF9" w14:paraId="557622E2" w14:textId="77777777" w:rsidTr="00A66CF9">
        <w:tc>
          <w:tcPr>
            <w:tcW w:w="3614" w:type="dxa"/>
          </w:tcPr>
          <w:p w14:paraId="464EE4DC" w14:textId="77777777" w:rsidR="00A66CF9" w:rsidRDefault="00A66CF9" w:rsidP="006263F8">
            <w:bookmarkStart w:id="0" w:name="region" w:colFirst="1" w:colLast="1"/>
            <w:r>
              <w:t>Région :</w:t>
            </w:r>
          </w:p>
        </w:tc>
        <w:tc>
          <w:tcPr>
            <w:tcW w:w="5954" w:type="dxa"/>
            <w:gridSpan w:val="3"/>
          </w:tcPr>
          <w:p w14:paraId="5BAEA17D" w14:textId="77777777" w:rsidR="00A66CF9" w:rsidRDefault="001C755F" w:rsidP="006263F8">
            <w:pPr>
              <w:pStyle w:val="zSoquijdatGreffe"/>
            </w:pPr>
            <w:r>
              <w:t>Abitibi-Témiscamingue</w:t>
            </w:r>
          </w:p>
        </w:tc>
      </w:tr>
      <w:bookmarkEnd w:id="0"/>
      <w:tr w:rsidR="00A66CF9" w14:paraId="19D1F4DB" w14:textId="77777777" w:rsidTr="00A66CF9">
        <w:trPr>
          <w:cantSplit/>
        </w:trPr>
        <w:tc>
          <w:tcPr>
            <w:tcW w:w="9568" w:type="dxa"/>
            <w:gridSpan w:val="4"/>
          </w:tcPr>
          <w:p w14:paraId="30251636" w14:textId="77777777" w:rsidR="00A66CF9" w:rsidRDefault="00A66CF9" w:rsidP="006263F8"/>
        </w:tc>
      </w:tr>
      <w:tr w:rsidR="00A66CF9" w14:paraId="213FDF7D" w14:textId="77777777" w:rsidTr="00A66CF9">
        <w:tc>
          <w:tcPr>
            <w:tcW w:w="3614" w:type="dxa"/>
          </w:tcPr>
          <w:p w14:paraId="26AB23DE" w14:textId="77777777" w:rsidR="00A66CF9" w:rsidRDefault="00A66CF9" w:rsidP="006263F8">
            <w:bookmarkStart w:id="1" w:name="ref_dossier" w:colFirst="1" w:colLast="1"/>
            <w:r>
              <w:t>Dossier</w:t>
            </w:r>
            <w:bookmarkStart w:id="2" w:name="dossiers"/>
            <w:bookmarkEnd w:id="2"/>
            <w:r>
              <w:t> :</w:t>
            </w:r>
          </w:p>
        </w:tc>
        <w:tc>
          <w:tcPr>
            <w:tcW w:w="5954" w:type="dxa"/>
            <w:gridSpan w:val="3"/>
          </w:tcPr>
          <w:p w14:paraId="0E8BB8DE" w14:textId="77777777" w:rsidR="00607A23" w:rsidRDefault="001C755F" w:rsidP="006263F8">
            <w:pPr>
              <w:pStyle w:val="zSoquijdatNoDossier"/>
            </w:pPr>
            <w:r>
              <w:t>632088-08-1703</w:t>
            </w:r>
          </w:p>
        </w:tc>
      </w:tr>
      <w:bookmarkEnd w:id="1"/>
      <w:tr w:rsidR="00A66CF9" w14:paraId="43D96196" w14:textId="77777777" w:rsidTr="00A66CF9">
        <w:trPr>
          <w:cantSplit/>
        </w:trPr>
        <w:tc>
          <w:tcPr>
            <w:tcW w:w="9568" w:type="dxa"/>
            <w:gridSpan w:val="4"/>
          </w:tcPr>
          <w:p w14:paraId="2A6D72C9" w14:textId="77777777" w:rsidR="00A66CF9" w:rsidRDefault="00A66CF9" w:rsidP="006263F8">
            <w:r>
              <w:fldChar w:fldCharType="begin"/>
            </w:r>
            <w:r>
              <w:instrText xml:space="preserve"> AUTOTEXTLIST  \* Upper  \* MERGEFORMAT </w:instrText>
            </w:r>
            <w:r>
              <w:fldChar w:fldCharType="end"/>
            </w:r>
          </w:p>
        </w:tc>
      </w:tr>
      <w:tr w:rsidR="00A66CF9" w14:paraId="11EAB674" w14:textId="77777777" w:rsidTr="00A66CF9">
        <w:tc>
          <w:tcPr>
            <w:tcW w:w="3614" w:type="dxa"/>
          </w:tcPr>
          <w:p w14:paraId="058185CC" w14:textId="77777777" w:rsidR="00A66CF9" w:rsidRDefault="00A66CF9" w:rsidP="006263F8">
            <w:pPr>
              <w:ind w:right="46"/>
            </w:pPr>
            <w:r>
              <w:t>Dossier CNESST</w:t>
            </w:r>
            <w:r w:rsidRPr="008C79A7">
              <w:rPr>
                <w:szCs w:val="24"/>
              </w:rPr>
              <w:t xml:space="preserve"> :</w:t>
            </w:r>
          </w:p>
        </w:tc>
        <w:tc>
          <w:tcPr>
            <w:tcW w:w="5954" w:type="dxa"/>
            <w:gridSpan w:val="3"/>
          </w:tcPr>
          <w:p w14:paraId="54F68F77" w14:textId="77777777" w:rsidR="00A66CF9" w:rsidRDefault="001C755F" w:rsidP="006263F8">
            <w:pPr>
              <w:pStyle w:val="zSoquijdatNCSST"/>
            </w:pPr>
            <w:r>
              <w:t>098043938</w:t>
            </w:r>
          </w:p>
        </w:tc>
      </w:tr>
      <w:tr w:rsidR="00A66CF9" w14:paraId="10F39945" w14:textId="77777777" w:rsidTr="00A66CF9">
        <w:trPr>
          <w:cantSplit/>
        </w:trPr>
        <w:tc>
          <w:tcPr>
            <w:tcW w:w="9568" w:type="dxa"/>
            <w:gridSpan w:val="4"/>
          </w:tcPr>
          <w:p w14:paraId="74663B08" w14:textId="77777777" w:rsidR="00A66CF9" w:rsidRDefault="00A66CF9" w:rsidP="006263F8"/>
        </w:tc>
      </w:tr>
      <w:tr w:rsidR="00A66CF9" w14:paraId="2E3F91A2" w14:textId="77777777" w:rsidTr="00A66CF9">
        <w:trPr>
          <w:cantSplit/>
        </w:trPr>
        <w:tc>
          <w:tcPr>
            <w:tcW w:w="9568" w:type="dxa"/>
            <w:gridSpan w:val="4"/>
          </w:tcPr>
          <w:p w14:paraId="6C4BAD2D" w14:textId="77777777" w:rsidR="00A66CF9" w:rsidRDefault="00A66CF9" w:rsidP="006263F8"/>
        </w:tc>
      </w:tr>
      <w:tr w:rsidR="00A66CF9" w14:paraId="6C7B9955" w14:textId="77777777" w:rsidTr="00A66CF9">
        <w:trPr>
          <w:cantSplit/>
        </w:trPr>
        <w:tc>
          <w:tcPr>
            <w:tcW w:w="3614" w:type="dxa"/>
          </w:tcPr>
          <w:p w14:paraId="57C2B81C" w14:textId="77777777" w:rsidR="00A66CF9" w:rsidRPr="003F3B07" w:rsidRDefault="00A35095" w:rsidP="006263F8">
            <w:pPr>
              <w:tabs>
                <w:tab w:val="left" w:pos="2672"/>
              </w:tabs>
            </w:pPr>
            <w:r w:rsidRPr="003F3B07">
              <w:t>Montréal</w:t>
            </w:r>
            <w:r w:rsidR="00A66CF9" w:rsidRPr="003F3B07">
              <w:t>,</w:t>
            </w:r>
          </w:p>
        </w:tc>
        <w:tc>
          <w:tcPr>
            <w:tcW w:w="5954" w:type="dxa"/>
            <w:gridSpan w:val="3"/>
          </w:tcPr>
          <w:p w14:paraId="641DF637" w14:textId="77777777" w:rsidR="00A66CF9" w:rsidRPr="003F3B07" w:rsidRDefault="00A66CF9" w:rsidP="00FD1652">
            <w:pPr>
              <w:pStyle w:val="zSoquijdatDateJugement"/>
            </w:pPr>
            <w:proofErr w:type="gramStart"/>
            <w:r w:rsidRPr="003F3B07">
              <w:t>le</w:t>
            </w:r>
            <w:proofErr w:type="gramEnd"/>
            <w:r w:rsidRPr="003F3B07">
              <w:t xml:space="preserve"> </w:t>
            </w:r>
            <w:r w:rsidR="00FD1652">
              <w:t>10</w:t>
            </w:r>
            <w:r w:rsidR="004334E3">
              <w:t xml:space="preserve"> </w:t>
            </w:r>
            <w:r w:rsidR="002E41FD">
              <w:t>mai</w:t>
            </w:r>
            <w:r w:rsidR="001C755F">
              <w:t xml:space="preserve"> 2019</w:t>
            </w:r>
          </w:p>
        </w:tc>
      </w:tr>
      <w:tr w:rsidR="00A66CF9" w14:paraId="58CE28EE" w14:textId="77777777" w:rsidTr="00A66CF9">
        <w:trPr>
          <w:cantSplit/>
        </w:trPr>
        <w:tc>
          <w:tcPr>
            <w:tcW w:w="9568" w:type="dxa"/>
            <w:gridSpan w:val="4"/>
          </w:tcPr>
          <w:p w14:paraId="5CB64DA9" w14:textId="77777777" w:rsidR="00A66CF9" w:rsidRDefault="00A66CF9" w:rsidP="006263F8">
            <w:r>
              <w:t>______________________________________________________________________</w:t>
            </w:r>
          </w:p>
        </w:tc>
      </w:tr>
      <w:tr w:rsidR="00A66CF9" w14:paraId="7695C20B" w14:textId="77777777" w:rsidTr="00A66CF9">
        <w:trPr>
          <w:cantSplit/>
          <w:trHeight w:val="148"/>
        </w:trPr>
        <w:tc>
          <w:tcPr>
            <w:tcW w:w="9568" w:type="dxa"/>
            <w:gridSpan w:val="4"/>
          </w:tcPr>
          <w:p w14:paraId="780518CF" w14:textId="77777777" w:rsidR="00A66CF9" w:rsidRDefault="00A66CF9" w:rsidP="006263F8"/>
        </w:tc>
      </w:tr>
      <w:tr w:rsidR="00A66CF9" w14:paraId="4DBC1CF2" w14:textId="77777777" w:rsidTr="00A66CF9">
        <w:trPr>
          <w:cantSplit/>
          <w:trHeight w:val="148"/>
        </w:trPr>
        <w:tc>
          <w:tcPr>
            <w:tcW w:w="5457" w:type="dxa"/>
            <w:gridSpan w:val="3"/>
          </w:tcPr>
          <w:p w14:paraId="6A422225" w14:textId="77777777" w:rsidR="00A66CF9" w:rsidRPr="00942AB8" w:rsidRDefault="00A66CF9" w:rsidP="000040B8">
            <w:pPr>
              <w:rPr>
                <w:b/>
                <w:bCs/>
              </w:rPr>
            </w:pPr>
            <w:bookmarkStart w:id="3" w:name="ref_commissaire" w:colFirst="1" w:colLast="1"/>
            <w:r w:rsidRPr="00942AB8">
              <w:rPr>
                <w:b/>
                <w:bCs/>
              </w:rPr>
              <w:t>DEVANT L</w:t>
            </w:r>
            <w:r w:rsidR="000040B8">
              <w:rPr>
                <w:b/>
                <w:bCs/>
              </w:rPr>
              <w:t>A</w:t>
            </w:r>
            <w:r w:rsidRPr="00942AB8">
              <w:rPr>
                <w:b/>
                <w:bCs/>
              </w:rPr>
              <w:t xml:space="preserve"> JUGE ADMINISTRATI</w:t>
            </w:r>
            <w:r w:rsidR="000040B8">
              <w:rPr>
                <w:b/>
                <w:bCs/>
              </w:rPr>
              <w:t>VE</w:t>
            </w:r>
            <w:r w:rsidRPr="00942AB8">
              <w:rPr>
                <w:b/>
                <w:bCs/>
              </w:rPr>
              <w:t> :</w:t>
            </w:r>
          </w:p>
        </w:tc>
        <w:tc>
          <w:tcPr>
            <w:tcW w:w="4111" w:type="dxa"/>
          </w:tcPr>
          <w:p w14:paraId="0624D2EA" w14:textId="77777777" w:rsidR="00A66CF9" w:rsidRPr="00942AB8" w:rsidRDefault="000040B8" w:rsidP="006263F8">
            <w:pPr>
              <w:pStyle w:val="zSoquijdatJuge"/>
              <w:rPr>
                <w:bCs/>
              </w:rPr>
            </w:pPr>
            <w:r>
              <w:t>Isabelle Therrien</w:t>
            </w:r>
          </w:p>
        </w:tc>
      </w:tr>
      <w:bookmarkEnd w:id="3"/>
      <w:tr w:rsidR="00A66CF9" w14:paraId="12C74D22" w14:textId="77777777" w:rsidTr="00A66CF9">
        <w:trPr>
          <w:cantSplit/>
          <w:trHeight w:val="148"/>
        </w:trPr>
        <w:tc>
          <w:tcPr>
            <w:tcW w:w="9568" w:type="dxa"/>
            <w:gridSpan w:val="4"/>
          </w:tcPr>
          <w:p w14:paraId="44AF43C2" w14:textId="77777777" w:rsidR="00A66CF9" w:rsidRDefault="00A66CF9" w:rsidP="006263F8">
            <w:r>
              <w:t>______________________________________________________________________</w:t>
            </w:r>
          </w:p>
        </w:tc>
      </w:tr>
      <w:tr w:rsidR="00A66CF9" w14:paraId="5878DEBF" w14:textId="77777777" w:rsidTr="00604138">
        <w:tc>
          <w:tcPr>
            <w:tcW w:w="5103" w:type="dxa"/>
            <w:gridSpan w:val="2"/>
          </w:tcPr>
          <w:p w14:paraId="02E6DB29" w14:textId="77777777" w:rsidR="00A66CF9" w:rsidRDefault="00A66CF9" w:rsidP="006263F8">
            <w:bookmarkStart w:id="4" w:name="bloc_parties_gauche"/>
            <w:bookmarkEnd w:id="4"/>
          </w:p>
        </w:tc>
        <w:tc>
          <w:tcPr>
            <w:tcW w:w="4465" w:type="dxa"/>
            <w:gridSpan w:val="2"/>
          </w:tcPr>
          <w:p w14:paraId="6D726425" w14:textId="77777777" w:rsidR="00A66CF9" w:rsidRDefault="00A66CF9" w:rsidP="006263F8"/>
        </w:tc>
      </w:tr>
      <w:tr w:rsidR="006A64BB" w14:paraId="271EBBD3" w14:textId="77777777" w:rsidTr="00604138">
        <w:tc>
          <w:tcPr>
            <w:tcW w:w="5103" w:type="dxa"/>
            <w:gridSpan w:val="2"/>
          </w:tcPr>
          <w:p w14:paraId="3006272B" w14:textId="77777777" w:rsidR="006A64BB" w:rsidRDefault="006A64BB" w:rsidP="006263F8"/>
        </w:tc>
        <w:tc>
          <w:tcPr>
            <w:tcW w:w="4465" w:type="dxa"/>
            <w:gridSpan w:val="2"/>
          </w:tcPr>
          <w:p w14:paraId="77197808" w14:textId="77777777" w:rsidR="006A64BB" w:rsidRDefault="006A64BB" w:rsidP="006263F8"/>
        </w:tc>
      </w:tr>
      <w:tr w:rsidR="00A66CF9" w14:paraId="2DFF93AD" w14:textId="77777777" w:rsidTr="00604138">
        <w:tc>
          <w:tcPr>
            <w:tcW w:w="5103" w:type="dxa"/>
            <w:gridSpan w:val="2"/>
          </w:tcPr>
          <w:p w14:paraId="61185D4D" w14:textId="77777777" w:rsidR="00A66CF9" w:rsidRDefault="001C755F" w:rsidP="006263F8">
            <w:pPr>
              <w:pStyle w:val="zSoquijdatNomPartieDem"/>
              <w:rPr>
                <w:b/>
              </w:rPr>
            </w:pPr>
            <w:r>
              <w:rPr>
                <w:b/>
              </w:rPr>
              <w:t>Gérald Lauzon</w:t>
            </w:r>
          </w:p>
        </w:tc>
        <w:tc>
          <w:tcPr>
            <w:tcW w:w="4465" w:type="dxa"/>
            <w:gridSpan w:val="2"/>
          </w:tcPr>
          <w:p w14:paraId="7EC03008" w14:textId="77777777" w:rsidR="00A66CF9" w:rsidRPr="00D80E06" w:rsidRDefault="00A66CF9" w:rsidP="006263F8">
            <w:pPr>
              <w:pStyle w:val="zSoquijdatNomPartieDem"/>
              <w:rPr>
                <w:b/>
              </w:rPr>
            </w:pPr>
          </w:p>
        </w:tc>
      </w:tr>
      <w:tr w:rsidR="00A66CF9" w14:paraId="7A8B2B44" w14:textId="77777777" w:rsidTr="00604138">
        <w:tc>
          <w:tcPr>
            <w:tcW w:w="5103" w:type="dxa"/>
            <w:gridSpan w:val="2"/>
          </w:tcPr>
          <w:p w14:paraId="40D1158F" w14:textId="77777777" w:rsidR="00A66CF9" w:rsidRDefault="00160550" w:rsidP="006263F8">
            <w:pPr>
              <w:pStyle w:val="zSoquijdatQtePartieDem"/>
              <w:ind w:left="708"/>
            </w:pPr>
            <w:r>
              <w:t>Partie demanderesse</w:t>
            </w:r>
          </w:p>
        </w:tc>
        <w:tc>
          <w:tcPr>
            <w:tcW w:w="4465" w:type="dxa"/>
            <w:gridSpan w:val="2"/>
          </w:tcPr>
          <w:p w14:paraId="3034F441" w14:textId="77777777" w:rsidR="00A66CF9" w:rsidRDefault="00A66CF9" w:rsidP="00365F93">
            <w:pPr>
              <w:pStyle w:val="zSoquijdatQtePartieDem"/>
            </w:pPr>
          </w:p>
        </w:tc>
      </w:tr>
      <w:tr w:rsidR="00A66CF9" w14:paraId="299618D0" w14:textId="77777777" w:rsidTr="00604138">
        <w:tc>
          <w:tcPr>
            <w:tcW w:w="5103" w:type="dxa"/>
            <w:gridSpan w:val="2"/>
          </w:tcPr>
          <w:p w14:paraId="4807BEBF" w14:textId="77777777" w:rsidR="00A66CF9" w:rsidRDefault="00A66CF9" w:rsidP="006263F8"/>
        </w:tc>
        <w:tc>
          <w:tcPr>
            <w:tcW w:w="4465" w:type="dxa"/>
            <w:gridSpan w:val="2"/>
          </w:tcPr>
          <w:p w14:paraId="6C2D86B7" w14:textId="77777777" w:rsidR="00A66CF9" w:rsidRDefault="00A66CF9" w:rsidP="006263F8"/>
        </w:tc>
      </w:tr>
      <w:tr w:rsidR="00A66CF9" w14:paraId="274A77E2" w14:textId="77777777" w:rsidTr="00604138">
        <w:tc>
          <w:tcPr>
            <w:tcW w:w="5103" w:type="dxa"/>
            <w:gridSpan w:val="2"/>
          </w:tcPr>
          <w:p w14:paraId="7E42A0A0" w14:textId="77777777" w:rsidR="00A66CF9" w:rsidRPr="009878D9" w:rsidRDefault="00160550" w:rsidP="006263F8">
            <w:pPr>
              <w:pStyle w:val="zSoquijlblLienParties"/>
            </w:pPr>
            <w:proofErr w:type="gramStart"/>
            <w:r w:rsidRPr="009878D9">
              <w:t>et</w:t>
            </w:r>
            <w:proofErr w:type="gramEnd"/>
          </w:p>
        </w:tc>
        <w:tc>
          <w:tcPr>
            <w:tcW w:w="4465" w:type="dxa"/>
            <w:gridSpan w:val="2"/>
          </w:tcPr>
          <w:p w14:paraId="5D191BC0" w14:textId="77777777" w:rsidR="00A66CF9" w:rsidRDefault="00A66CF9" w:rsidP="006263F8"/>
        </w:tc>
      </w:tr>
      <w:tr w:rsidR="00A66CF9" w14:paraId="147335C5" w14:textId="77777777" w:rsidTr="00604138">
        <w:tc>
          <w:tcPr>
            <w:tcW w:w="5103" w:type="dxa"/>
            <w:gridSpan w:val="2"/>
          </w:tcPr>
          <w:p w14:paraId="6EE5D87D" w14:textId="77777777" w:rsidR="00A66CF9" w:rsidRPr="009878D9" w:rsidRDefault="00A66CF9" w:rsidP="006263F8"/>
        </w:tc>
        <w:tc>
          <w:tcPr>
            <w:tcW w:w="4465" w:type="dxa"/>
            <w:gridSpan w:val="2"/>
          </w:tcPr>
          <w:p w14:paraId="02AF26E1" w14:textId="77777777" w:rsidR="00A66CF9" w:rsidRDefault="00A66CF9" w:rsidP="006263F8"/>
        </w:tc>
      </w:tr>
      <w:tr w:rsidR="00A66CF9" w14:paraId="693160A4" w14:textId="77777777" w:rsidTr="00604138">
        <w:tc>
          <w:tcPr>
            <w:tcW w:w="5103" w:type="dxa"/>
            <w:gridSpan w:val="2"/>
          </w:tcPr>
          <w:p w14:paraId="22E28A9B" w14:textId="77777777" w:rsidR="00A66CF9" w:rsidRPr="009878D9" w:rsidRDefault="001C755F" w:rsidP="006263F8">
            <w:pPr>
              <w:pStyle w:val="zSoquijdatNomPartieDef"/>
              <w:rPr>
                <w:b/>
              </w:rPr>
            </w:pPr>
            <w:r w:rsidRPr="009878D9">
              <w:rPr>
                <w:b/>
              </w:rPr>
              <w:t>IAMGOLD</w:t>
            </w:r>
            <w:r w:rsidR="00943801" w:rsidRPr="009878D9">
              <w:rPr>
                <w:b/>
              </w:rPr>
              <w:t>-Mine</w:t>
            </w:r>
            <w:r w:rsidR="006A64BB">
              <w:rPr>
                <w:b/>
              </w:rPr>
              <w:t xml:space="preserve"> </w:t>
            </w:r>
            <w:r w:rsidR="00943801" w:rsidRPr="009878D9">
              <w:rPr>
                <w:b/>
              </w:rPr>
              <w:t>Westwood</w:t>
            </w:r>
          </w:p>
        </w:tc>
        <w:tc>
          <w:tcPr>
            <w:tcW w:w="4465" w:type="dxa"/>
            <w:gridSpan w:val="2"/>
          </w:tcPr>
          <w:p w14:paraId="67EC2416" w14:textId="77777777" w:rsidR="00A66CF9" w:rsidRPr="00D80E06" w:rsidRDefault="00A66CF9" w:rsidP="006263F8">
            <w:pPr>
              <w:pStyle w:val="zSoquijdatNomPartieDef"/>
              <w:rPr>
                <w:b/>
              </w:rPr>
            </w:pPr>
          </w:p>
        </w:tc>
      </w:tr>
      <w:tr w:rsidR="00A66CF9" w14:paraId="2C4B0DCB" w14:textId="77777777" w:rsidTr="00604138">
        <w:tc>
          <w:tcPr>
            <w:tcW w:w="5103" w:type="dxa"/>
            <w:gridSpan w:val="2"/>
          </w:tcPr>
          <w:p w14:paraId="26556F10" w14:textId="77777777" w:rsidR="00A66CF9" w:rsidRPr="009878D9" w:rsidRDefault="00160550" w:rsidP="006263F8">
            <w:pPr>
              <w:pStyle w:val="zSoquijdatQtePartieDef"/>
              <w:ind w:left="708"/>
            </w:pPr>
            <w:r w:rsidRPr="009878D9">
              <w:t>Partie mise en cause</w:t>
            </w:r>
          </w:p>
        </w:tc>
        <w:tc>
          <w:tcPr>
            <w:tcW w:w="4465" w:type="dxa"/>
            <w:gridSpan w:val="2"/>
          </w:tcPr>
          <w:p w14:paraId="3692797A" w14:textId="77777777" w:rsidR="00A66CF9" w:rsidRDefault="00A66CF9" w:rsidP="00365F93">
            <w:pPr>
              <w:pStyle w:val="zSoquijdatQtePartieDef"/>
            </w:pPr>
          </w:p>
        </w:tc>
      </w:tr>
      <w:tr w:rsidR="00A66CF9" w14:paraId="44448E0E" w14:textId="77777777" w:rsidTr="00604138">
        <w:tc>
          <w:tcPr>
            <w:tcW w:w="5103" w:type="dxa"/>
            <w:gridSpan w:val="2"/>
          </w:tcPr>
          <w:p w14:paraId="565D01BB" w14:textId="77777777" w:rsidR="00A66CF9" w:rsidRPr="009878D9" w:rsidRDefault="00A66CF9" w:rsidP="006263F8"/>
        </w:tc>
        <w:tc>
          <w:tcPr>
            <w:tcW w:w="4465" w:type="dxa"/>
            <w:gridSpan w:val="2"/>
          </w:tcPr>
          <w:p w14:paraId="49184CBB" w14:textId="77777777" w:rsidR="00A66CF9" w:rsidRDefault="00A66CF9" w:rsidP="006263F8"/>
        </w:tc>
      </w:tr>
      <w:tr w:rsidR="00160550" w14:paraId="1D24C7F2" w14:textId="77777777" w:rsidTr="00604138">
        <w:tc>
          <w:tcPr>
            <w:tcW w:w="5103" w:type="dxa"/>
            <w:gridSpan w:val="2"/>
          </w:tcPr>
          <w:p w14:paraId="150A8D0D" w14:textId="77777777" w:rsidR="00160550" w:rsidRPr="009878D9" w:rsidRDefault="006346AC" w:rsidP="006263F8">
            <w:proofErr w:type="gramStart"/>
            <w:r w:rsidRPr="009878D9">
              <w:t>et</w:t>
            </w:r>
            <w:proofErr w:type="gramEnd"/>
          </w:p>
        </w:tc>
        <w:tc>
          <w:tcPr>
            <w:tcW w:w="4465" w:type="dxa"/>
            <w:gridSpan w:val="2"/>
          </w:tcPr>
          <w:p w14:paraId="50D1D6A8" w14:textId="77777777" w:rsidR="00160550" w:rsidRDefault="00160550" w:rsidP="006263F8"/>
        </w:tc>
      </w:tr>
      <w:tr w:rsidR="00160550" w14:paraId="60B92444" w14:textId="77777777" w:rsidTr="00604138">
        <w:tc>
          <w:tcPr>
            <w:tcW w:w="5103" w:type="dxa"/>
            <w:gridSpan w:val="2"/>
          </w:tcPr>
          <w:p w14:paraId="27174B62" w14:textId="77777777" w:rsidR="00160550" w:rsidRPr="009878D9" w:rsidRDefault="00160550" w:rsidP="006263F8"/>
        </w:tc>
        <w:tc>
          <w:tcPr>
            <w:tcW w:w="4465" w:type="dxa"/>
            <w:gridSpan w:val="2"/>
          </w:tcPr>
          <w:p w14:paraId="43B3B87B" w14:textId="77777777" w:rsidR="00160550" w:rsidRDefault="00160550" w:rsidP="006263F8"/>
        </w:tc>
      </w:tr>
      <w:tr w:rsidR="00A66CF9" w14:paraId="42B7D68C" w14:textId="77777777" w:rsidTr="00604138">
        <w:tc>
          <w:tcPr>
            <w:tcW w:w="5103" w:type="dxa"/>
            <w:gridSpan w:val="2"/>
          </w:tcPr>
          <w:p w14:paraId="39B13FE3" w14:textId="77777777" w:rsidR="006346AC" w:rsidRPr="009878D9" w:rsidRDefault="006346AC" w:rsidP="0084655A">
            <w:pPr>
              <w:pStyle w:val="zSoquijdatNomPartieInt"/>
              <w:rPr>
                <w:b/>
              </w:rPr>
            </w:pPr>
            <w:r w:rsidRPr="009878D9">
              <w:rPr>
                <w:b/>
              </w:rPr>
              <w:t>Commission des normes, de l’équité, </w:t>
            </w:r>
          </w:p>
          <w:p w14:paraId="5FECB29E" w14:textId="77777777" w:rsidR="00A66CF9" w:rsidRPr="009878D9" w:rsidRDefault="006346AC" w:rsidP="0084655A">
            <w:pPr>
              <w:pStyle w:val="zSoquijdatNomPartieInt"/>
              <w:rPr>
                <w:b/>
              </w:rPr>
            </w:pPr>
            <w:proofErr w:type="gramStart"/>
            <w:r w:rsidRPr="009878D9">
              <w:rPr>
                <w:b/>
              </w:rPr>
              <w:t>de</w:t>
            </w:r>
            <w:proofErr w:type="gramEnd"/>
            <w:r w:rsidRPr="009878D9">
              <w:rPr>
                <w:b/>
              </w:rPr>
              <w:t xml:space="preserve"> la santé et de la sécurité du travail</w:t>
            </w:r>
          </w:p>
        </w:tc>
        <w:tc>
          <w:tcPr>
            <w:tcW w:w="4465" w:type="dxa"/>
            <w:gridSpan w:val="2"/>
          </w:tcPr>
          <w:p w14:paraId="168D385C" w14:textId="77777777" w:rsidR="00A66CF9" w:rsidRPr="00D80E06" w:rsidRDefault="00A66CF9" w:rsidP="006263F8">
            <w:pPr>
              <w:pStyle w:val="zSoquijdatNomPartieInt"/>
              <w:rPr>
                <w:b/>
              </w:rPr>
            </w:pPr>
          </w:p>
        </w:tc>
      </w:tr>
      <w:tr w:rsidR="00A66CF9" w14:paraId="4C38F88E" w14:textId="77777777" w:rsidTr="00951E66">
        <w:trPr>
          <w:trHeight w:val="87"/>
        </w:trPr>
        <w:tc>
          <w:tcPr>
            <w:tcW w:w="5103" w:type="dxa"/>
            <w:gridSpan w:val="2"/>
          </w:tcPr>
          <w:p w14:paraId="21AE8A62" w14:textId="77777777" w:rsidR="00A66CF9" w:rsidRPr="009878D9" w:rsidRDefault="006346AC" w:rsidP="006263F8">
            <w:pPr>
              <w:pStyle w:val="zSoquijdatQtePartieInt"/>
              <w:ind w:left="708"/>
            </w:pPr>
            <w:r w:rsidRPr="009878D9">
              <w:t>Partie intervenante</w:t>
            </w:r>
          </w:p>
        </w:tc>
        <w:tc>
          <w:tcPr>
            <w:tcW w:w="4465" w:type="dxa"/>
            <w:gridSpan w:val="2"/>
          </w:tcPr>
          <w:p w14:paraId="3FFF9D0E" w14:textId="77777777" w:rsidR="00A66CF9" w:rsidRDefault="00A66CF9" w:rsidP="00365F93">
            <w:pPr>
              <w:pStyle w:val="zSoquijdatQtePartieInt"/>
            </w:pPr>
          </w:p>
        </w:tc>
      </w:tr>
      <w:tr w:rsidR="00A66CF9" w14:paraId="0408361C" w14:textId="77777777" w:rsidTr="00604138">
        <w:tc>
          <w:tcPr>
            <w:tcW w:w="5103" w:type="dxa"/>
            <w:gridSpan w:val="2"/>
          </w:tcPr>
          <w:p w14:paraId="40A42A97" w14:textId="77777777" w:rsidR="00A66CF9" w:rsidRPr="009878D9" w:rsidRDefault="00A66CF9" w:rsidP="006263F8"/>
        </w:tc>
        <w:tc>
          <w:tcPr>
            <w:tcW w:w="4465" w:type="dxa"/>
            <w:gridSpan w:val="2"/>
          </w:tcPr>
          <w:p w14:paraId="7502B5E0" w14:textId="77777777" w:rsidR="00A66CF9" w:rsidRDefault="00A66CF9" w:rsidP="006263F8"/>
        </w:tc>
      </w:tr>
    </w:tbl>
    <w:p w14:paraId="4A107AA8" w14:textId="77777777" w:rsidR="00A66CF9" w:rsidRDefault="00A66CF9" w:rsidP="00A66CF9">
      <w:r>
        <w:t>______________________________________________________________________</w:t>
      </w:r>
    </w:p>
    <w:p w14:paraId="753E587E" w14:textId="77777777" w:rsidR="00A66CF9" w:rsidRDefault="00A66CF9" w:rsidP="00A66CF9"/>
    <w:p w14:paraId="73D5D554" w14:textId="77777777" w:rsidR="00954EEC" w:rsidRDefault="004D4198" w:rsidP="004D4198">
      <w:pPr>
        <w:jc w:val="center"/>
        <w:rPr>
          <w:b/>
          <w:bCs/>
        </w:rPr>
      </w:pPr>
      <w:bookmarkStart w:id="5" w:name="decision"/>
      <w:r w:rsidRPr="00CF60AF">
        <w:rPr>
          <w:b/>
          <w:bCs/>
        </w:rPr>
        <w:t>DÉCISION RELATIVE À UNE REQUÊTE</w:t>
      </w:r>
      <w:r w:rsidR="00954EEC">
        <w:rPr>
          <w:b/>
          <w:bCs/>
        </w:rPr>
        <w:t xml:space="preserve"> EN ANNULATION D’UN DÉSISTEMENT</w:t>
      </w:r>
    </w:p>
    <w:p w14:paraId="6D65E595" w14:textId="77777777" w:rsidR="004D4198" w:rsidRPr="00AA66C8" w:rsidRDefault="004D4198" w:rsidP="004D4198">
      <w:pPr>
        <w:jc w:val="center"/>
        <w:rPr>
          <w:b/>
          <w:bCs/>
        </w:rPr>
      </w:pPr>
      <w:r w:rsidRPr="00CF60AF">
        <w:rPr>
          <w:b/>
          <w:bCs/>
        </w:rPr>
        <w:t>ET EN RÉOUVERTURE DE DOSSIER</w:t>
      </w:r>
      <w:bookmarkEnd w:id="5"/>
    </w:p>
    <w:p w14:paraId="79257EE2" w14:textId="77777777" w:rsidR="00A66CF9" w:rsidRDefault="00A66CF9" w:rsidP="00A66CF9">
      <w:pPr>
        <w:jc w:val="center"/>
      </w:pPr>
      <w:r>
        <w:t>______________________________________________________________________</w:t>
      </w:r>
    </w:p>
    <w:p w14:paraId="2E81AAC0" w14:textId="77777777" w:rsidR="00A66CF9" w:rsidRPr="002C5559" w:rsidRDefault="00155FC1" w:rsidP="00943801">
      <w:pPr>
        <w:pStyle w:val="corpsdedcision"/>
        <w:tabs>
          <w:tab w:val="clear" w:pos="360"/>
        </w:tabs>
        <w:spacing w:before="360"/>
        <w:rPr>
          <w:sz w:val="22"/>
          <w:szCs w:val="22"/>
        </w:rPr>
      </w:pPr>
      <w:r w:rsidRPr="002C5559">
        <w:rPr>
          <w:sz w:val="22"/>
          <w:szCs w:val="22"/>
        </w:rPr>
        <w:t xml:space="preserve">Le </w:t>
      </w:r>
      <w:r w:rsidR="001C755F" w:rsidRPr="002C5559">
        <w:rPr>
          <w:sz w:val="22"/>
          <w:szCs w:val="22"/>
        </w:rPr>
        <w:t>4 octobre 2017</w:t>
      </w:r>
      <w:r w:rsidRPr="002C5559">
        <w:rPr>
          <w:sz w:val="22"/>
          <w:szCs w:val="22"/>
        </w:rPr>
        <w:t xml:space="preserve">, </w:t>
      </w:r>
      <w:r w:rsidR="001C755F" w:rsidRPr="002C5559">
        <w:rPr>
          <w:sz w:val="22"/>
          <w:szCs w:val="22"/>
        </w:rPr>
        <w:t>monsieur Gérald Lauzon</w:t>
      </w:r>
      <w:r w:rsidR="004334E3" w:rsidRPr="002C5559">
        <w:rPr>
          <w:sz w:val="22"/>
          <w:szCs w:val="22"/>
        </w:rPr>
        <w:t xml:space="preserve">, </w:t>
      </w:r>
      <w:r w:rsidR="00ED48F7" w:rsidRPr="002C5559">
        <w:rPr>
          <w:sz w:val="22"/>
          <w:szCs w:val="22"/>
        </w:rPr>
        <w:t>le travailleur</w:t>
      </w:r>
      <w:r w:rsidR="004334E3" w:rsidRPr="002C5559">
        <w:rPr>
          <w:sz w:val="22"/>
          <w:szCs w:val="22"/>
        </w:rPr>
        <w:t>,</w:t>
      </w:r>
      <w:r w:rsidRPr="002C5559">
        <w:rPr>
          <w:sz w:val="22"/>
          <w:szCs w:val="22"/>
        </w:rPr>
        <w:t xml:space="preserve"> dépose au Tribunal administratif du travail (le Tribunal) une requête </w:t>
      </w:r>
      <w:r w:rsidR="003C794E" w:rsidRPr="002C5559">
        <w:rPr>
          <w:sz w:val="22"/>
          <w:szCs w:val="22"/>
        </w:rPr>
        <w:t>par laquelle il demande l’annulation</w:t>
      </w:r>
      <w:r w:rsidRPr="002C5559">
        <w:rPr>
          <w:sz w:val="22"/>
          <w:szCs w:val="22"/>
        </w:rPr>
        <w:t xml:space="preserve"> </w:t>
      </w:r>
      <w:r w:rsidR="00A61B95" w:rsidRPr="002C5559">
        <w:rPr>
          <w:sz w:val="22"/>
          <w:szCs w:val="22"/>
        </w:rPr>
        <w:t>d’un désistement</w:t>
      </w:r>
      <w:r w:rsidRPr="002C5559">
        <w:rPr>
          <w:sz w:val="22"/>
          <w:szCs w:val="22"/>
        </w:rPr>
        <w:t xml:space="preserve"> </w:t>
      </w:r>
      <w:r w:rsidR="00BE54D0" w:rsidRPr="002C5559">
        <w:rPr>
          <w:sz w:val="22"/>
          <w:szCs w:val="22"/>
        </w:rPr>
        <w:t xml:space="preserve">qu’il </w:t>
      </w:r>
      <w:r w:rsidR="00A61B95" w:rsidRPr="002C5559">
        <w:rPr>
          <w:sz w:val="22"/>
          <w:szCs w:val="22"/>
        </w:rPr>
        <w:t>sign</w:t>
      </w:r>
      <w:r w:rsidR="00BE54D0" w:rsidRPr="002C5559">
        <w:rPr>
          <w:sz w:val="22"/>
          <w:szCs w:val="22"/>
        </w:rPr>
        <w:t>e</w:t>
      </w:r>
      <w:r w:rsidR="00A61B95" w:rsidRPr="002C5559">
        <w:rPr>
          <w:sz w:val="22"/>
          <w:szCs w:val="22"/>
        </w:rPr>
        <w:t xml:space="preserve"> le 28 juin 2017.</w:t>
      </w:r>
    </w:p>
    <w:p w14:paraId="3F804AF6" w14:textId="77777777" w:rsidR="00BE54D0" w:rsidRPr="002C5559" w:rsidRDefault="00BE54D0" w:rsidP="00210997">
      <w:pPr>
        <w:pStyle w:val="corpsdedcision"/>
        <w:keepLines/>
        <w:tabs>
          <w:tab w:val="clear" w:pos="360"/>
        </w:tabs>
        <w:rPr>
          <w:sz w:val="22"/>
          <w:szCs w:val="22"/>
        </w:rPr>
      </w:pPr>
      <w:r w:rsidRPr="002C5559">
        <w:rPr>
          <w:sz w:val="22"/>
          <w:szCs w:val="22"/>
        </w:rPr>
        <w:lastRenderedPageBreak/>
        <w:t>Ce désistement vise une conte</w:t>
      </w:r>
      <w:r w:rsidR="00A07CBA" w:rsidRPr="002C5559">
        <w:rPr>
          <w:sz w:val="22"/>
          <w:szCs w:val="22"/>
        </w:rPr>
        <w:t>station que le travailleur a</w:t>
      </w:r>
      <w:r w:rsidRPr="002C5559">
        <w:rPr>
          <w:sz w:val="22"/>
          <w:szCs w:val="22"/>
        </w:rPr>
        <w:t xml:space="preserve"> déposé</w:t>
      </w:r>
      <w:r w:rsidR="00A07CBA" w:rsidRPr="002C5559">
        <w:rPr>
          <w:sz w:val="22"/>
          <w:szCs w:val="22"/>
        </w:rPr>
        <w:t>e</w:t>
      </w:r>
      <w:r w:rsidRPr="002C5559">
        <w:rPr>
          <w:sz w:val="22"/>
          <w:szCs w:val="22"/>
        </w:rPr>
        <w:t xml:space="preserve"> au Tribunal le 9 mars 2017, à l’encontre d’une décision de la Commission des normes, de l’équité, de la santé et de la sécurité du travail (la Commission) rendue le 8 juillet 2016, à la suite d’une révision administrative.</w:t>
      </w:r>
    </w:p>
    <w:p w14:paraId="37C89696" w14:textId="77777777" w:rsidR="00BE54D0" w:rsidRPr="002C5559" w:rsidRDefault="00622AD8" w:rsidP="00160550">
      <w:pPr>
        <w:pStyle w:val="corpsdedcision"/>
        <w:tabs>
          <w:tab w:val="clear" w:pos="360"/>
        </w:tabs>
        <w:rPr>
          <w:sz w:val="22"/>
          <w:szCs w:val="22"/>
        </w:rPr>
      </w:pPr>
      <w:r w:rsidRPr="002C5559">
        <w:rPr>
          <w:sz w:val="22"/>
          <w:szCs w:val="22"/>
        </w:rPr>
        <w:t>Par cette décision, la Commission confirm</w:t>
      </w:r>
      <w:r w:rsidR="00A07CBA" w:rsidRPr="002C5559">
        <w:rPr>
          <w:sz w:val="22"/>
          <w:szCs w:val="22"/>
        </w:rPr>
        <w:t>e</w:t>
      </w:r>
      <w:r w:rsidRPr="002C5559">
        <w:rPr>
          <w:sz w:val="22"/>
          <w:szCs w:val="22"/>
        </w:rPr>
        <w:t xml:space="preserve"> une décision qu’elle a initialement rendue le 27 avril 2016 et déclar</w:t>
      </w:r>
      <w:r w:rsidR="00A07CBA" w:rsidRPr="002C5559">
        <w:rPr>
          <w:sz w:val="22"/>
          <w:szCs w:val="22"/>
        </w:rPr>
        <w:t>e</w:t>
      </w:r>
      <w:r w:rsidRPr="002C5559">
        <w:rPr>
          <w:sz w:val="22"/>
          <w:szCs w:val="22"/>
        </w:rPr>
        <w:t xml:space="preserve"> que </w:t>
      </w:r>
      <w:r w:rsidR="006A64BB" w:rsidRPr="002C5559">
        <w:rPr>
          <w:sz w:val="22"/>
          <w:szCs w:val="22"/>
        </w:rPr>
        <w:t xml:space="preserve">monsieur Gérald Lauzon, </w:t>
      </w:r>
      <w:r w:rsidRPr="002C5559">
        <w:rPr>
          <w:sz w:val="22"/>
          <w:szCs w:val="22"/>
        </w:rPr>
        <w:t>le travailleur</w:t>
      </w:r>
      <w:r w:rsidR="006A64BB" w:rsidRPr="002C5559">
        <w:rPr>
          <w:sz w:val="22"/>
          <w:szCs w:val="22"/>
        </w:rPr>
        <w:t>,</w:t>
      </w:r>
      <w:r w:rsidRPr="002C5559">
        <w:rPr>
          <w:sz w:val="22"/>
          <w:szCs w:val="22"/>
        </w:rPr>
        <w:t xml:space="preserve"> n’a pas droit au remboursement pour le service </w:t>
      </w:r>
      <w:r w:rsidR="00A07CBA" w:rsidRPr="002C5559">
        <w:rPr>
          <w:sz w:val="22"/>
          <w:szCs w:val="22"/>
        </w:rPr>
        <w:t xml:space="preserve">du </w:t>
      </w:r>
      <w:r w:rsidRPr="002C5559">
        <w:rPr>
          <w:sz w:val="22"/>
          <w:szCs w:val="22"/>
        </w:rPr>
        <w:t>professionnel de la santé réclamé, soit une prothèse</w:t>
      </w:r>
      <w:r w:rsidR="00A07CBA" w:rsidRPr="002C5559">
        <w:rPr>
          <w:sz w:val="22"/>
          <w:szCs w:val="22"/>
        </w:rPr>
        <w:t xml:space="preserve"> dentaire au coût de 733,00</w:t>
      </w:r>
      <w:r w:rsidR="00943801" w:rsidRPr="002C5559">
        <w:rPr>
          <w:sz w:val="22"/>
          <w:szCs w:val="22"/>
        </w:rPr>
        <w:t> </w:t>
      </w:r>
      <w:r w:rsidR="00A07CBA" w:rsidRPr="002C5559">
        <w:rPr>
          <w:sz w:val="22"/>
          <w:szCs w:val="22"/>
        </w:rPr>
        <w:t xml:space="preserve">$, ni </w:t>
      </w:r>
      <w:r w:rsidR="007E5492" w:rsidRPr="002C5559">
        <w:rPr>
          <w:sz w:val="22"/>
          <w:szCs w:val="22"/>
        </w:rPr>
        <w:t>aux</w:t>
      </w:r>
      <w:r w:rsidR="00A07CBA" w:rsidRPr="002C5559">
        <w:rPr>
          <w:sz w:val="22"/>
          <w:szCs w:val="22"/>
        </w:rPr>
        <w:t xml:space="preserve"> traitements prévus </w:t>
      </w:r>
      <w:proofErr w:type="gramStart"/>
      <w:r w:rsidR="00A07CBA" w:rsidRPr="002C5559">
        <w:rPr>
          <w:sz w:val="22"/>
          <w:szCs w:val="22"/>
        </w:rPr>
        <w:t>au</w:t>
      </w:r>
      <w:proofErr w:type="gramEnd"/>
      <w:r w:rsidR="00A07CBA" w:rsidRPr="002C5559">
        <w:rPr>
          <w:sz w:val="22"/>
          <w:szCs w:val="22"/>
        </w:rPr>
        <w:t xml:space="preserve"> plan dentaire pour les dents 12, 11, 22, 23 et 21.</w:t>
      </w:r>
    </w:p>
    <w:p w14:paraId="2545BC74" w14:textId="77777777" w:rsidR="001E563A" w:rsidRPr="002C5559" w:rsidRDefault="00A07CBA" w:rsidP="00ED48F7">
      <w:pPr>
        <w:pStyle w:val="corpsdedcision"/>
        <w:tabs>
          <w:tab w:val="clear" w:pos="360"/>
        </w:tabs>
        <w:rPr>
          <w:sz w:val="22"/>
          <w:szCs w:val="22"/>
        </w:rPr>
      </w:pPr>
      <w:r w:rsidRPr="002C5559">
        <w:rPr>
          <w:sz w:val="22"/>
          <w:szCs w:val="22"/>
        </w:rPr>
        <w:t>La Commission</w:t>
      </w:r>
      <w:r w:rsidR="0053706D" w:rsidRPr="002C5559">
        <w:rPr>
          <w:sz w:val="22"/>
          <w:szCs w:val="22"/>
        </w:rPr>
        <w:t>, pour sa part, présente une requête en irrecevabilité à l’encontre de la requête du travailleur.</w:t>
      </w:r>
    </w:p>
    <w:p w14:paraId="7F5B7E4F" w14:textId="77777777" w:rsidR="00476340" w:rsidRDefault="00476340">
      <w:pPr>
        <w:pStyle w:val="corpsdedcision"/>
        <w:numPr>
          <w:ilvl w:val="0"/>
          <w:numId w:val="0"/>
        </w:numPr>
      </w:pPr>
      <w:r>
        <w:rPr>
          <w:b/>
        </w:rPr>
        <w:t>L’OBJET DE LA REQUÊTE</w:t>
      </w:r>
    </w:p>
    <w:p w14:paraId="7409AA89" w14:textId="77777777" w:rsidR="00ED48F7" w:rsidRPr="002C5559" w:rsidRDefault="00ED48F7" w:rsidP="00160550">
      <w:pPr>
        <w:pStyle w:val="corpsdedcision"/>
        <w:tabs>
          <w:tab w:val="clear" w:pos="360"/>
        </w:tabs>
        <w:rPr>
          <w:sz w:val="22"/>
          <w:szCs w:val="22"/>
        </w:rPr>
      </w:pPr>
      <w:r w:rsidRPr="002C5559">
        <w:rPr>
          <w:sz w:val="22"/>
          <w:szCs w:val="22"/>
        </w:rPr>
        <w:t xml:space="preserve">Le travailleur demande </w:t>
      </w:r>
      <w:r w:rsidR="0053706D" w:rsidRPr="002C5559">
        <w:rPr>
          <w:sz w:val="22"/>
          <w:szCs w:val="22"/>
        </w:rPr>
        <w:t xml:space="preserve">donc </w:t>
      </w:r>
      <w:r w:rsidRPr="002C5559">
        <w:rPr>
          <w:sz w:val="22"/>
          <w:szCs w:val="22"/>
        </w:rPr>
        <w:t>au Tribunal d</w:t>
      </w:r>
      <w:r w:rsidR="0053706D" w:rsidRPr="002C5559">
        <w:rPr>
          <w:sz w:val="22"/>
          <w:szCs w:val="22"/>
        </w:rPr>
        <w:t>’annuler le désistement</w:t>
      </w:r>
      <w:r w:rsidR="00673BD2" w:rsidRPr="002C5559">
        <w:rPr>
          <w:sz w:val="22"/>
          <w:szCs w:val="22"/>
        </w:rPr>
        <w:t xml:space="preserve"> en cause et d’ordonner la réouverture de la contestation.</w:t>
      </w:r>
    </w:p>
    <w:p w14:paraId="31E04421" w14:textId="77777777" w:rsidR="00187C52" w:rsidRPr="002C5559" w:rsidRDefault="00187C52" w:rsidP="00160550">
      <w:pPr>
        <w:pStyle w:val="corpsdedcision"/>
        <w:tabs>
          <w:tab w:val="clear" w:pos="360"/>
        </w:tabs>
        <w:rPr>
          <w:sz w:val="22"/>
          <w:szCs w:val="22"/>
        </w:rPr>
      </w:pPr>
      <w:r w:rsidRPr="002C5559">
        <w:rPr>
          <w:sz w:val="22"/>
          <w:szCs w:val="22"/>
        </w:rPr>
        <w:t>Le représentant de la Commission, pour sa part, soulève une question préliminaire dans laquelle il soutient que le travailleur ne peut contester la décision du 8 juillet 2016 au motif qu’il a signé un désistement et une transaction, lesquels font en sorte que cette décision devient finale.</w:t>
      </w:r>
    </w:p>
    <w:p w14:paraId="03A2714C" w14:textId="77777777" w:rsidR="00630B35" w:rsidRPr="002C5559" w:rsidRDefault="00187C52" w:rsidP="00160550">
      <w:pPr>
        <w:pStyle w:val="corpsdedcision"/>
        <w:tabs>
          <w:tab w:val="clear" w:pos="360"/>
        </w:tabs>
        <w:rPr>
          <w:sz w:val="22"/>
          <w:szCs w:val="22"/>
        </w:rPr>
      </w:pPr>
      <w:r w:rsidRPr="002C5559">
        <w:rPr>
          <w:sz w:val="22"/>
          <w:szCs w:val="22"/>
        </w:rPr>
        <w:t>Comme l’objet de la requête du travailleur consiste à évaluer si le désistement doit être annulé, la question préliminaire de l’employeur sera traitée dans l’analyse de la recevabilité même de cette requête.</w:t>
      </w:r>
    </w:p>
    <w:p w14:paraId="09E112C8" w14:textId="77777777" w:rsidR="00187C52" w:rsidRPr="002C5559" w:rsidRDefault="00630B35" w:rsidP="00160550">
      <w:pPr>
        <w:pStyle w:val="corpsdedcision"/>
        <w:tabs>
          <w:tab w:val="clear" w:pos="360"/>
        </w:tabs>
        <w:rPr>
          <w:sz w:val="22"/>
          <w:szCs w:val="22"/>
        </w:rPr>
      </w:pPr>
      <w:r w:rsidRPr="002C5559">
        <w:rPr>
          <w:sz w:val="22"/>
          <w:szCs w:val="22"/>
        </w:rPr>
        <w:t xml:space="preserve">La Commission soutient également que la requête du 4 octobre 2017 a été déposée hors du délai prévu </w:t>
      </w:r>
      <w:r w:rsidR="004334E3" w:rsidRPr="002C5559">
        <w:rPr>
          <w:sz w:val="22"/>
          <w:szCs w:val="22"/>
        </w:rPr>
        <w:t>par</w:t>
      </w:r>
      <w:r w:rsidRPr="002C5559">
        <w:rPr>
          <w:sz w:val="22"/>
          <w:szCs w:val="22"/>
        </w:rPr>
        <w:t xml:space="preserve"> </w:t>
      </w:r>
      <w:r w:rsidR="004334E3" w:rsidRPr="002C5559">
        <w:rPr>
          <w:sz w:val="22"/>
          <w:szCs w:val="22"/>
        </w:rPr>
        <w:t xml:space="preserve">la </w:t>
      </w:r>
      <w:r w:rsidR="004334E3" w:rsidRPr="002C5559">
        <w:rPr>
          <w:i/>
          <w:iCs/>
          <w:sz w:val="22"/>
          <w:szCs w:val="22"/>
        </w:rPr>
        <w:t>Loi sur les accidents du travail et les maladies professionnelles</w:t>
      </w:r>
      <w:r w:rsidR="004334E3" w:rsidRPr="002C5559">
        <w:rPr>
          <w:rStyle w:val="Appelnotedebasdep"/>
          <w:sz w:val="22"/>
          <w:szCs w:val="22"/>
        </w:rPr>
        <w:footnoteReference w:id="1"/>
      </w:r>
      <w:r w:rsidR="004334E3" w:rsidRPr="002C5559">
        <w:rPr>
          <w:iCs/>
          <w:sz w:val="22"/>
          <w:szCs w:val="22"/>
        </w:rPr>
        <w:t xml:space="preserve"> (</w:t>
      </w:r>
      <w:r w:rsidRPr="002C5559">
        <w:rPr>
          <w:sz w:val="22"/>
          <w:szCs w:val="22"/>
        </w:rPr>
        <w:t>la Loi</w:t>
      </w:r>
      <w:r w:rsidR="004334E3" w:rsidRPr="002C5559">
        <w:rPr>
          <w:sz w:val="22"/>
          <w:szCs w:val="22"/>
        </w:rPr>
        <w:t>)</w:t>
      </w:r>
      <w:r w:rsidRPr="002C5559">
        <w:rPr>
          <w:sz w:val="22"/>
          <w:szCs w:val="22"/>
        </w:rPr>
        <w:t>.</w:t>
      </w:r>
    </w:p>
    <w:p w14:paraId="1A9A2F8A" w14:textId="77777777" w:rsidR="007C1797" w:rsidRDefault="007C1797">
      <w:pPr>
        <w:pStyle w:val="corpsdedcision"/>
        <w:numPr>
          <w:ilvl w:val="0"/>
          <w:numId w:val="0"/>
        </w:numPr>
      </w:pPr>
      <w:r>
        <w:rPr>
          <w:b/>
        </w:rPr>
        <w:t>LES FAITS ET LES MOTIFS</w:t>
      </w:r>
    </w:p>
    <w:p w14:paraId="281E9368" w14:textId="77777777" w:rsidR="00580AE0" w:rsidRPr="002C5559" w:rsidRDefault="00580AE0" w:rsidP="00135396">
      <w:pPr>
        <w:pStyle w:val="corpsdedcision"/>
        <w:tabs>
          <w:tab w:val="clear" w:pos="360"/>
        </w:tabs>
        <w:rPr>
          <w:sz w:val="22"/>
          <w:szCs w:val="22"/>
        </w:rPr>
      </w:pPr>
      <w:r w:rsidRPr="002C5559">
        <w:rPr>
          <w:sz w:val="22"/>
          <w:szCs w:val="22"/>
        </w:rPr>
        <w:t xml:space="preserve">Le travailleur est victime d’une lésion professionnelle </w:t>
      </w:r>
      <w:r w:rsidR="00C15D36" w:rsidRPr="002C5559">
        <w:rPr>
          <w:sz w:val="22"/>
          <w:szCs w:val="22"/>
        </w:rPr>
        <w:t xml:space="preserve">le 11 janvier 1988, lors d’un accident de la route. Parmi les diagnostics acceptés, on retrouve des contusions, lacérations et fractures multiples au visage et à la jambe droite, au pilon tibial, des fractures sous-condyliennes basses droites, une fracture de la main droite, une fracture </w:t>
      </w:r>
      <w:r w:rsidR="00135396" w:rsidRPr="002C5559">
        <w:rPr>
          <w:sz w:val="22"/>
          <w:szCs w:val="22"/>
        </w:rPr>
        <w:t xml:space="preserve">alvéolaire maxillaire supérieur des dents 13 à 18, 23 à 28, et 12 à 22, d’une fracture Le Fort 1 maxillaire supérieur, d’une fracture </w:t>
      </w:r>
      <w:proofErr w:type="spellStart"/>
      <w:r w:rsidR="00135396" w:rsidRPr="002C5559">
        <w:rPr>
          <w:sz w:val="22"/>
          <w:szCs w:val="22"/>
        </w:rPr>
        <w:t>communitive</w:t>
      </w:r>
      <w:proofErr w:type="spellEnd"/>
      <w:r w:rsidR="00135396" w:rsidRPr="002C5559">
        <w:rPr>
          <w:sz w:val="22"/>
          <w:szCs w:val="22"/>
        </w:rPr>
        <w:t xml:space="preserve"> ouverte maxillaire inférieur de la région mentonnière, d’une fracture alvéolaire maxillaire inférieur des dents 31 à 34</w:t>
      </w:r>
      <w:r w:rsidR="007E5492" w:rsidRPr="002C5559">
        <w:rPr>
          <w:sz w:val="22"/>
          <w:szCs w:val="22"/>
        </w:rPr>
        <w:t xml:space="preserve"> et</w:t>
      </w:r>
      <w:r w:rsidR="00135396" w:rsidRPr="002C5559">
        <w:rPr>
          <w:sz w:val="22"/>
          <w:szCs w:val="22"/>
        </w:rPr>
        <w:t xml:space="preserve"> une fracture luxation col condylien droit maxillaire inférieur.</w:t>
      </w:r>
    </w:p>
    <w:p w14:paraId="3809C131" w14:textId="77777777" w:rsidR="00C15D36" w:rsidRPr="002C5559" w:rsidRDefault="00C15D36" w:rsidP="00160550">
      <w:pPr>
        <w:pStyle w:val="corpsdedcision"/>
        <w:tabs>
          <w:tab w:val="clear" w:pos="360"/>
        </w:tabs>
        <w:rPr>
          <w:sz w:val="22"/>
          <w:szCs w:val="22"/>
        </w:rPr>
      </w:pPr>
      <w:r w:rsidRPr="002C5559">
        <w:rPr>
          <w:sz w:val="22"/>
          <w:szCs w:val="22"/>
        </w:rPr>
        <w:lastRenderedPageBreak/>
        <w:t>Le travailleur subit plusieurs récidives, rechutes ou aggravations de sa lésion initiale et il reçoit plusieurs traitements dentaires, incluant des ponts, couronnes et implants dentaires.</w:t>
      </w:r>
      <w:r w:rsidR="00834653" w:rsidRPr="002C5559">
        <w:rPr>
          <w:sz w:val="22"/>
          <w:szCs w:val="22"/>
        </w:rPr>
        <w:t xml:space="preserve"> </w:t>
      </w:r>
      <w:r w:rsidR="00417397" w:rsidRPr="002C5559">
        <w:rPr>
          <w:sz w:val="22"/>
          <w:szCs w:val="22"/>
        </w:rPr>
        <w:t xml:space="preserve">Il est précisé que les dents 12, 11, 21, 22, 23, 46, 35 et </w:t>
      </w:r>
      <w:r w:rsidR="00834653" w:rsidRPr="002C5559">
        <w:rPr>
          <w:sz w:val="22"/>
          <w:szCs w:val="22"/>
        </w:rPr>
        <w:t>36 étaient manquantes avant l’accident.</w:t>
      </w:r>
    </w:p>
    <w:p w14:paraId="6945486B" w14:textId="77777777" w:rsidR="00C15D36" w:rsidRPr="002C5559" w:rsidRDefault="00C15D36" w:rsidP="00160550">
      <w:pPr>
        <w:pStyle w:val="corpsdedcision"/>
        <w:tabs>
          <w:tab w:val="clear" w:pos="360"/>
        </w:tabs>
        <w:rPr>
          <w:sz w:val="22"/>
          <w:szCs w:val="22"/>
        </w:rPr>
      </w:pPr>
      <w:r w:rsidRPr="002C5559">
        <w:rPr>
          <w:sz w:val="22"/>
          <w:szCs w:val="22"/>
        </w:rPr>
        <w:t>Le 7 avril 2011, la Commission rend une décision, laquelle est finale, par laquelle elle refuse de rembourser le coût d’un plan de traitements dentaires et accepte de rembourser l’extraction de la dent 13, avec greffe osseuse, implant, installation d’une couronne sur cet implant, ainsi que l’installation d’</w:t>
      </w:r>
      <w:r w:rsidR="00EA0918" w:rsidRPr="002C5559">
        <w:rPr>
          <w:sz w:val="22"/>
          <w:szCs w:val="22"/>
        </w:rPr>
        <w:t>une couronne aux dents 24 et 25</w:t>
      </w:r>
      <w:r w:rsidRPr="002C5559">
        <w:rPr>
          <w:sz w:val="22"/>
          <w:szCs w:val="22"/>
        </w:rPr>
        <w:t xml:space="preserve"> et le traitement de la dent 47.</w:t>
      </w:r>
    </w:p>
    <w:p w14:paraId="21F825FC" w14:textId="77777777" w:rsidR="00C15D36" w:rsidRPr="002C5559" w:rsidRDefault="00C15D36" w:rsidP="00160550">
      <w:pPr>
        <w:pStyle w:val="corpsdedcision"/>
        <w:tabs>
          <w:tab w:val="clear" w:pos="360"/>
        </w:tabs>
        <w:rPr>
          <w:sz w:val="22"/>
          <w:szCs w:val="22"/>
        </w:rPr>
      </w:pPr>
      <w:r w:rsidRPr="002C5559">
        <w:rPr>
          <w:sz w:val="22"/>
          <w:szCs w:val="22"/>
        </w:rPr>
        <w:t>Le 16 mai 2011, la Commission refuse de rembourser les traitements dentaires des dents 44, 12, 22 et 23 décrit</w:t>
      </w:r>
      <w:r w:rsidR="00B62EEB" w:rsidRPr="002C5559">
        <w:rPr>
          <w:sz w:val="22"/>
          <w:szCs w:val="22"/>
        </w:rPr>
        <w:t>s</w:t>
      </w:r>
      <w:r w:rsidRPr="002C5559">
        <w:rPr>
          <w:sz w:val="22"/>
          <w:szCs w:val="22"/>
        </w:rPr>
        <w:t xml:space="preserve"> au plan de traitements du 27 avril 2011, et autorise ceux visant la dent 13.</w:t>
      </w:r>
    </w:p>
    <w:p w14:paraId="47D60AB7" w14:textId="77777777" w:rsidR="00834653" w:rsidRPr="002C5559" w:rsidRDefault="00834653" w:rsidP="00160550">
      <w:pPr>
        <w:pStyle w:val="corpsdedcision"/>
        <w:tabs>
          <w:tab w:val="clear" w:pos="360"/>
        </w:tabs>
        <w:rPr>
          <w:sz w:val="22"/>
          <w:szCs w:val="22"/>
        </w:rPr>
      </w:pPr>
      <w:r w:rsidRPr="002C5559">
        <w:rPr>
          <w:sz w:val="22"/>
          <w:szCs w:val="22"/>
        </w:rPr>
        <w:t xml:space="preserve">Dans </w:t>
      </w:r>
      <w:r w:rsidR="009C7DC7" w:rsidRPr="002C5559">
        <w:rPr>
          <w:sz w:val="22"/>
          <w:szCs w:val="22"/>
        </w:rPr>
        <w:t>une</w:t>
      </w:r>
      <w:r w:rsidRPr="002C5559">
        <w:rPr>
          <w:sz w:val="22"/>
          <w:szCs w:val="22"/>
        </w:rPr>
        <w:t xml:space="preserve"> note évolutive datée du 19 octobre 2012, la Commission précise que si le pont du travailleur est endommagé en </w:t>
      </w:r>
      <w:r w:rsidR="009C7DC7" w:rsidRPr="002C5559">
        <w:rPr>
          <w:sz w:val="22"/>
          <w:szCs w:val="22"/>
        </w:rPr>
        <w:t>effectuant</w:t>
      </w:r>
      <w:r w:rsidRPr="002C5559">
        <w:rPr>
          <w:sz w:val="22"/>
          <w:szCs w:val="22"/>
        </w:rPr>
        <w:t xml:space="preserve"> des traitements dentaires sur des dents qui font partie des dents acceptées par la Commission, </w:t>
      </w:r>
      <w:r w:rsidR="00EA0918" w:rsidRPr="002C5559">
        <w:rPr>
          <w:sz w:val="22"/>
          <w:szCs w:val="22"/>
        </w:rPr>
        <w:t>elle</w:t>
      </w:r>
      <w:r w:rsidRPr="002C5559">
        <w:rPr>
          <w:sz w:val="22"/>
          <w:szCs w:val="22"/>
        </w:rPr>
        <w:t xml:space="preserve"> sera responsable de la facture, ce qui ne sera pas le cas si le pont est endommagé par les soins apportés aux dents qui ne font pas partie de celles acceptées par la Commission.</w:t>
      </w:r>
    </w:p>
    <w:p w14:paraId="7965E3F8" w14:textId="77777777" w:rsidR="00834653" w:rsidRDefault="00834653" w:rsidP="00160550">
      <w:pPr>
        <w:pStyle w:val="corpsdedcision"/>
        <w:tabs>
          <w:tab w:val="clear" w:pos="360"/>
        </w:tabs>
      </w:pPr>
      <w:r w:rsidRPr="002C5559">
        <w:rPr>
          <w:sz w:val="22"/>
          <w:szCs w:val="22"/>
        </w:rPr>
        <w:t>Le 8 mars 2016, le travailleur demande le remboursement de services requis à la suite de dommages au pont des dents 13 à 23.</w:t>
      </w:r>
      <w:r w:rsidR="009C7DC7" w:rsidRPr="002C5559">
        <w:rPr>
          <w:sz w:val="22"/>
          <w:szCs w:val="22"/>
        </w:rPr>
        <w:t xml:space="preserve"> La Commission considère que ces traitements ne sont pas en relation avec la lésion professionnelle en cause et elle refuse le remboursement demandé par le travailleur</w:t>
      </w:r>
      <w:r w:rsidR="00E9146A" w:rsidRPr="002C5559">
        <w:rPr>
          <w:sz w:val="22"/>
          <w:szCs w:val="22"/>
        </w:rPr>
        <w:t>, dans une décision rendue le 27 avril 2016 et confirmée à la suite d’une révision administrative le 8 juillet 2016</w:t>
      </w:r>
      <w:r w:rsidR="009C7DC7" w:rsidRPr="002C5559">
        <w:rPr>
          <w:sz w:val="22"/>
          <w:szCs w:val="22"/>
        </w:rPr>
        <w:t>.</w:t>
      </w:r>
      <w:r w:rsidR="00EA0918" w:rsidRPr="002C5559">
        <w:rPr>
          <w:sz w:val="22"/>
          <w:szCs w:val="22"/>
        </w:rPr>
        <w:t xml:space="preserve"> </w:t>
      </w:r>
      <w:r w:rsidR="00E9146A" w:rsidRPr="002C5559">
        <w:rPr>
          <w:sz w:val="22"/>
          <w:szCs w:val="22"/>
        </w:rPr>
        <w:t>La Commission déclare donc ce qui suit :</w:t>
      </w:r>
    </w:p>
    <w:p w14:paraId="54E7AAF6" w14:textId="77777777" w:rsidR="00E9146A" w:rsidRDefault="00E9146A" w:rsidP="00FD1652">
      <w:pPr>
        <w:pStyle w:val="citation"/>
        <w:spacing w:after="360"/>
      </w:pPr>
      <w:r w:rsidRPr="007E5492">
        <w:rPr>
          <w:b/>
        </w:rPr>
        <w:t>DÉCLARE</w:t>
      </w:r>
      <w:r>
        <w:t xml:space="preserve"> que le travailleur n’a pas droit au remboursement pour le service du professionnel de la santé réclamé, soit une prothèse dentaire au coût de 733,00 $ ni les traitements prévus </w:t>
      </w:r>
      <w:proofErr w:type="gramStart"/>
      <w:r>
        <w:t>au</w:t>
      </w:r>
      <w:proofErr w:type="gramEnd"/>
      <w:r>
        <w:t xml:space="preserve"> plan dentaire pour les dents 12, 11, 22, 23 et 21.</w:t>
      </w:r>
    </w:p>
    <w:p w14:paraId="56968199" w14:textId="77777777" w:rsidR="009C7DC7" w:rsidRDefault="009C7DC7" w:rsidP="009C7DC7">
      <w:pPr>
        <w:pStyle w:val="corpsdedcision"/>
        <w:tabs>
          <w:tab w:val="clear" w:pos="360"/>
        </w:tabs>
      </w:pPr>
      <w:r>
        <w:t>Le travailleur conteste cette décision devant le Tribunal. Le 28 juin 201</w:t>
      </w:r>
      <w:r w:rsidR="00A860F1">
        <w:t>7</w:t>
      </w:r>
      <w:r>
        <w:t xml:space="preserve">, le travailleur signe un désistement de cette contestation, lequel est accompagné d’une transaction signée par les parties, </w:t>
      </w:r>
      <w:r w:rsidR="005C5E56">
        <w:t xml:space="preserve">tous deux déposés </w:t>
      </w:r>
      <w:r w:rsidR="00046524">
        <w:t>au dossier</w:t>
      </w:r>
      <w:r w:rsidR="005C5E56">
        <w:t xml:space="preserve">. La transaction </w:t>
      </w:r>
      <w:r>
        <w:t>prévoit, entre autre</w:t>
      </w:r>
      <w:r w:rsidR="00B62EEB">
        <w:t>s</w:t>
      </w:r>
      <w:r>
        <w:t>, ce qui suit :</w:t>
      </w:r>
    </w:p>
    <w:p w14:paraId="66F6A970" w14:textId="77777777" w:rsidR="00F40972" w:rsidRDefault="00F40972" w:rsidP="00F40972">
      <w:pPr>
        <w:pStyle w:val="citation"/>
        <w:tabs>
          <w:tab w:val="left" w:pos="1134"/>
        </w:tabs>
        <w:spacing w:after="120"/>
      </w:pPr>
      <w:r>
        <w:t>[</w:t>
      </w:r>
      <w:r w:rsidRPr="00F33E2B">
        <w:rPr>
          <w:spacing w:val="24"/>
        </w:rPr>
        <w:t>4</w:t>
      </w:r>
      <w:r>
        <w:t>]</w:t>
      </w:r>
      <w:r w:rsidR="007E5492">
        <w:tab/>
      </w:r>
      <w:r>
        <w:t>Le travailleur se désiste de la contestation qu’il a déposée auprès du Tribunal administratif du travail dans le dossier portant le numéro 632088-08-1703. Du fait de son désistement, le travailleur comprend que la décision rendue par la Commission à la suite d’une révision administrative, le 8 juillet 2016, devient fin</w:t>
      </w:r>
      <w:r w:rsidR="00E23FAC">
        <w:t>ale et irrévocable. Copie de ce</w:t>
      </w:r>
      <w:r>
        <w:t xml:space="preserve"> désistement est jointe à la présente transaction.</w:t>
      </w:r>
    </w:p>
    <w:p w14:paraId="69E11858" w14:textId="0D91280E" w:rsidR="00F40972" w:rsidRDefault="00F40972" w:rsidP="00F40972">
      <w:pPr>
        <w:pStyle w:val="citation"/>
        <w:tabs>
          <w:tab w:val="left" w:pos="1134"/>
        </w:tabs>
        <w:spacing w:after="360"/>
      </w:pPr>
      <w:r>
        <w:t>[</w:t>
      </w:r>
      <w:r w:rsidRPr="00F33E2B">
        <w:rPr>
          <w:spacing w:val="22"/>
        </w:rPr>
        <w:t>8</w:t>
      </w:r>
      <w:r>
        <w:t>]</w:t>
      </w:r>
      <w:r w:rsidR="007E5492">
        <w:tab/>
      </w:r>
      <w:r>
        <w:t>La présente transaction constitue un règlement complet et final de tout droit des parties concernant le ou les litiges réglés par cette transaction, et ne peut être invoquée autrement qu’en application de celle-ci.</w:t>
      </w:r>
    </w:p>
    <w:p w14:paraId="7B6FCF4B" w14:textId="77777777" w:rsidR="00267EC9" w:rsidRDefault="00267EC9" w:rsidP="00267EC9">
      <w:pPr>
        <w:pStyle w:val="corpsdedcision"/>
      </w:pPr>
      <w:r>
        <w:t xml:space="preserve">Le travailleur explique, à l’audience, avoir été informé, par le conciliateur, que les traitements pour le pont </w:t>
      </w:r>
      <w:r w:rsidR="007E5492">
        <w:t>(</w:t>
      </w:r>
      <w:r w:rsidRPr="007E5492">
        <w:rPr>
          <w:i/>
          <w:szCs w:val="24"/>
        </w:rPr>
        <w:t>bridge</w:t>
      </w:r>
      <w:r w:rsidR="007E5492">
        <w:t>)</w:t>
      </w:r>
      <w:r>
        <w:t xml:space="preserve"> n’étaient pas couverts par la transaction et le </w:t>
      </w:r>
      <w:r>
        <w:lastRenderedPageBreak/>
        <w:t>désistement en cause. La Commission, pour sa part, considère que le pont était bel et bien visé par la décision du 8 juillet 2016.</w:t>
      </w:r>
    </w:p>
    <w:p w14:paraId="0B705C99" w14:textId="77777777" w:rsidR="007C1797" w:rsidRPr="0073007A" w:rsidRDefault="005C5E56" w:rsidP="00626FED">
      <w:pPr>
        <w:pStyle w:val="corpsdedcision"/>
        <w:tabs>
          <w:tab w:val="clear" w:pos="360"/>
        </w:tabs>
      </w:pPr>
      <w:r>
        <w:t>Par la suite, le</w:t>
      </w:r>
      <w:r w:rsidR="007C1797" w:rsidRPr="0073007A">
        <w:t xml:space="preserve"> travailleur</w:t>
      </w:r>
      <w:r>
        <w:t xml:space="preserve"> achemine, d’abord à la Commission, puis au Tribunal, la correspondance suivante : </w:t>
      </w:r>
    </w:p>
    <w:p w14:paraId="709CFFDE" w14:textId="77777777" w:rsidR="0073007A" w:rsidRPr="007E5492" w:rsidRDefault="0073007A" w:rsidP="0073007A">
      <w:pPr>
        <w:pStyle w:val="citation"/>
        <w:spacing w:after="120"/>
        <w:rPr>
          <w:i/>
          <w:lang w:val="en-CA"/>
        </w:rPr>
      </w:pPr>
      <w:r w:rsidRPr="007E5492">
        <w:rPr>
          <w:i/>
          <w:lang w:val="en-CA"/>
        </w:rPr>
        <w:t>17</w:t>
      </w:r>
      <w:r w:rsidRPr="007E5492">
        <w:rPr>
          <w:i/>
          <w:vertAlign w:val="superscript"/>
          <w:lang w:val="en-CA"/>
        </w:rPr>
        <w:t>th</w:t>
      </w:r>
      <w:r w:rsidRPr="007E5492">
        <w:rPr>
          <w:i/>
          <w:lang w:val="en-CA"/>
        </w:rPr>
        <w:t xml:space="preserve"> of July 2017</w:t>
      </w:r>
    </w:p>
    <w:p w14:paraId="5210E0E2" w14:textId="77777777" w:rsidR="0073007A" w:rsidRPr="007E5492" w:rsidRDefault="0073007A" w:rsidP="0073007A">
      <w:pPr>
        <w:pStyle w:val="citation"/>
        <w:tabs>
          <w:tab w:val="left" w:pos="1985"/>
        </w:tabs>
        <w:spacing w:after="120"/>
        <w:rPr>
          <w:i/>
          <w:lang w:val="en-CA"/>
        </w:rPr>
      </w:pPr>
      <w:r w:rsidRPr="007E5492">
        <w:rPr>
          <w:i/>
          <w:lang w:val="en-CA"/>
        </w:rPr>
        <w:t xml:space="preserve">Dossier #: </w:t>
      </w:r>
      <w:r w:rsidRPr="007E5492">
        <w:rPr>
          <w:i/>
          <w:lang w:val="en-CA"/>
        </w:rPr>
        <w:tab/>
        <w:t>098043938</w:t>
      </w:r>
    </w:p>
    <w:p w14:paraId="6C90140B" w14:textId="77777777" w:rsidR="0073007A" w:rsidRPr="007E5492" w:rsidRDefault="0073007A" w:rsidP="0073007A">
      <w:pPr>
        <w:pStyle w:val="citation"/>
        <w:tabs>
          <w:tab w:val="left" w:pos="1985"/>
        </w:tabs>
        <w:spacing w:after="120"/>
        <w:rPr>
          <w:i/>
          <w:lang w:val="en-CA"/>
        </w:rPr>
      </w:pPr>
      <w:r w:rsidRPr="007E5492">
        <w:rPr>
          <w:i/>
          <w:lang w:val="en-CA"/>
        </w:rPr>
        <w:t xml:space="preserve">Attention: </w:t>
      </w:r>
      <w:r w:rsidRPr="007E5492">
        <w:rPr>
          <w:i/>
          <w:lang w:val="en-CA"/>
        </w:rPr>
        <w:tab/>
        <w:t>Diane Savard</w:t>
      </w:r>
    </w:p>
    <w:p w14:paraId="6E5DD0F2" w14:textId="77777777" w:rsidR="0073007A" w:rsidRPr="007E5492" w:rsidRDefault="0073007A" w:rsidP="0073007A">
      <w:pPr>
        <w:pStyle w:val="citation"/>
        <w:tabs>
          <w:tab w:val="left" w:pos="1701"/>
          <w:tab w:val="left" w:pos="1985"/>
        </w:tabs>
        <w:spacing w:after="120"/>
        <w:rPr>
          <w:i/>
          <w:lang w:val="en-CA"/>
        </w:rPr>
      </w:pPr>
      <w:r w:rsidRPr="007E5492">
        <w:rPr>
          <w:i/>
          <w:lang w:val="en-CA"/>
        </w:rPr>
        <w:t xml:space="preserve">Subject: </w:t>
      </w:r>
      <w:r w:rsidRPr="007E5492">
        <w:rPr>
          <w:i/>
          <w:lang w:val="en-CA"/>
        </w:rPr>
        <w:tab/>
      </w:r>
      <w:r w:rsidRPr="007E5492">
        <w:rPr>
          <w:i/>
          <w:lang w:val="en-CA"/>
        </w:rPr>
        <w:tab/>
        <w:t>Refile request that the revision dated July 8th</w:t>
      </w:r>
      <w:proofErr w:type="gramStart"/>
      <w:r w:rsidRPr="007E5492">
        <w:rPr>
          <w:i/>
          <w:lang w:val="en-CA"/>
        </w:rPr>
        <w:t xml:space="preserve"> 2016</w:t>
      </w:r>
      <w:proofErr w:type="gramEnd"/>
      <w:r w:rsidRPr="007E5492">
        <w:rPr>
          <w:i/>
          <w:lang w:val="en-CA"/>
        </w:rPr>
        <w:t xml:space="preserve"> be contested</w:t>
      </w:r>
    </w:p>
    <w:p w14:paraId="2025C3EF" w14:textId="77777777" w:rsidR="0073007A" w:rsidRPr="007E5492" w:rsidRDefault="0073007A" w:rsidP="0073007A">
      <w:pPr>
        <w:pStyle w:val="citation"/>
        <w:rPr>
          <w:i/>
          <w:lang w:val="en-CA"/>
        </w:rPr>
      </w:pPr>
      <w:r w:rsidRPr="007E5492">
        <w:rPr>
          <w:i/>
          <w:lang w:val="en-CA"/>
        </w:rPr>
        <w:t>The hearing with the Tribunal dated July 25</w:t>
      </w:r>
      <w:r w:rsidRPr="007E5492">
        <w:rPr>
          <w:i/>
          <w:vertAlign w:val="superscript"/>
          <w:lang w:val="en-CA"/>
        </w:rPr>
        <w:t>th</w:t>
      </w:r>
      <w:proofErr w:type="gramStart"/>
      <w:r w:rsidRPr="007E5492">
        <w:rPr>
          <w:i/>
          <w:lang w:val="en-CA"/>
        </w:rPr>
        <w:t xml:space="preserve"> 2015</w:t>
      </w:r>
      <w:proofErr w:type="gramEnd"/>
      <w:r w:rsidRPr="007E5492">
        <w:rPr>
          <w:i/>
          <w:lang w:val="en-CA"/>
        </w:rPr>
        <w:t xml:space="preserve"> has been settled through the conciliation procedure. The final documents </w:t>
      </w:r>
      <w:proofErr w:type="gramStart"/>
      <w:r w:rsidRPr="007E5492">
        <w:rPr>
          <w:i/>
          <w:lang w:val="en-CA"/>
        </w:rPr>
        <w:t>in regards to</w:t>
      </w:r>
      <w:proofErr w:type="gramEnd"/>
      <w:r w:rsidRPr="007E5492">
        <w:rPr>
          <w:i/>
          <w:lang w:val="en-CA"/>
        </w:rPr>
        <w:t xml:space="preserve"> the cost of the temporary dentures have been signed by myself and sent to be filed and registered with Paquet Tellier avocats.</w:t>
      </w:r>
    </w:p>
    <w:p w14:paraId="63DA7094" w14:textId="77777777" w:rsidR="0073007A" w:rsidRPr="007E5492" w:rsidRDefault="0073007A" w:rsidP="0073007A">
      <w:pPr>
        <w:pStyle w:val="citation"/>
        <w:spacing w:after="120"/>
        <w:rPr>
          <w:i/>
          <w:lang w:val="en-CA"/>
        </w:rPr>
      </w:pPr>
      <w:r w:rsidRPr="007E5492">
        <w:rPr>
          <w:i/>
          <w:lang w:val="en-CA"/>
        </w:rPr>
        <w:t xml:space="preserve">During my conversations with the conciliation representative Louis Charbonneau, it was brought to my attention that the hearing was only </w:t>
      </w:r>
      <w:proofErr w:type="gramStart"/>
      <w:r w:rsidRPr="007E5492">
        <w:rPr>
          <w:i/>
          <w:lang w:val="en-CA"/>
        </w:rPr>
        <w:t>in regards to</w:t>
      </w:r>
      <w:proofErr w:type="gramEnd"/>
      <w:r w:rsidRPr="007E5492">
        <w:rPr>
          <w:i/>
          <w:lang w:val="en-CA"/>
        </w:rPr>
        <w:t xml:space="preserve"> the payment of the temporary dentures for the sum of $733.00. </w:t>
      </w:r>
      <w:proofErr w:type="gramStart"/>
      <w:r w:rsidRPr="007E5492">
        <w:rPr>
          <w:i/>
          <w:lang w:val="en-CA"/>
        </w:rPr>
        <w:t>All of</w:t>
      </w:r>
      <w:proofErr w:type="gramEnd"/>
      <w:r w:rsidRPr="007E5492">
        <w:rPr>
          <w:i/>
          <w:lang w:val="en-CA"/>
        </w:rPr>
        <w:t xml:space="preserve"> this time I was preparing myself to defend both the cost of the temporary dentures and the replacement of the bridge.</w:t>
      </w:r>
    </w:p>
    <w:p w14:paraId="4E1DC5EA" w14:textId="77777777" w:rsidR="0073007A" w:rsidRPr="007E5492" w:rsidRDefault="0073007A" w:rsidP="0073007A">
      <w:pPr>
        <w:pStyle w:val="citation"/>
        <w:spacing w:after="120"/>
        <w:rPr>
          <w:i/>
          <w:lang w:val="en-CA"/>
        </w:rPr>
      </w:pPr>
      <w:r w:rsidRPr="007E5492">
        <w:rPr>
          <w:i/>
          <w:lang w:val="en-CA"/>
        </w:rPr>
        <w:t xml:space="preserve">In my </w:t>
      </w:r>
      <w:r w:rsidRPr="007E5492">
        <w:rPr>
          <w:rFonts w:cs="Arial"/>
          <w:i/>
          <w:sz w:val="18"/>
          <w:szCs w:val="18"/>
          <w:lang w:val="en-CA"/>
        </w:rPr>
        <w:t>"</w:t>
      </w:r>
      <w:r w:rsidRPr="007E5492">
        <w:rPr>
          <w:rFonts w:cs="Arial"/>
          <w:i/>
          <w:sz w:val="22"/>
          <w:szCs w:val="22"/>
          <w:lang w:val="en-CA"/>
        </w:rPr>
        <w:t xml:space="preserve"> </w:t>
      </w:r>
      <w:proofErr w:type="spellStart"/>
      <w:r w:rsidRPr="007E5492">
        <w:rPr>
          <w:i/>
          <w:lang w:val="en-CA"/>
        </w:rPr>
        <w:t>Formulaire</w:t>
      </w:r>
      <w:proofErr w:type="spellEnd"/>
      <w:r w:rsidRPr="007E5492">
        <w:rPr>
          <w:i/>
          <w:lang w:val="en-CA"/>
        </w:rPr>
        <w:t xml:space="preserve"> de Contestation” I was contesting the complete decision of the Bureau de revision dated the 8</w:t>
      </w:r>
      <w:r w:rsidRPr="007E5492">
        <w:rPr>
          <w:i/>
          <w:vertAlign w:val="superscript"/>
          <w:lang w:val="en-CA"/>
        </w:rPr>
        <w:t>th</w:t>
      </w:r>
      <w:r w:rsidRPr="007E5492">
        <w:rPr>
          <w:i/>
          <w:lang w:val="en-CA"/>
        </w:rPr>
        <w:t xml:space="preserve"> of July 2016. The revision and decision </w:t>
      </w:r>
      <w:proofErr w:type="gramStart"/>
      <w:r w:rsidRPr="007E5492">
        <w:rPr>
          <w:i/>
          <w:lang w:val="en-CA"/>
        </w:rPr>
        <w:t>was</w:t>
      </w:r>
      <w:proofErr w:type="gramEnd"/>
      <w:r w:rsidRPr="007E5492">
        <w:rPr>
          <w:i/>
          <w:lang w:val="en-CA"/>
        </w:rPr>
        <w:t xml:space="preserve"> based on the cost of temporary dentures and the dental plan for the teeth 12, 11, 22, 23 and 21.</w:t>
      </w:r>
    </w:p>
    <w:p w14:paraId="673E8E47" w14:textId="77777777" w:rsidR="0073007A" w:rsidRPr="007E5492" w:rsidRDefault="0073007A" w:rsidP="0073007A">
      <w:pPr>
        <w:pStyle w:val="citation"/>
        <w:spacing w:after="120"/>
        <w:rPr>
          <w:i/>
          <w:lang w:val="en-CA"/>
        </w:rPr>
      </w:pPr>
      <w:r w:rsidRPr="007E5492">
        <w:rPr>
          <w:i/>
          <w:lang w:val="en-CA"/>
        </w:rPr>
        <w:t>As of this date I have not received a copy of the decision dated the 8</w:t>
      </w:r>
      <w:r w:rsidRPr="007E5492">
        <w:rPr>
          <w:i/>
          <w:vertAlign w:val="superscript"/>
          <w:lang w:val="en-CA"/>
        </w:rPr>
        <w:t>th</w:t>
      </w:r>
      <w:r w:rsidRPr="007E5492">
        <w:rPr>
          <w:i/>
          <w:lang w:val="en-CA"/>
        </w:rPr>
        <w:t xml:space="preserve"> of July 2016 in English. The request to have </w:t>
      </w:r>
      <w:proofErr w:type="gramStart"/>
      <w:r w:rsidRPr="007E5492">
        <w:rPr>
          <w:i/>
          <w:lang w:val="en-CA"/>
        </w:rPr>
        <w:t>all of</w:t>
      </w:r>
      <w:proofErr w:type="gramEnd"/>
      <w:r w:rsidRPr="007E5492">
        <w:rPr>
          <w:i/>
          <w:lang w:val="en-CA"/>
        </w:rPr>
        <w:t xml:space="preserve"> my correspondence transmitted to me in English was documented in my files many years ago and I have mentioned it to all of the conciliators over the past years. The failure to do so can only bring confusion.</w:t>
      </w:r>
    </w:p>
    <w:p w14:paraId="65E525B0" w14:textId="77777777" w:rsidR="0073007A" w:rsidRPr="007E5492" w:rsidRDefault="0073007A" w:rsidP="0073007A">
      <w:pPr>
        <w:pStyle w:val="citation"/>
        <w:spacing w:after="120"/>
        <w:rPr>
          <w:i/>
          <w:lang w:val="en-CA"/>
        </w:rPr>
      </w:pPr>
      <w:r w:rsidRPr="007E5492">
        <w:rPr>
          <w:i/>
          <w:lang w:val="en-CA"/>
        </w:rPr>
        <w:t xml:space="preserve">At this </w:t>
      </w:r>
      <w:proofErr w:type="gramStart"/>
      <w:r w:rsidRPr="007E5492">
        <w:rPr>
          <w:i/>
          <w:lang w:val="en-CA"/>
        </w:rPr>
        <w:t>time</w:t>
      </w:r>
      <w:proofErr w:type="gramEnd"/>
      <w:r w:rsidRPr="007E5492">
        <w:rPr>
          <w:i/>
          <w:lang w:val="en-CA"/>
        </w:rPr>
        <w:t xml:space="preserve"> I am restating my previous request that the revision dated </w:t>
      </w:r>
      <w:proofErr w:type="spellStart"/>
      <w:r w:rsidRPr="007E5492">
        <w:rPr>
          <w:i/>
          <w:lang w:val="en-CA"/>
        </w:rPr>
        <w:t>JuIy</w:t>
      </w:r>
      <w:proofErr w:type="spellEnd"/>
      <w:r w:rsidRPr="007E5492">
        <w:rPr>
          <w:i/>
          <w:lang w:val="en-CA"/>
        </w:rPr>
        <w:t xml:space="preserve"> 8</w:t>
      </w:r>
      <w:r w:rsidRPr="007E5492">
        <w:rPr>
          <w:i/>
          <w:vertAlign w:val="superscript"/>
          <w:lang w:val="en-CA"/>
        </w:rPr>
        <w:t>th</w:t>
      </w:r>
      <w:r w:rsidRPr="007E5492">
        <w:rPr>
          <w:i/>
          <w:lang w:val="en-CA"/>
        </w:rPr>
        <w:t xml:space="preserve"> 2016 be contested. If you were not able to understand my motive it then falls to you to contact me for clarification.</w:t>
      </w:r>
    </w:p>
    <w:p w14:paraId="22E3C05C" w14:textId="77777777" w:rsidR="0073007A" w:rsidRPr="007E5492" w:rsidRDefault="0073007A" w:rsidP="0073007A">
      <w:pPr>
        <w:pStyle w:val="citation"/>
        <w:spacing w:after="360"/>
        <w:rPr>
          <w:i/>
          <w:lang w:val="en-CA"/>
        </w:rPr>
      </w:pPr>
      <w:r w:rsidRPr="007E5492">
        <w:rPr>
          <w:i/>
          <w:lang w:val="en-CA"/>
        </w:rPr>
        <w:t>Thank you for your understanding.</w:t>
      </w:r>
    </w:p>
    <w:p w14:paraId="165740B9" w14:textId="77777777" w:rsidR="005C5E56" w:rsidRDefault="005C5E56" w:rsidP="00160550">
      <w:pPr>
        <w:pStyle w:val="corpsdedcision"/>
        <w:tabs>
          <w:tab w:val="clear" w:pos="360"/>
        </w:tabs>
      </w:pPr>
      <w:r>
        <w:t>Cette corresponda</w:t>
      </w:r>
      <w:r w:rsidR="00267EC9">
        <w:t>n</w:t>
      </w:r>
      <w:r>
        <w:t>ce du travailleur sera considérée comme étant une requête en annulation de désistement</w:t>
      </w:r>
      <w:r w:rsidR="00267EC9">
        <w:t>, dont le présent Tribunal est saisi.</w:t>
      </w:r>
    </w:p>
    <w:p w14:paraId="2C5AAEA2" w14:textId="77777777" w:rsidR="006E355F" w:rsidRDefault="006E355F" w:rsidP="00210997">
      <w:pPr>
        <w:pStyle w:val="corpsdedcision"/>
        <w:keepNext/>
        <w:tabs>
          <w:tab w:val="clear" w:pos="360"/>
        </w:tabs>
      </w:pPr>
      <w:r w:rsidRPr="009878D9">
        <w:t xml:space="preserve">La requête du travailleur est </w:t>
      </w:r>
      <w:r w:rsidR="002F71B6">
        <w:t xml:space="preserve">donc </w:t>
      </w:r>
      <w:r w:rsidRPr="009878D9">
        <w:t>datée du 17 juillet 2017</w:t>
      </w:r>
      <w:r w:rsidR="00943801" w:rsidRPr="009878D9">
        <w:t>, mais elle est reçue au T</w:t>
      </w:r>
      <w:r w:rsidRPr="009878D9">
        <w:t xml:space="preserve">ribunal le 4 octobre 2017, accompagnée d’une </w:t>
      </w:r>
      <w:r w:rsidR="00626FED">
        <w:t>correspondance</w:t>
      </w:r>
      <w:r w:rsidRPr="009878D9">
        <w:t xml:space="preserve"> </w:t>
      </w:r>
      <w:r w:rsidR="00EA0918">
        <w:t xml:space="preserve">qui précise qu’il a été </w:t>
      </w:r>
      <w:r w:rsidR="00106CCF">
        <w:t>informé</w:t>
      </w:r>
      <w:r w:rsidRPr="009878D9">
        <w:t xml:space="preserve"> que sa</w:t>
      </w:r>
      <w:r w:rsidR="00943801" w:rsidRPr="009878D9">
        <w:t xml:space="preserve"> </w:t>
      </w:r>
      <w:r w:rsidR="00046524">
        <w:t>lettre</w:t>
      </w:r>
      <w:r w:rsidR="00943801" w:rsidRPr="009878D9">
        <w:t xml:space="preserve"> devait être envoyée au T</w:t>
      </w:r>
      <w:r w:rsidRPr="009878D9">
        <w:t>ribunal et non pas à</w:t>
      </w:r>
      <w:r>
        <w:t xml:space="preserve"> la Commission :</w:t>
      </w:r>
    </w:p>
    <w:p w14:paraId="2DEA43E3" w14:textId="77777777" w:rsidR="0073007A" w:rsidRPr="007E5492" w:rsidRDefault="0073007A" w:rsidP="00626FED">
      <w:pPr>
        <w:pStyle w:val="citation"/>
        <w:keepNext/>
        <w:spacing w:after="120"/>
        <w:rPr>
          <w:i/>
        </w:rPr>
      </w:pPr>
      <w:r w:rsidRPr="007E5492">
        <w:rPr>
          <w:i/>
        </w:rPr>
        <w:t xml:space="preserve">Tuesday, </w:t>
      </w:r>
      <w:proofErr w:type="spellStart"/>
      <w:r w:rsidRPr="007E5492">
        <w:rPr>
          <w:i/>
        </w:rPr>
        <w:t>October</w:t>
      </w:r>
      <w:proofErr w:type="spellEnd"/>
      <w:r w:rsidRPr="007E5492">
        <w:rPr>
          <w:i/>
        </w:rPr>
        <w:t xml:space="preserve"> 03, 2017</w:t>
      </w:r>
    </w:p>
    <w:p w14:paraId="0F3B1670" w14:textId="77777777" w:rsidR="0073007A" w:rsidRPr="007E5492" w:rsidRDefault="0073007A" w:rsidP="00996DF8">
      <w:pPr>
        <w:pStyle w:val="citation"/>
        <w:tabs>
          <w:tab w:val="left" w:pos="1701"/>
        </w:tabs>
        <w:spacing w:after="120"/>
        <w:rPr>
          <w:i/>
        </w:rPr>
      </w:pPr>
      <w:r w:rsidRPr="007E5492">
        <w:rPr>
          <w:i/>
        </w:rPr>
        <w:t xml:space="preserve">Dossier (TAT) </w:t>
      </w:r>
      <w:r w:rsidR="00996DF8" w:rsidRPr="007E5492">
        <w:rPr>
          <w:i/>
        </w:rPr>
        <w:tab/>
      </w:r>
      <w:r w:rsidRPr="007E5492">
        <w:rPr>
          <w:i/>
        </w:rPr>
        <w:t>632088 08 1703</w:t>
      </w:r>
    </w:p>
    <w:p w14:paraId="68D8784A" w14:textId="77777777" w:rsidR="0073007A" w:rsidRPr="007E5492" w:rsidRDefault="0073007A" w:rsidP="00996DF8">
      <w:pPr>
        <w:pStyle w:val="citation"/>
        <w:spacing w:after="120"/>
        <w:rPr>
          <w:i/>
        </w:rPr>
      </w:pPr>
      <w:r w:rsidRPr="007E5492">
        <w:rPr>
          <w:i/>
        </w:rPr>
        <w:t>Dossier (CNESST/20)</w:t>
      </w:r>
    </w:p>
    <w:p w14:paraId="538B9229" w14:textId="77777777" w:rsidR="0073007A" w:rsidRPr="007E5492" w:rsidRDefault="0073007A" w:rsidP="00996DF8">
      <w:pPr>
        <w:pStyle w:val="citation"/>
        <w:spacing w:after="120"/>
        <w:rPr>
          <w:i/>
          <w:lang w:val="en-CA"/>
        </w:rPr>
      </w:pPr>
      <w:r w:rsidRPr="007E5492">
        <w:rPr>
          <w:i/>
          <w:lang w:val="en-CA"/>
        </w:rPr>
        <w:t>To the attention of the Tribunal administrative du travail</w:t>
      </w:r>
    </w:p>
    <w:p w14:paraId="2C732296" w14:textId="77777777" w:rsidR="0073007A" w:rsidRPr="007E5492" w:rsidRDefault="00996DF8" w:rsidP="00996DF8">
      <w:pPr>
        <w:pStyle w:val="citation"/>
        <w:spacing w:after="120"/>
        <w:rPr>
          <w:i/>
          <w:lang w:val="en-CA"/>
        </w:rPr>
      </w:pPr>
      <w:r w:rsidRPr="007E5492">
        <w:rPr>
          <w:i/>
          <w:lang w:val="en-CA"/>
        </w:rPr>
        <w:t>I</w:t>
      </w:r>
      <w:r w:rsidR="0073007A" w:rsidRPr="007E5492">
        <w:rPr>
          <w:i/>
          <w:lang w:val="en-CA"/>
        </w:rPr>
        <w:t>t has been brought to my attention that my letter dated the 17</w:t>
      </w:r>
      <w:r w:rsidR="0073007A" w:rsidRPr="007E5492">
        <w:rPr>
          <w:i/>
          <w:vertAlign w:val="superscript"/>
          <w:lang w:val="en-CA"/>
        </w:rPr>
        <w:t>th</w:t>
      </w:r>
      <w:r w:rsidR="0073007A" w:rsidRPr="007E5492">
        <w:rPr>
          <w:i/>
          <w:lang w:val="en-CA"/>
        </w:rPr>
        <w:t xml:space="preserve"> of July 2017 should </w:t>
      </w:r>
      <w:r w:rsidR="00046524" w:rsidRPr="007E5492">
        <w:rPr>
          <w:i/>
          <w:lang w:val="en-CA"/>
        </w:rPr>
        <w:t>have been sent to the TAT and n</w:t>
      </w:r>
      <w:r w:rsidR="0073007A" w:rsidRPr="007E5492">
        <w:rPr>
          <w:i/>
          <w:lang w:val="en-CA"/>
        </w:rPr>
        <w:t>ot the CNESST/RA.</w:t>
      </w:r>
    </w:p>
    <w:p w14:paraId="5802995A" w14:textId="77777777" w:rsidR="0073007A" w:rsidRPr="007E5492" w:rsidRDefault="0073007A" w:rsidP="00996DF8">
      <w:pPr>
        <w:pStyle w:val="citation"/>
        <w:spacing w:after="120"/>
        <w:rPr>
          <w:i/>
          <w:lang w:val="en-CA"/>
        </w:rPr>
      </w:pPr>
      <w:r w:rsidRPr="007E5492">
        <w:rPr>
          <w:i/>
          <w:lang w:val="en-CA"/>
        </w:rPr>
        <w:lastRenderedPageBreak/>
        <w:t xml:space="preserve">I am requesting that this file be reopened. If by chance the hearing did include the bridge and the temporary </w:t>
      </w:r>
      <w:proofErr w:type="gramStart"/>
      <w:r w:rsidRPr="007E5492">
        <w:rPr>
          <w:i/>
          <w:lang w:val="en-CA"/>
        </w:rPr>
        <w:t>dentures</w:t>
      </w:r>
      <w:proofErr w:type="gramEnd"/>
      <w:r w:rsidRPr="007E5492">
        <w:rPr>
          <w:i/>
          <w:lang w:val="en-CA"/>
        </w:rPr>
        <w:t xml:space="preserve"> then I was misinformed by my representative of the TAT. At the time that the hearing was scheduled to be heard I was fully prepared to argue both the temporary dentures and the bridge.</w:t>
      </w:r>
    </w:p>
    <w:p w14:paraId="76C1E8C2" w14:textId="77777777" w:rsidR="0073007A" w:rsidRPr="007E5492" w:rsidRDefault="0073007A" w:rsidP="00996DF8">
      <w:pPr>
        <w:pStyle w:val="citation"/>
        <w:spacing w:after="120"/>
        <w:rPr>
          <w:i/>
          <w:lang w:val="en-CA"/>
        </w:rPr>
      </w:pPr>
      <w:r w:rsidRPr="007E5492">
        <w:rPr>
          <w:i/>
          <w:lang w:val="en-CA"/>
        </w:rPr>
        <w:t xml:space="preserve">I find that the CNESST have not been upcoming with the information in English as I have requested over the years. This continues to bring confusion into the dossier. I do not know how this subject of replacing the bridge could ever be in contention as they promise in writing to replace them. They, the CNESST, seem to be wasting every </w:t>
      </w:r>
      <w:proofErr w:type="gramStart"/>
      <w:r w:rsidRPr="007E5492">
        <w:rPr>
          <w:i/>
          <w:lang w:val="en-CA"/>
        </w:rPr>
        <w:t>ones</w:t>
      </w:r>
      <w:proofErr w:type="gramEnd"/>
      <w:r w:rsidRPr="007E5492">
        <w:rPr>
          <w:i/>
          <w:lang w:val="en-CA"/>
        </w:rPr>
        <w:t xml:space="preserve"> time. If needed I am ready again to contest </w:t>
      </w:r>
      <w:proofErr w:type="gramStart"/>
      <w:r w:rsidRPr="007E5492">
        <w:rPr>
          <w:i/>
          <w:lang w:val="en-CA"/>
        </w:rPr>
        <w:t>there</w:t>
      </w:r>
      <w:proofErr w:type="gramEnd"/>
      <w:r w:rsidRPr="007E5492">
        <w:rPr>
          <w:i/>
          <w:lang w:val="en-CA"/>
        </w:rPr>
        <w:t xml:space="preserve"> decision.</w:t>
      </w:r>
    </w:p>
    <w:p w14:paraId="080B5D3B" w14:textId="77777777" w:rsidR="0073007A" w:rsidRPr="007E5492" w:rsidRDefault="0073007A" w:rsidP="00996DF8">
      <w:pPr>
        <w:pStyle w:val="citation"/>
        <w:spacing w:after="120"/>
        <w:rPr>
          <w:i/>
          <w:lang w:val="en-CA"/>
        </w:rPr>
      </w:pPr>
      <w:r w:rsidRPr="007E5492">
        <w:rPr>
          <w:i/>
          <w:lang w:val="en-CA"/>
        </w:rPr>
        <w:t>I thank you for taking the time to review my request and hopefully giving me the right to argue the decision taken by the CNESST/RA.</w:t>
      </w:r>
    </w:p>
    <w:p w14:paraId="37045290" w14:textId="77777777" w:rsidR="00996DF8" w:rsidRPr="007E5492" w:rsidRDefault="00996DF8" w:rsidP="00996DF8">
      <w:pPr>
        <w:pStyle w:val="citation"/>
        <w:spacing w:after="360"/>
        <w:rPr>
          <w:i/>
        </w:rPr>
      </w:pPr>
      <w:proofErr w:type="spellStart"/>
      <w:r w:rsidRPr="007E5492">
        <w:rPr>
          <w:i/>
        </w:rPr>
        <w:t>Your’s</w:t>
      </w:r>
      <w:proofErr w:type="spellEnd"/>
      <w:r w:rsidRPr="007E5492">
        <w:rPr>
          <w:i/>
        </w:rPr>
        <w:t xml:space="preserve"> </w:t>
      </w:r>
      <w:proofErr w:type="spellStart"/>
      <w:r w:rsidRPr="007E5492">
        <w:rPr>
          <w:i/>
        </w:rPr>
        <w:t>respectively</w:t>
      </w:r>
      <w:proofErr w:type="spellEnd"/>
    </w:p>
    <w:p w14:paraId="3BE025A5" w14:textId="77777777" w:rsidR="006E355F" w:rsidRDefault="006E355F" w:rsidP="006E355F">
      <w:pPr>
        <w:pStyle w:val="corpsdedcision"/>
      </w:pPr>
      <w:r>
        <w:t xml:space="preserve">Avant d’évaluer le bien-fondé de la requête, le Tribunal </w:t>
      </w:r>
      <w:r w:rsidR="00EA0918">
        <w:t xml:space="preserve">doit </w:t>
      </w:r>
      <w:r>
        <w:t>d’</w:t>
      </w:r>
      <w:r w:rsidR="00EA0918">
        <w:t xml:space="preserve">abord </w:t>
      </w:r>
      <w:r>
        <w:t>examiner le délai dans lequel celle-ci a été formulée.</w:t>
      </w:r>
    </w:p>
    <w:p w14:paraId="211101C9" w14:textId="77777777" w:rsidR="006E355F" w:rsidRPr="009878D9" w:rsidRDefault="006E355F" w:rsidP="00EE241B">
      <w:pPr>
        <w:pStyle w:val="corpsdedcision"/>
        <w:tabs>
          <w:tab w:val="clear" w:pos="360"/>
        </w:tabs>
      </w:pPr>
      <w:r w:rsidRPr="009878D9">
        <w:t xml:space="preserve">La requête en annulation de désistement </w:t>
      </w:r>
      <w:r w:rsidR="00EE241B" w:rsidRPr="009878D9">
        <w:t>n’est pas prévue de manière spécifique</w:t>
      </w:r>
      <w:r w:rsidRPr="009878D9">
        <w:t xml:space="preserve"> </w:t>
      </w:r>
      <w:r w:rsidR="00943801" w:rsidRPr="009878D9">
        <w:t>par la Loi.</w:t>
      </w:r>
    </w:p>
    <w:p w14:paraId="247E4381" w14:textId="77777777" w:rsidR="006E355F" w:rsidRPr="009878D9" w:rsidRDefault="00275115" w:rsidP="006E355F">
      <w:pPr>
        <w:pStyle w:val="corpsdedcision"/>
        <w:tabs>
          <w:tab w:val="clear" w:pos="360"/>
        </w:tabs>
      </w:pPr>
      <w:r w:rsidRPr="00275115">
        <w:t>Aussi, e</w:t>
      </w:r>
      <w:r w:rsidR="006E355F" w:rsidRPr="00275115">
        <w:t>n l’</w:t>
      </w:r>
      <w:r w:rsidR="00A52F1E">
        <w:t xml:space="preserve">absence de délai prévu </w:t>
      </w:r>
      <w:r w:rsidR="006E355F" w:rsidRPr="00275115">
        <w:t xml:space="preserve">pour déposer une telle requête, il </w:t>
      </w:r>
      <w:r w:rsidRPr="00275115">
        <w:t xml:space="preserve">y a lieu de s’en remettre à la jurisprudence, laquelle a </w:t>
      </w:r>
      <w:r w:rsidRPr="009878D9">
        <w:t xml:space="preserve">établi que ce recours </w:t>
      </w:r>
      <w:r w:rsidR="006E355F" w:rsidRPr="009878D9">
        <w:t>doit être exercé dans le même délai que cel</w:t>
      </w:r>
      <w:r w:rsidR="00943801" w:rsidRPr="009878D9">
        <w:t>ui prévu à l’article 359 de la L</w:t>
      </w:r>
      <w:r w:rsidR="006E355F" w:rsidRPr="009878D9">
        <w:t>oi pour le dépôt d’une contestation d’une décision rendue par la C</w:t>
      </w:r>
      <w:r w:rsidR="00DA22C7">
        <w:t>ommission</w:t>
      </w:r>
      <w:r w:rsidR="006E355F" w:rsidRPr="009878D9">
        <w:t xml:space="preserve"> à la suite d’une révision administrative, soit 45 jours</w:t>
      </w:r>
      <w:r w:rsidR="006E355F" w:rsidRPr="009878D9">
        <w:rPr>
          <w:rStyle w:val="Appelnotedebasdep"/>
        </w:rPr>
        <w:footnoteReference w:id="2"/>
      </w:r>
      <w:r w:rsidR="006E355F" w:rsidRPr="009878D9">
        <w:t>.</w:t>
      </w:r>
    </w:p>
    <w:p w14:paraId="1AF06A48" w14:textId="77777777" w:rsidR="00A805B3" w:rsidRDefault="00A805B3" w:rsidP="00210997">
      <w:pPr>
        <w:pStyle w:val="corpsdedcision"/>
        <w:keepLines/>
      </w:pPr>
      <w:r>
        <w:t xml:space="preserve">En l’espèce, la requête est reçue plus de </w:t>
      </w:r>
      <w:r w:rsidR="00724D03">
        <w:t>90</w:t>
      </w:r>
      <w:r>
        <w:t xml:space="preserve"> jours</w:t>
      </w:r>
      <w:r w:rsidR="00EA0918">
        <w:t xml:space="preserve"> après le désistement</w:t>
      </w:r>
      <w:r>
        <w:t xml:space="preserve">, donc après l’expiration du délai en cause. Il y a donc lieu de se demander si le travailleur a démontré, par une preuve prépondérante, l’existence d’un motif raisonnable permettant de le relever de ce défaut, tel que le permet l’article 15 de la </w:t>
      </w:r>
      <w:r w:rsidRPr="00C57EEB">
        <w:rPr>
          <w:i/>
        </w:rPr>
        <w:t>Loi instituant le Tribunal administratif du travail</w:t>
      </w:r>
      <w:r>
        <w:rPr>
          <w:rStyle w:val="Appelnotedebasdep"/>
        </w:rPr>
        <w:footnoteReference w:id="3"/>
      </w:r>
      <w:r w:rsidR="00E24D4E">
        <w:rPr>
          <w:i/>
        </w:rPr>
        <w:t xml:space="preserve"> </w:t>
      </w:r>
      <w:r w:rsidR="00E24D4E">
        <w:t>(la LITAT)</w:t>
      </w:r>
      <w:r>
        <w:rPr>
          <w:i/>
        </w:rPr>
        <w:t> </w:t>
      </w:r>
      <w:r>
        <w:t>:</w:t>
      </w:r>
    </w:p>
    <w:p w14:paraId="142A0B66" w14:textId="77777777" w:rsidR="00A805B3" w:rsidRDefault="00A805B3" w:rsidP="009878D9">
      <w:pPr>
        <w:pStyle w:val="articlesdelaLSST"/>
        <w:spacing w:after="360"/>
      </w:pPr>
      <w:r w:rsidRPr="001D357F">
        <w:rPr>
          <w:b/>
          <w:bCs/>
        </w:rPr>
        <w:t>15.</w:t>
      </w:r>
      <w:r>
        <w:t xml:space="preserve"> Le Tribunal peut prolonger un délai ou relever une personne des conséquences de son défaut de le respecter, s'il est démontré que celle-ci n'a pu respecter le délai prescrit pour un motif raisonnable et si, de l'avis du Tribunal, aucune autre partie n'en subit de préjudice grave.</w:t>
      </w:r>
    </w:p>
    <w:p w14:paraId="2C040739" w14:textId="77777777" w:rsidR="00CD19F7" w:rsidRDefault="00A805B3" w:rsidP="00A805B3">
      <w:pPr>
        <w:pStyle w:val="corpsdedcision"/>
      </w:pPr>
      <w:r>
        <w:t>Le Tribunal retient que le travailleur adresse s</w:t>
      </w:r>
      <w:r w:rsidR="00943801">
        <w:t>a demande à la Commission le 17 </w:t>
      </w:r>
      <w:r>
        <w:t>juillet 2017, et non pas au Tribunal. À ce moment, tel qu’il le précise</w:t>
      </w:r>
      <w:r w:rsidR="00CD19F7">
        <w:t xml:space="preserve"> à sa lettre ainsi </w:t>
      </w:r>
      <w:r w:rsidR="00CD19F7">
        <w:lastRenderedPageBreak/>
        <w:t>que lors de son témoignage</w:t>
      </w:r>
      <w:r>
        <w:t>, le travailleur</w:t>
      </w:r>
      <w:r w:rsidR="00CD19F7">
        <w:t xml:space="preserve"> croit</w:t>
      </w:r>
      <w:r>
        <w:t xml:space="preserve"> </w:t>
      </w:r>
      <w:r w:rsidR="00CD19F7">
        <w:t xml:space="preserve">que l’entente ne portait pas sur le pont et portait uniquement sur le dentier temporaire </w:t>
      </w:r>
      <w:r w:rsidR="00CD19F7" w:rsidRPr="00724D03">
        <w:t>(</w:t>
      </w:r>
      <w:proofErr w:type="spellStart"/>
      <w:r w:rsidR="00CD19F7" w:rsidRPr="00CD19F7">
        <w:rPr>
          <w:i/>
        </w:rPr>
        <w:t>temporary</w:t>
      </w:r>
      <w:proofErr w:type="spellEnd"/>
      <w:r w:rsidR="00CD19F7" w:rsidRPr="00CD19F7">
        <w:rPr>
          <w:i/>
        </w:rPr>
        <w:t xml:space="preserve"> dentures</w:t>
      </w:r>
      <w:r w:rsidR="00CD19F7">
        <w:t>). Si tel avait été le cas, sa demande de remboursement pour le pont devait effectivement être dirigée à la Commission.</w:t>
      </w:r>
    </w:p>
    <w:p w14:paraId="3195CDE8" w14:textId="77777777" w:rsidR="00A805B3" w:rsidRDefault="00CD19F7" w:rsidP="00A805B3">
      <w:pPr>
        <w:pStyle w:val="corpsdedcision"/>
      </w:pPr>
      <w:r>
        <w:t>Aussi, la confusion quant à l’objet même de la transaction explique que le travailleur s’adresse d’abord à la Commission</w:t>
      </w:r>
      <w:r w:rsidR="004F6441">
        <w:t xml:space="preserve"> avant d’être </w:t>
      </w:r>
      <w:r>
        <w:t xml:space="preserve">informé que sa demande doit plutôt </w:t>
      </w:r>
      <w:r w:rsidR="004F6441">
        <w:t>être dirigée au Tribunal, ce qui, en l’espèce, constitue un motif raisonnable expliquant le délai en cause.</w:t>
      </w:r>
    </w:p>
    <w:p w14:paraId="5B08F999" w14:textId="77777777" w:rsidR="004F6441" w:rsidRDefault="004F6441" w:rsidP="00A805B3">
      <w:pPr>
        <w:pStyle w:val="corpsdedcision"/>
      </w:pPr>
      <w:r>
        <w:t>Par ailleurs, aucune preuve d’un préjudice grave que subirait une partie si le travailleur était relevé de son défaut n’a été faite.</w:t>
      </w:r>
    </w:p>
    <w:p w14:paraId="025C44E4" w14:textId="77777777" w:rsidR="006E355F" w:rsidRDefault="004F6441" w:rsidP="004F6441">
      <w:pPr>
        <w:pStyle w:val="corpsdedcision"/>
      </w:pPr>
      <w:r>
        <w:t>Dans les circonstances, le Tribunal relève le travailleur des conséquences de son défaut d’avoir respecté le délai et sa requête est recevable. Il y a donc lieu de déterminer si le désistement en cause doit être annulé.</w:t>
      </w:r>
    </w:p>
    <w:p w14:paraId="28CB9E4B" w14:textId="77777777" w:rsidR="004F6441" w:rsidRPr="00630B35" w:rsidRDefault="004F6441" w:rsidP="004F6441">
      <w:pPr>
        <w:pStyle w:val="corpsdedcision"/>
        <w:tabs>
          <w:tab w:val="clear" w:pos="360"/>
        </w:tabs>
      </w:pPr>
      <w:r w:rsidRPr="004F6441">
        <w:t xml:space="preserve">En vertu des pouvoirs prévus à l’article 9 de la </w:t>
      </w:r>
      <w:r>
        <w:t>LITAT</w:t>
      </w:r>
      <w:r w:rsidR="00E24D4E">
        <w:t>, le T</w:t>
      </w:r>
      <w:r w:rsidRPr="004F6441">
        <w:t>ribunal peut annuler un désistement pour vice de consentement. Le représentant de la Commission, dans une argumentation écrite, précise ce qui suit</w:t>
      </w:r>
      <w:r>
        <w:rPr>
          <w:rFonts w:cs="Arial"/>
          <w:color w:val="000000"/>
          <w:sz w:val="22"/>
          <w:szCs w:val="22"/>
        </w:rPr>
        <w:t> :</w:t>
      </w:r>
    </w:p>
    <w:p w14:paraId="42E247A0" w14:textId="77777777" w:rsidR="004F6441" w:rsidRDefault="004F6441" w:rsidP="004334E3">
      <w:pPr>
        <w:pStyle w:val="citation"/>
        <w:spacing w:after="360"/>
      </w:pPr>
      <w:r>
        <w:t>J’ai plaidé que le Tribunal avait compétence pour déterminer l’existence d’une transaction, notamment en vérifiant s’il y a eu un consentement libre et éclairé. Un consentement n’a pas ces qualités que lorsqu’il est vicié par l’erreur, la crainte ou la lésion. En l’espèce, seule l’erreur était invoquée par M. Lauzon. J’ai eu amplement plaidé que cette erreur n’est pas une cause de nullité de la transaction et, subsidiairement, qu’elle revêt un caractère inexcusable.</w:t>
      </w:r>
    </w:p>
    <w:p w14:paraId="7DE29FDC" w14:textId="77777777" w:rsidR="00673BD2" w:rsidRDefault="00673BD2" w:rsidP="008A1574">
      <w:pPr>
        <w:pStyle w:val="corpsdedcision"/>
        <w:tabs>
          <w:tab w:val="clear" w:pos="360"/>
        </w:tabs>
        <w:spacing w:after="240"/>
      </w:pPr>
      <w:r>
        <w:t xml:space="preserve">La notion de transaction est définie au </w:t>
      </w:r>
      <w:r w:rsidRPr="00F50A16">
        <w:rPr>
          <w:i/>
        </w:rPr>
        <w:t>Code civil du Québec</w:t>
      </w:r>
      <w:bookmarkStart w:id="6" w:name="_Ref8127531"/>
      <w:r w:rsidR="00F50A16">
        <w:rPr>
          <w:rStyle w:val="Appelnotedebasdep"/>
          <w:i/>
        </w:rPr>
        <w:footnoteReference w:id="4"/>
      </w:r>
      <w:bookmarkEnd w:id="6"/>
      <w:r>
        <w:t>, de la manière suivante :</w:t>
      </w:r>
    </w:p>
    <w:p w14:paraId="7A1BB9D9" w14:textId="77777777" w:rsidR="0095499D" w:rsidRPr="00417397" w:rsidRDefault="00BD006E" w:rsidP="0095499D">
      <w:pPr>
        <w:pStyle w:val="citation"/>
        <w:rPr>
          <w:lang w:val="fr-FR"/>
        </w:rPr>
      </w:pPr>
      <w:r>
        <w:rPr>
          <w:b/>
          <w:bCs/>
          <w:szCs w:val="24"/>
          <w:lang w:val="fr-FR"/>
        </w:rPr>
        <w:t>2631.</w:t>
      </w:r>
      <w:r w:rsidR="0095499D" w:rsidRPr="00417397">
        <w:rPr>
          <w:lang w:val="fr-FR"/>
        </w:rPr>
        <w:t xml:space="preserve"> La transaction est le contrat par lequel les parties préviennent une contestation à naître, terminent un procès ou règlent les difficultés qui surviennent lors de l’exécution d’un jugement, au moyen de concessions ou de réserves réciproques.</w:t>
      </w:r>
    </w:p>
    <w:p w14:paraId="14B5AEA6" w14:textId="77777777" w:rsidR="0095499D" w:rsidRPr="00417397" w:rsidRDefault="0095499D" w:rsidP="00954EEC">
      <w:pPr>
        <w:pStyle w:val="citation"/>
        <w:spacing w:after="360"/>
        <w:rPr>
          <w:lang w:val="fr-FR"/>
        </w:rPr>
      </w:pPr>
      <w:r w:rsidRPr="00417397">
        <w:rPr>
          <w:lang w:val="fr-FR"/>
        </w:rPr>
        <w:t>Elle est indivisible quant à son objet.</w:t>
      </w:r>
    </w:p>
    <w:p w14:paraId="18F9D0AD" w14:textId="77777777" w:rsidR="001306FE" w:rsidRDefault="001306FE" w:rsidP="00630B35">
      <w:pPr>
        <w:pStyle w:val="corpsdedcision"/>
        <w:tabs>
          <w:tab w:val="clear" w:pos="360"/>
        </w:tabs>
      </w:pPr>
      <w:r>
        <w:t xml:space="preserve">La transaction étant un contrat, elle </w:t>
      </w:r>
      <w:r w:rsidRPr="002F6BE9">
        <w:t xml:space="preserve">est donc soumise aux règles de formation de ceux-ci, prévues </w:t>
      </w:r>
      <w:r w:rsidR="004334E3" w:rsidRPr="002F6BE9">
        <w:t>aux articles 1385 et suivants</w:t>
      </w:r>
      <w:r w:rsidRPr="002F6BE9">
        <w:t xml:space="preserve"> du </w:t>
      </w:r>
      <w:r w:rsidRPr="002F6BE9">
        <w:rPr>
          <w:i/>
        </w:rPr>
        <w:t>Code civil</w:t>
      </w:r>
      <w:r w:rsidR="00954EEC" w:rsidRPr="002F6BE9">
        <w:rPr>
          <w:i/>
        </w:rPr>
        <w:t xml:space="preserve"> du Québec</w:t>
      </w:r>
      <w:r w:rsidR="00F50A16" w:rsidRPr="002F6BE9">
        <w:rPr>
          <w:rStyle w:val="Appelnotedebasdep"/>
          <w:i/>
        </w:rPr>
        <w:footnoteReference w:id="5"/>
      </w:r>
      <w:r w:rsidR="00345D12">
        <w:rPr>
          <w:i/>
        </w:rPr>
        <w:t> </w:t>
      </w:r>
      <w:r w:rsidR="00345D12">
        <w:t>:</w:t>
      </w:r>
    </w:p>
    <w:p w14:paraId="42C7436E" w14:textId="77777777" w:rsidR="00626FED" w:rsidRPr="00626FED" w:rsidRDefault="00626FED" w:rsidP="00626FED">
      <w:pPr>
        <w:pStyle w:val="citation"/>
        <w:rPr>
          <w:lang w:val="fr-FR"/>
        </w:rPr>
      </w:pPr>
      <w:r w:rsidRPr="00626FED">
        <w:rPr>
          <w:b/>
          <w:bCs/>
          <w:lang w:val="fr-FR"/>
        </w:rPr>
        <w:t>1385.</w:t>
      </w:r>
      <w:r w:rsidRPr="00626FED">
        <w:rPr>
          <w:lang w:val="fr-FR"/>
        </w:rPr>
        <w:t xml:space="preserve"> Le contrat se forme par le seul échange de consentement entre des personnes capables de contracter, à moins que la loi n’exige, en outre, le respect d’une forme </w:t>
      </w:r>
      <w:r w:rsidRPr="00626FED">
        <w:rPr>
          <w:lang w:val="fr-FR"/>
        </w:rPr>
        <w:lastRenderedPageBreak/>
        <w:t>particulière comme condition nécessaire à sa formation, ou que les parties n’assujettissent la formation du contrat à une forme solennelle.</w:t>
      </w:r>
    </w:p>
    <w:p w14:paraId="7172B0D8" w14:textId="77777777" w:rsidR="00626FED" w:rsidRPr="00626FED" w:rsidRDefault="00626FED" w:rsidP="00626FED">
      <w:pPr>
        <w:pStyle w:val="citation"/>
        <w:rPr>
          <w:lang w:val="fr-FR"/>
        </w:rPr>
      </w:pPr>
      <w:r w:rsidRPr="00626FED">
        <w:rPr>
          <w:lang w:val="fr-FR"/>
        </w:rPr>
        <w:t>Il est aussi de son essence qu’il ait une cause et un objet.</w:t>
      </w:r>
    </w:p>
    <w:p w14:paraId="57F73F29" w14:textId="77777777" w:rsidR="00626FED" w:rsidRDefault="00626FED" w:rsidP="00345D12">
      <w:pPr>
        <w:pStyle w:val="citation"/>
      </w:pPr>
    </w:p>
    <w:p w14:paraId="433EE8ED" w14:textId="77777777" w:rsidR="00345D12" w:rsidRDefault="00626FED" w:rsidP="00626FED">
      <w:pPr>
        <w:pStyle w:val="citation"/>
        <w:spacing w:after="120"/>
        <w:rPr>
          <w:lang w:val="fr-FR"/>
        </w:rPr>
      </w:pPr>
      <w:r w:rsidRPr="00626FED">
        <w:rPr>
          <w:b/>
          <w:bCs/>
          <w:lang w:val="fr-FR"/>
        </w:rPr>
        <w:t>1386.</w:t>
      </w:r>
      <w:r w:rsidRPr="00626FED">
        <w:rPr>
          <w:lang w:val="fr-FR"/>
        </w:rPr>
        <w:t xml:space="preserve"> L’échange de consentement se réalise par la manifestation, expresse ou tacite, de la volonté d’une personne d’accepter l’offre de contracter que lui fait une autre personne.</w:t>
      </w:r>
    </w:p>
    <w:p w14:paraId="5F7AAE8D" w14:textId="77777777" w:rsidR="001344D3" w:rsidRPr="001344D3" w:rsidRDefault="001344D3" w:rsidP="001344D3">
      <w:pPr>
        <w:pStyle w:val="citation"/>
        <w:spacing w:after="120"/>
        <w:rPr>
          <w:lang w:val="fr-FR"/>
        </w:rPr>
      </w:pPr>
      <w:r w:rsidRPr="001344D3">
        <w:rPr>
          <w:b/>
          <w:bCs/>
          <w:lang w:val="fr-FR"/>
        </w:rPr>
        <w:t>1399.</w:t>
      </w:r>
      <w:r w:rsidRPr="001344D3">
        <w:rPr>
          <w:lang w:val="fr-FR"/>
        </w:rPr>
        <w:t xml:space="preserve"> Le consentement doit être libre et éclairé.</w:t>
      </w:r>
    </w:p>
    <w:p w14:paraId="00874AFE" w14:textId="77777777" w:rsidR="001344D3" w:rsidRPr="001344D3" w:rsidRDefault="001344D3" w:rsidP="001344D3">
      <w:pPr>
        <w:pStyle w:val="citation"/>
        <w:spacing w:after="120"/>
        <w:rPr>
          <w:lang w:val="fr-FR"/>
        </w:rPr>
      </w:pPr>
      <w:r w:rsidRPr="001344D3">
        <w:rPr>
          <w:lang w:val="fr-FR"/>
        </w:rPr>
        <w:t>Il peut être vicié par l’erreur, la crainte ou la lésion.</w:t>
      </w:r>
    </w:p>
    <w:p w14:paraId="615497BC" w14:textId="77777777" w:rsidR="001344D3" w:rsidRPr="001344D3" w:rsidRDefault="001344D3" w:rsidP="001344D3">
      <w:pPr>
        <w:pStyle w:val="citation"/>
        <w:spacing w:after="120"/>
        <w:rPr>
          <w:lang w:val="fr-FR"/>
        </w:rPr>
      </w:pPr>
      <w:r w:rsidRPr="001344D3">
        <w:rPr>
          <w:b/>
          <w:bCs/>
          <w:lang w:val="fr-FR"/>
        </w:rPr>
        <w:t>1400.</w:t>
      </w:r>
      <w:r w:rsidRPr="001344D3">
        <w:rPr>
          <w:lang w:val="fr-FR"/>
        </w:rPr>
        <w:t xml:space="preserve"> L’erreur vicie le consentement des parties ou de l’une d’elles lorsqu’elle porte sur la nature du contrat, sur l’objet de la prestation ou, encore, sur tout élément essentiel qui a déterminé le consentement.</w:t>
      </w:r>
    </w:p>
    <w:p w14:paraId="054E009C" w14:textId="77777777" w:rsidR="001344D3" w:rsidRPr="001344D3" w:rsidRDefault="001344D3" w:rsidP="001344D3">
      <w:pPr>
        <w:pStyle w:val="citation"/>
        <w:spacing w:after="360"/>
        <w:rPr>
          <w:lang w:val="fr-FR"/>
        </w:rPr>
      </w:pPr>
      <w:r w:rsidRPr="001344D3">
        <w:rPr>
          <w:lang w:val="fr-FR"/>
        </w:rPr>
        <w:t>L’erreur inexcusable ne constitue pas un vice de consentement.</w:t>
      </w:r>
    </w:p>
    <w:p w14:paraId="1C7A2289" w14:textId="77777777" w:rsidR="001306FE" w:rsidRDefault="001306FE" w:rsidP="001306FE">
      <w:pPr>
        <w:pStyle w:val="corpsdedcision"/>
        <w:tabs>
          <w:tab w:val="clear" w:pos="360"/>
        </w:tabs>
      </w:pPr>
      <w:r w:rsidRPr="002F6BE9">
        <w:t>Aussi, le Tribunal, tel que le</w:t>
      </w:r>
      <w:r>
        <w:t xml:space="preserve"> précisait la Cour supérieure dans l’affaire </w:t>
      </w:r>
      <w:r w:rsidRPr="00A014F5">
        <w:rPr>
          <w:i/>
          <w:szCs w:val="24"/>
        </w:rPr>
        <w:t xml:space="preserve">CIUSS </w:t>
      </w:r>
      <w:r w:rsidR="00FC68C1" w:rsidRPr="00A014F5">
        <w:rPr>
          <w:i/>
          <w:szCs w:val="24"/>
        </w:rPr>
        <w:t xml:space="preserve">du </w:t>
      </w:r>
      <w:proofErr w:type="spellStart"/>
      <w:r w:rsidR="00FC68C1" w:rsidRPr="00A014F5">
        <w:rPr>
          <w:i/>
          <w:szCs w:val="24"/>
        </w:rPr>
        <w:t>C</w:t>
      </w:r>
      <w:r w:rsidRPr="00A014F5">
        <w:rPr>
          <w:i/>
          <w:szCs w:val="24"/>
        </w:rPr>
        <w:t>entre</w:t>
      </w:r>
      <w:r w:rsidR="00FC68C1" w:rsidRPr="00A014F5">
        <w:rPr>
          <w:i/>
          <w:szCs w:val="24"/>
        </w:rPr>
        <w:t>-O</w:t>
      </w:r>
      <w:r w:rsidRPr="00A014F5">
        <w:rPr>
          <w:i/>
          <w:szCs w:val="24"/>
        </w:rPr>
        <w:t>uest</w:t>
      </w:r>
      <w:r w:rsidR="00FC68C1" w:rsidRPr="00A014F5">
        <w:rPr>
          <w:i/>
          <w:szCs w:val="24"/>
        </w:rPr>
        <w:t>-de-l’Île-</w:t>
      </w:r>
      <w:r w:rsidRPr="00A014F5">
        <w:rPr>
          <w:i/>
          <w:szCs w:val="24"/>
        </w:rPr>
        <w:t>de</w:t>
      </w:r>
      <w:r w:rsidR="00FC68C1" w:rsidRPr="00A014F5">
        <w:rPr>
          <w:i/>
          <w:szCs w:val="24"/>
        </w:rPr>
        <w:t>-M</w:t>
      </w:r>
      <w:r w:rsidRPr="00A014F5">
        <w:rPr>
          <w:i/>
          <w:szCs w:val="24"/>
        </w:rPr>
        <w:t>ontréa</w:t>
      </w:r>
      <w:r w:rsidR="004334E3" w:rsidRPr="00A014F5">
        <w:rPr>
          <w:i/>
          <w:szCs w:val="24"/>
        </w:rPr>
        <w:t>l</w:t>
      </w:r>
      <w:proofErr w:type="spellEnd"/>
      <w:r w:rsidR="00A014F5" w:rsidRPr="00A014F5">
        <w:rPr>
          <w:i/>
          <w:szCs w:val="24"/>
        </w:rPr>
        <w:t xml:space="preserve"> </w:t>
      </w:r>
      <w:r w:rsidR="00A014F5" w:rsidRPr="00A014F5">
        <w:rPr>
          <w:rFonts w:cs="Arial"/>
          <w:szCs w:val="24"/>
        </w:rPr>
        <w:t xml:space="preserve">c. </w:t>
      </w:r>
      <w:r w:rsidR="00A014F5" w:rsidRPr="00A014F5">
        <w:rPr>
          <w:rFonts w:cs="Arial"/>
          <w:i/>
          <w:szCs w:val="24"/>
        </w:rPr>
        <w:t>Tribunal administratif du travail</w:t>
      </w:r>
      <w:r w:rsidR="00FC68C1" w:rsidRPr="00DA22C7">
        <w:rPr>
          <w:rStyle w:val="Appelnotedebasdep"/>
        </w:rPr>
        <w:footnoteReference w:id="6"/>
      </w:r>
      <w:r w:rsidR="004334E3">
        <w:rPr>
          <w:i/>
        </w:rPr>
        <w:t>,</w:t>
      </w:r>
      <w:r>
        <w:t xml:space="preserve"> dispose du pouvoir de déterminer s’il y a ou non existence d’une transaction entre les parties dans le cadre du dossier dont il est saisi et d’examiner la portée de cette transaction, notamment en évaluant s’il y a présence d’un vice de consentement.</w:t>
      </w:r>
    </w:p>
    <w:p w14:paraId="148BAEA6" w14:textId="77777777" w:rsidR="008C3DD6" w:rsidRDefault="008C3DD6" w:rsidP="001306FE">
      <w:pPr>
        <w:pStyle w:val="corpsdedcision"/>
        <w:tabs>
          <w:tab w:val="clear" w:pos="360"/>
        </w:tabs>
      </w:pPr>
      <w:r>
        <w:t xml:space="preserve">Tel que le précisait le Tribunal dans l’affaire </w:t>
      </w:r>
      <w:r w:rsidRPr="008C3DD6">
        <w:rPr>
          <w:i/>
        </w:rPr>
        <w:t>Dubois</w:t>
      </w:r>
      <w:r>
        <w:t xml:space="preserve"> et </w:t>
      </w:r>
      <w:r w:rsidRPr="008C3DD6">
        <w:rPr>
          <w:i/>
        </w:rPr>
        <w:t>Ministère des Forêts</w:t>
      </w:r>
      <w:r>
        <w:t xml:space="preserve">, </w:t>
      </w:r>
      <w:r w:rsidRPr="008C3DD6">
        <w:rPr>
          <w:i/>
        </w:rPr>
        <w:t>de la Faune et des Parcs</w:t>
      </w:r>
      <w:r>
        <w:rPr>
          <w:rStyle w:val="Appelnotedebasdep"/>
        </w:rPr>
        <w:footnoteReference w:id="7"/>
      </w:r>
      <w:r>
        <w:t>, un désistement peut être déclaré invalide lorsque le consentement de la partie qui se désiste est vicié, notamment lorsqu’il résulte d’une erreur de fait</w:t>
      </w:r>
      <w:r w:rsidR="00345D12">
        <w:t xml:space="preserve"> qui n’est pas inexcusable</w:t>
      </w:r>
      <w:r>
        <w:t>.</w:t>
      </w:r>
    </w:p>
    <w:p w14:paraId="4DB7D7B7" w14:textId="77777777" w:rsidR="0095499D" w:rsidRDefault="0095499D" w:rsidP="00210997">
      <w:pPr>
        <w:pStyle w:val="corpsdedcision"/>
        <w:keepLines/>
        <w:tabs>
          <w:tab w:val="clear" w:pos="360"/>
        </w:tabs>
      </w:pPr>
      <w:r>
        <w:t xml:space="preserve">La Commission invoque que le travailleur allègue </w:t>
      </w:r>
      <w:r w:rsidR="00103C8F">
        <w:t xml:space="preserve">plutôt </w:t>
      </w:r>
      <w:r>
        <w:t xml:space="preserve">une erreur de droit afin d’obtenir l’annulation du désistement. Elle rappelle, à juste titre, que l’erreur de droit ne constitue pas une cause de nullité du contrat de transaction, tel qu’il est prévu à l’article 2634 du </w:t>
      </w:r>
      <w:r w:rsidRPr="00954EEC">
        <w:rPr>
          <w:i/>
        </w:rPr>
        <w:t>Code civil du Québec</w:t>
      </w:r>
      <w:r>
        <w:rPr>
          <w:rStyle w:val="Appelnotedebasdep"/>
        </w:rPr>
        <w:footnoteReference w:id="8"/>
      </w:r>
      <w:r w:rsidR="00210997">
        <w:rPr>
          <w:i/>
        </w:rPr>
        <w:t> </w:t>
      </w:r>
      <w:r w:rsidR="00210997">
        <w:t>:</w:t>
      </w:r>
    </w:p>
    <w:p w14:paraId="20DB7747" w14:textId="77777777" w:rsidR="0095499D" w:rsidRPr="00417397" w:rsidRDefault="00BD006E" w:rsidP="00954EEC">
      <w:pPr>
        <w:pStyle w:val="citation"/>
        <w:spacing w:after="360"/>
        <w:rPr>
          <w:rFonts w:cs="Arial"/>
          <w:lang w:val="fr-FR"/>
        </w:rPr>
      </w:pPr>
      <w:r>
        <w:rPr>
          <w:rStyle w:val="label-section1"/>
          <w:sz w:val="20"/>
          <w:szCs w:val="20"/>
          <w:lang w:val="fr-FR"/>
        </w:rPr>
        <w:t>2634.</w:t>
      </w:r>
      <w:r w:rsidR="0095499D" w:rsidRPr="00417397">
        <w:rPr>
          <w:lang w:val="fr-FR"/>
        </w:rPr>
        <w:t xml:space="preserve"> </w:t>
      </w:r>
      <w:r w:rsidR="0095499D" w:rsidRPr="00417397">
        <w:rPr>
          <w:rStyle w:val="texte-courant1"/>
          <w:rFonts w:cs="Arial"/>
          <w:lang w:val="fr-FR"/>
        </w:rPr>
        <w:t>L’erreur de droit n’est pas une cause de nullité de la transaction. Sauf cette exception, la transaction peut être annulée pour les mêmes causes que les contrats en général.</w:t>
      </w:r>
    </w:p>
    <w:p w14:paraId="1E7B9292" w14:textId="77777777" w:rsidR="00BC06C3" w:rsidRDefault="00E23FAC" w:rsidP="00160550">
      <w:pPr>
        <w:pStyle w:val="corpsdedcision"/>
        <w:tabs>
          <w:tab w:val="clear" w:pos="360"/>
        </w:tabs>
      </w:pPr>
      <w:r>
        <w:t>Le Tribunal doit donc procéder</w:t>
      </w:r>
      <w:r w:rsidR="00E9146A">
        <w:t xml:space="preserve"> à la qualification juridique de l’erreur invoquée par le travailleur. </w:t>
      </w:r>
      <w:r w:rsidR="00BC06C3">
        <w:t>L</w:t>
      </w:r>
      <w:r w:rsidR="00261987">
        <w:t xml:space="preserve">a notion d’erreur de droit </w:t>
      </w:r>
      <w:r w:rsidR="002B2BC6">
        <w:t>est la suivante</w:t>
      </w:r>
      <w:r>
        <w:rPr>
          <w:rStyle w:val="Appelnotedebasdep"/>
        </w:rPr>
        <w:footnoteReference w:id="9"/>
      </w:r>
      <w:r w:rsidR="002B2BC6">
        <w:t> :</w:t>
      </w:r>
    </w:p>
    <w:p w14:paraId="05B2B23A" w14:textId="77777777" w:rsidR="002B2BC6" w:rsidRDefault="002B2BC6" w:rsidP="001344D3">
      <w:pPr>
        <w:pStyle w:val="citation"/>
        <w:spacing w:after="120"/>
        <w:ind w:left="709"/>
      </w:pPr>
      <w:r>
        <w:t>Il y a erreur de droit lorsque l’ignorance ou la mauvais</w:t>
      </w:r>
      <w:r w:rsidR="00E23FAC">
        <w:t>e</w:t>
      </w:r>
      <w:r>
        <w:t xml:space="preserve"> interprétation de la loi induit l’une des parties contractantes, ou les deux, à se tromper sur un aspect juridique et déterminant (par exemple la nature-droit réel ou droit personnel-ou l’étendue de ses </w:t>
      </w:r>
      <w:r>
        <w:lastRenderedPageBreak/>
        <w:t xml:space="preserve">droits). Il importe de ne pas la </w:t>
      </w:r>
      <w:r w:rsidRPr="00E23FAC">
        <w:t>confondre, sur le plan de la définition, avec le fait entraînant une situation juridique différente du réel</w:t>
      </w:r>
      <w:r w:rsidR="00E23FAC" w:rsidRPr="00E23FAC">
        <w:rPr>
          <w:vertAlign w:val="superscript"/>
        </w:rPr>
        <w:t>71</w:t>
      </w:r>
      <w:r w:rsidR="00E23FAC" w:rsidRPr="00E23FAC">
        <w:t>.</w:t>
      </w:r>
    </w:p>
    <w:p w14:paraId="38B3D982" w14:textId="77777777" w:rsidR="007C1797" w:rsidRDefault="0095499D" w:rsidP="00160550">
      <w:pPr>
        <w:pStyle w:val="corpsdedcision"/>
        <w:tabs>
          <w:tab w:val="clear" w:pos="360"/>
        </w:tabs>
      </w:pPr>
      <w:r>
        <w:t xml:space="preserve">La </w:t>
      </w:r>
      <w:r w:rsidRPr="00417397">
        <w:t xml:space="preserve">Commission réfère le Tribunal à l’affaire </w:t>
      </w:r>
      <w:r w:rsidRPr="00417397">
        <w:rPr>
          <w:i/>
        </w:rPr>
        <w:t>Bolduc</w:t>
      </w:r>
      <w:r w:rsidRPr="00417397">
        <w:t xml:space="preserve"> c. </w:t>
      </w:r>
      <w:r w:rsidRPr="00417397">
        <w:rPr>
          <w:i/>
        </w:rPr>
        <w:t>Bussière</w:t>
      </w:r>
      <w:r w:rsidRPr="00417397">
        <w:t xml:space="preserve"> et </w:t>
      </w:r>
      <w:r w:rsidRPr="00417397">
        <w:rPr>
          <w:i/>
        </w:rPr>
        <w:t>Hydro-Québec</w:t>
      </w:r>
      <w:r w:rsidRPr="00417397">
        <w:rPr>
          <w:rStyle w:val="Appelnotedebasdep"/>
        </w:rPr>
        <w:footnoteReference w:id="10"/>
      </w:r>
      <w:r w:rsidRPr="00A52F1E">
        <w:t xml:space="preserve"> </w:t>
      </w:r>
      <w:r w:rsidRPr="00E63928">
        <w:t xml:space="preserve">dans laquelle </w:t>
      </w:r>
      <w:r w:rsidR="00E63928">
        <w:t xml:space="preserve">un Commissaire du travail avait conclu </w:t>
      </w:r>
      <w:r w:rsidR="00103C8F">
        <w:t>q</w:t>
      </w:r>
      <w:r w:rsidR="00E63928">
        <w:t>ue</w:t>
      </w:r>
      <w:r w:rsidR="00345D12">
        <w:t xml:space="preserve"> le fait </w:t>
      </w:r>
      <w:r w:rsidR="00103C8F">
        <w:t>que</w:t>
      </w:r>
      <w:r w:rsidR="00E63928">
        <w:t xml:space="preserve"> la transaction en cause reposait sur u</w:t>
      </w:r>
      <w:r w:rsidR="00103C8F">
        <w:t>ne information erronée en droit</w:t>
      </w:r>
      <w:r w:rsidR="00345D12">
        <w:t xml:space="preserve"> empêchait </w:t>
      </w:r>
      <w:r w:rsidR="002B2BC6">
        <w:t>s</w:t>
      </w:r>
      <w:r w:rsidR="00E63928">
        <w:t>a rescision.</w:t>
      </w:r>
    </w:p>
    <w:p w14:paraId="66AC1682" w14:textId="77777777" w:rsidR="006200E2" w:rsidRDefault="006200E2" w:rsidP="00160550">
      <w:pPr>
        <w:pStyle w:val="corpsdedcision"/>
        <w:tabs>
          <w:tab w:val="clear" w:pos="360"/>
        </w:tabs>
      </w:pPr>
      <w:r>
        <w:t xml:space="preserve">Cette affaire </w:t>
      </w:r>
      <w:r w:rsidR="002B2BC6">
        <w:t>traitait de</w:t>
      </w:r>
      <w:r>
        <w:t xml:space="preserve"> la portée des droits à la retraite de l’appelant en cas de congédiement par rapport à ceux </w:t>
      </w:r>
      <w:r w:rsidR="002B2BC6">
        <w:t>dont</w:t>
      </w:r>
      <w:r>
        <w:t xml:space="preserve"> il pouvait se prévaloir en cas de démission et de mis</w:t>
      </w:r>
      <w:r w:rsidR="00210997">
        <w:t>e</w:t>
      </w:r>
      <w:r>
        <w:t xml:space="preserve"> à la « </w:t>
      </w:r>
      <w:r w:rsidRPr="00210997">
        <w:rPr>
          <w:rStyle w:val="Citationintgre"/>
        </w:rPr>
        <w:t>retraite administrative</w:t>
      </w:r>
      <w:r>
        <w:t> ». L’employeur accepte donc de revenir sur sa décision de congédier l’appelant et celui-ci accepte de démissionner et de consentir à sa mise à l</w:t>
      </w:r>
      <w:r w:rsidR="00103C8F">
        <w:t>a</w:t>
      </w:r>
      <w:r>
        <w:t xml:space="preserve"> retraite.</w:t>
      </w:r>
    </w:p>
    <w:p w14:paraId="72E86199" w14:textId="77777777" w:rsidR="003810E5" w:rsidRDefault="006200E2" w:rsidP="006200E2">
      <w:pPr>
        <w:pStyle w:val="corpsdedcision"/>
        <w:tabs>
          <w:tab w:val="clear" w:pos="360"/>
        </w:tabs>
      </w:pPr>
      <w:r>
        <w:t xml:space="preserve">L’appelant apprend, par la suite, que ces droits quant à son fonds global de retraite </w:t>
      </w:r>
      <w:r w:rsidR="003810E5">
        <w:t>n’étaient</w:t>
      </w:r>
      <w:r>
        <w:t xml:space="preserve"> pas </w:t>
      </w:r>
      <w:r w:rsidR="003810E5">
        <w:t>influencés</w:t>
      </w:r>
      <w:r>
        <w:t xml:space="preserve"> par la cause de sa cessation d’emploi et il formule une plainte sous l’article 124 de la </w:t>
      </w:r>
      <w:r w:rsidRPr="003810E5">
        <w:rPr>
          <w:i/>
        </w:rPr>
        <w:t>Loi sur les normes du travail</w:t>
      </w:r>
      <w:r>
        <w:rPr>
          <w:rStyle w:val="Appelnotedebasdep"/>
        </w:rPr>
        <w:footnoteReference w:id="11"/>
      </w:r>
      <w:r>
        <w:t xml:space="preserve">. </w:t>
      </w:r>
      <w:r w:rsidR="003810E5">
        <w:t xml:space="preserve">Le Commissaire du travail rejette la plainte de l’appelant </w:t>
      </w:r>
      <w:r w:rsidR="002B2BC6">
        <w:t>et conclut</w:t>
      </w:r>
      <w:r w:rsidR="003810E5">
        <w:t xml:space="preserve"> en la validité de la transaction en soulignant que l’erreur </w:t>
      </w:r>
      <w:r w:rsidR="002B2BC6">
        <w:t>affectant</w:t>
      </w:r>
      <w:r w:rsidR="003810E5">
        <w:t xml:space="preserve"> la transaction constituait une erreur de droit, laquelle n’est pas une cause de nullité du contrat de transaction.</w:t>
      </w:r>
    </w:p>
    <w:p w14:paraId="57F52BC2" w14:textId="77777777" w:rsidR="006200E2" w:rsidRDefault="003810E5" w:rsidP="006200E2">
      <w:pPr>
        <w:pStyle w:val="corpsdedcision"/>
        <w:tabs>
          <w:tab w:val="clear" w:pos="360"/>
        </w:tabs>
      </w:pPr>
      <w:r>
        <w:t>Cette décision sera maintenue par la Cour Supérieur du Québec qui rejettera une requête en révision judiciaire</w:t>
      </w:r>
      <w:r w:rsidR="00210997">
        <w:t>,</w:t>
      </w:r>
      <w:r>
        <w:t xml:space="preserve"> puis confirmée par la Cour d’appel du Québec.</w:t>
      </w:r>
    </w:p>
    <w:p w14:paraId="739C9102" w14:textId="77777777" w:rsidR="00E9146A" w:rsidRDefault="00E9146A" w:rsidP="00B05C0B">
      <w:pPr>
        <w:pStyle w:val="corpsdedcision"/>
        <w:tabs>
          <w:tab w:val="clear" w:pos="360"/>
        </w:tabs>
      </w:pPr>
      <w:r>
        <w:t>Dans le présent litige, l’erreur du</w:t>
      </w:r>
      <w:r w:rsidR="008B36FC">
        <w:t xml:space="preserve"> travailleur</w:t>
      </w:r>
      <w:r>
        <w:t xml:space="preserve"> consiste en </w:t>
      </w:r>
      <w:r w:rsidR="00103C8F">
        <w:t xml:space="preserve">ce </w:t>
      </w:r>
      <w:r>
        <w:t xml:space="preserve">qu’il </w:t>
      </w:r>
      <w:r w:rsidR="008C3DD6">
        <w:t>a</w:t>
      </w:r>
      <w:r w:rsidR="008B36FC">
        <w:t xml:space="preserve"> cru que le </w:t>
      </w:r>
      <w:r w:rsidR="00673BD2">
        <w:t xml:space="preserve">pont </w:t>
      </w:r>
      <w:r w:rsidR="00210997">
        <w:t>(</w:t>
      </w:r>
      <w:r w:rsidR="008B36FC" w:rsidRPr="00E9146A">
        <w:rPr>
          <w:i/>
        </w:rPr>
        <w:t>bridge</w:t>
      </w:r>
      <w:r w:rsidR="00210997">
        <w:t>)</w:t>
      </w:r>
      <w:r w:rsidR="008B36FC">
        <w:t xml:space="preserve"> n’était pas visé par les traitements prévus </w:t>
      </w:r>
      <w:proofErr w:type="gramStart"/>
      <w:r w:rsidR="008B36FC">
        <w:t>au</w:t>
      </w:r>
      <w:proofErr w:type="gramEnd"/>
      <w:r w:rsidR="008B36FC">
        <w:t xml:space="preserve"> plan dentaire pour les dents 12, 11, 22, 23 et 21</w:t>
      </w:r>
      <w:r>
        <w:t>.</w:t>
      </w:r>
    </w:p>
    <w:p w14:paraId="5873EA45" w14:textId="77777777" w:rsidR="00E56C3F" w:rsidRDefault="00E56C3F" w:rsidP="00E56C3F">
      <w:pPr>
        <w:pStyle w:val="corpsdedcision"/>
      </w:pPr>
      <w:r>
        <w:t>À l’audience, le travailleur affirme avoir demandé à monsieur Louis Charbonneau, du Tribunal, de l’assister. Il considère que celui-ci était son représentant. Or, monsieur Charbonneau agissait plutôt à titre de conciliateur.</w:t>
      </w:r>
    </w:p>
    <w:p w14:paraId="71EF2C4F" w14:textId="77777777" w:rsidR="00E56C3F" w:rsidRDefault="00E56C3F" w:rsidP="00E56C3F">
      <w:pPr>
        <w:pStyle w:val="corpsdedcision"/>
        <w:tabs>
          <w:tab w:val="clear" w:pos="360"/>
        </w:tabs>
      </w:pPr>
      <w:r>
        <w:t xml:space="preserve">Selon le témoignage du travailleur, monsieur Charbonneau lui aurait expliqué que la question du pont ne serait pas entendue lors de l’audience. Le travailleur </w:t>
      </w:r>
      <w:r w:rsidR="00345D12">
        <w:t>ajoute</w:t>
      </w:r>
      <w:r>
        <w:t xml:space="preserve"> </w:t>
      </w:r>
      <w:r w:rsidRPr="00E56C3F">
        <w:t>avoir</w:t>
      </w:r>
      <w:r>
        <w:t xml:space="preserve"> requis la communication de tous les documents liés à ses échanges avec monsieur Charbonneau, demande qui lui a été refusée.</w:t>
      </w:r>
    </w:p>
    <w:p w14:paraId="7F83CB55" w14:textId="77777777" w:rsidR="00E56C3F" w:rsidRDefault="00E56C3F" w:rsidP="00512E67">
      <w:pPr>
        <w:pStyle w:val="corpsdedcision"/>
        <w:tabs>
          <w:tab w:val="clear" w:pos="360"/>
        </w:tabs>
      </w:pPr>
      <w:r>
        <w:t>Le Tribunal retient que le travailleur croyait que l’entente ne visait pas le pont, tel qu’il l’avait compris de ses échanges avec monsieur Charbonn</w:t>
      </w:r>
      <w:r w:rsidR="00E23FAC">
        <w:t>eau.</w:t>
      </w:r>
    </w:p>
    <w:p w14:paraId="7E1C66CC" w14:textId="77777777" w:rsidR="007C1797" w:rsidRPr="009878D9" w:rsidRDefault="00103C8F" w:rsidP="00B05C0B">
      <w:pPr>
        <w:pStyle w:val="corpsdedcision"/>
        <w:tabs>
          <w:tab w:val="clear" w:pos="360"/>
        </w:tabs>
      </w:pPr>
      <w:r>
        <w:lastRenderedPageBreak/>
        <w:t>C’est donc quant au contenu même du plan dentaire</w:t>
      </w:r>
      <w:r w:rsidR="008B36FC">
        <w:t xml:space="preserve"> </w:t>
      </w:r>
      <w:r w:rsidR="00E56C3F">
        <w:t>que le travailleur se méprend et non pas quant aux effets juridiques de son désistement ou de la transaction. Cette erreur n’en est pas une de droit</w:t>
      </w:r>
      <w:r w:rsidR="00E23FAC">
        <w:t>,</w:t>
      </w:r>
      <w:r w:rsidR="00E56C3F">
        <w:t xml:space="preserve"> mais constitue bien une erreur de fait, </w:t>
      </w:r>
      <w:r w:rsidR="00345D12">
        <w:t xml:space="preserve">en l’occurrence </w:t>
      </w:r>
      <w:r w:rsidR="008B36FC" w:rsidRPr="009878D9">
        <w:t xml:space="preserve">une erreur quant à l’objet </w:t>
      </w:r>
      <w:r w:rsidR="008C3DD6" w:rsidRPr="009878D9">
        <w:t xml:space="preserve">même </w:t>
      </w:r>
      <w:r w:rsidR="008B36FC" w:rsidRPr="009878D9">
        <w:t xml:space="preserve">de la transaction, de la décision rendue et </w:t>
      </w:r>
      <w:r w:rsidR="002655EA">
        <w:t>du</w:t>
      </w:r>
      <w:r w:rsidR="008B36FC" w:rsidRPr="009878D9">
        <w:t xml:space="preserve"> désistement.</w:t>
      </w:r>
    </w:p>
    <w:p w14:paraId="22A0A81B" w14:textId="77777777" w:rsidR="002655EA" w:rsidRDefault="00580AE0" w:rsidP="00345D12">
      <w:pPr>
        <w:pStyle w:val="corpsdedcision"/>
        <w:tabs>
          <w:tab w:val="clear" w:pos="360"/>
        </w:tabs>
      </w:pPr>
      <w:r>
        <w:t xml:space="preserve">Le consentement </w:t>
      </w:r>
      <w:r w:rsidR="008C3DD6">
        <w:t>du travailleur a d</w:t>
      </w:r>
      <w:r w:rsidR="00805EB8">
        <w:t>onc été vicié par cette erreur</w:t>
      </w:r>
      <w:r>
        <w:t xml:space="preserve"> sauf si </w:t>
      </w:r>
      <w:r w:rsidR="00805EB8">
        <w:t>celle-ci</w:t>
      </w:r>
      <w:r>
        <w:t xml:space="preserve"> est inexcusable</w:t>
      </w:r>
      <w:r w:rsidR="00805EB8">
        <w:t xml:space="preserve">, au sens de l’article </w:t>
      </w:r>
      <w:r>
        <w:t>1400</w:t>
      </w:r>
      <w:r w:rsidR="00805EB8">
        <w:t xml:space="preserve"> du </w:t>
      </w:r>
      <w:r w:rsidR="00805EB8" w:rsidRPr="00954EEC">
        <w:rPr>
          <w:i/>
        </w:rPr>
        <w:t>Code civil</w:t>
      </w:r>
      <w:r w:rsidR="00943801" w:rsidRPr="00954EEC">
        <w:rPr>
          <w:i/>
        </w:rPr>
        <w:t xml:space="preserve"> du Québec</w:t>
      </w:r>
      <w:r w:rsidR="00F50A16">
        <w:rPr>
          <w:rStyle w:val="Appelnotedebasdep"/>
          <w:i/>
        </w:rPr>
        <w:footnoteReference w:id="12"/>
      </w:r>
      <w:r w:rsidR="00805EB8">
        <w:t>.</w:t>
      </w:r>
      <w:r w:rsidR="00345D12">
        <w:t xml:space="preserve"> </w:t>
      </w:r>
      <w:r w:rsidR="002655EA">
        <w:t>La Commission invoque justement que, s’il y a erreur quant à l’objet du litige, celle-ci est inexcusable.</w:t>
      </w:r>
    </w:p>
    <w:p w14:paraId="085DE15D" w14:textId="77777777" w:rsidR="000C2819" w:rsidRDefault="0039148A" w:rsidP="00345D12">
      <w:pPr>
        <w:pStyle w:val="corpsdedcision"/>
        <w:tabs>
          <w:tab w:val="clear" w:pos="360"/>
        </w:tabs>
      </w:pPr>
      <w:r>
        <w:t>L</w:t>
      </w:r>
      <w:r w:rsidR="000C2819">
        <w:t>a</w:t>
      </w:r>
      <w:r w:rsidR="00345D12">
        <w:t xml:space="preserve"> notion </w:t>
      </w:r>
      <w:r w:rsidR="000C2819">
        <w:t xml:space="preserve">d’erreur inexcusable équivaut à la faute lourde et </w:t>
      </w:r>
      <w:r w:rsidR="00345D12">
        <w:t>doit s’interpréter restrictivement afin</w:t>
      </w:r>
      <w:r w:rsidR="006D1BF2">
        <w:t xml:space="preserve"> </w:t>
      </w:r>
      <w:r w:rsidR="00345D12">
        <w:t>d’</w:t>
      </w:r>
      <w:r w:rsidR="000C2819">
        <w:t>assurer</w:t>
      </w:r>
      <w:r w:rsidR="006D1BF2">
        <w:t>,</w:t>
      </w:r>
      <w:r w:rsidR="000C2819">
        <w:t xml:space="preserve"> </w:t>
      </w:r>
      <w:r w:rsidR="006D1BF2">
        <w:t xml:space="preserve">comme le souligne la doctrine, </w:t>
      </w:r>
      <w:r w:rsidR="000C2819">
        <w:t xml:space="preserve">une protection adéquate du consentement </w:t>
      </w:r>
      <w:r w:rsidR="00345D12">
        <w:t>puisqu’il s’agit d’une exception</w:t>
      </w:r>
      <w:r w:rsidR="000C2819">
        <w:t xml:space="preserve"> à la nullité pour erreur</w:t>
      </w:r>
      <w:r w:rsidR="000C2819">
        <w:rPr>
          <w:rStyle w:val="Appelnotedebasdep"/>
        </w:rPr>
        <w:footnoteReference w:id="13"/>
      </w:r>
      <w:r w:rsidR="000C2819">
        <w:t>.</w:t>
      </w:r>
    </w:p>
    <w:p w14:paraId="149B6030" w14:textId="77777777" w:rsidR="002655EA" w:rsidRDefault="00B67E14" w:rsidP="002655EA">
      <w:pPr>
        <w:pStyle w:val="corpsdedcision"/>
        <w:tabs>
          <w:tab w:val="clear" w:pos="360"/>
        </w:tabs>
      </w:pPr>
      <w:r>
        <w:t>Par ailleurs, le caractère grossier ou inexcusable d’une erreur doit être évalué en fonction des circonstances particulières de chaque dossier</w:t>
      </w:r>
      <w:r>
        <w:rPr>
          <w:rStyle w:val="Appelnotedebasdep"/>
        </w:rPr>
        <w:footnoteReference w:id="14"/>
      </w:r>
      <w:r>
        <w:t>.</w:t>
      </w:r>
    </w:p>
    <w:p w14:paraId="27C5DC25" w14:textId="77777777" w:rsidR="00580AE0" w:rsidRDefault="002655EA" w:rsidP="002655EA">
      <w:pPr>
        <w:pStyle w:val="corpsdedcision"/>
        <w:tabs>
          <w:tab w:val="clear" w:pos="360"/>
        </w:tabs>
      </w:pPr>
      <w:r>
        <w:t>La Commission</w:t>
      </w:r>
      <w:r w:rsidR="00E47A72">
        <w:t xml:space="preserve"> </w:t>
      </w:r>
      <w:r w:rsidR="006D1BF2">
        <w:t>invoque</w:t>
      </w:r>
      <w:r w:rsidR="00E47A72">
        <w:t xml:space="preserve"> que le travailleur est capable de s’exprimer clairement, qu’il a formulé au moins 13 contestations depuis la survenance </w:t>
      </w:r>
      <w:r w:rsidR="00943801">
        <w:t>de sa lésion professionnelle</w:t>
      </w:r>
      <w:r>
        <w:t xml:space="preserve"> et que </w:t>
      </w:r>
      <w:r w:rsidR="00701F13">
        <w:t>cinq</w:t>
      </w:r>
      <w:r w:rsidR="001344D3">
        <w:t xml:space="preserve"> </w:t>
      </w:r>
      <w:r w:rsidR="00E47A72">
        <w:t xml:space="preserve">décisions du Tribunal </w:t>
      </w:r>
      <w:r w:rsidR="00943801">
        <w:t>ont été rendues.</w:t>
      </w:r>
    </w:p>
    <w:p w14:paraId="6C9B2E96" w14:textId="77777777" w:rsidR="008B36FC" w:rsidRDefault="008B36FC" w:rsidP="00160550">
      <w:pPr>
        <w:pStyle w:val="corpsdedcision"/>
        <w:tabs>
          <w:tab w:val="clear" w:pos="360"/>
        </w:tabs>
      </w:pPr>
      <w:r>
        <w:t xml:space="preserve">La Commission rappelle </w:t>
      </w:r>
      <w:r w:rsidR="00805EB8">
        <w:t xml:space="preserve">également </w:t>
      </w:r>
      <w:r>
        <w:t xml:space="preserve">que le travailleur, dans le cadre de sa lésion professionnelle, a signé d’autres accords, soit </w:t>
      </w:r>
      <w:r w:rsidR="00FB12B6">
        <w:t>en octobre 1996 et</w:t>
      </w:r>
      <w:r>
        <w:t xml:space="preserve"> </w:t>
      </w:r>
      <w:r w:rsidR="00FB12B6">
        <w:t>en septembre 2006. Ce second accord a fait l’objet d’une décision de la Commission des lésions professionnelles</w:t>
      </w:r>
      <w:r w:rsidR="0087751D">
        <w:rPr>
          <w:rStyle w:val="Appelnotedebasdep"/>
        </w:rPr>
        <w:footnoteReference w:id="15"/>
      </w:r>
      <w:r w:rsidR="00FB12B6">
        <w:t xml:space="preserve"> à l’encontre de laquelle le travailleur a formulé une requête en révision ou révocation ainsi qu’une demande d’annulation de désistements, lesquelles ont été rejetées par une décision </w:t>
      </w:r>
      <w:r w:rsidR="00580AE0">
        <w:t>rendue le 8 février 2010</w:t>
      </w:r>
      <w:r w:rsidR="00580AE0">
        <w:rPr>
          <w:rStyle w:val="Appelnotedebasdep"/>
        </w:rPr>
        <w:footnoteReference w:id="16"/>
      </w:r>
      <w:r w:rsidR="00580AE0">
        <w:t>.</w:t>
      </w:r>
    </w:p>
    <w:p w14:paraId="185724B5" w14:textId="77777777" w:rsidR="002655EA" w:rsidRDefault="00BE3E0D" w:rsidP="00160550">
      <w:pPr>
        <w:pStyle w:val="corpsdedcision"/>
        <w:tabs>
          <w:tab w:val="clear" w:pos="360"/>
        </w:tabs>
      </w:pPr>
      <w:r>
        <w:lastRenderedPageBreak/>
        <w:t>Cette connaissance du cheminement administratif d’un dossier de contestation n’est pas de nature à éclairer le travailleur quant à l’étendu</w:t>
      </w:r>
      <w:r w:rsidR="00E23FAC">
        <w:t>e</w:t>
      </w:r>
      <w:r>
        <w:t xml:space="preserve"> d’un plan de traitement dentaire. Le travailleur a demandé l’assistance d’un conciliateur, il a lu la transaction et aucune indication ne lui permettait de comprendre que le pont qu’il réclame à la Commission était visé par celle-ci. L’erreur en cause n’est pas inexcusable dans les circonstances.</w:t>
      </w:r>
    </w:p>
    <w:p w14:paraId="6228031A" w14:textId="77777777" w:rsidR="000F74C9" w:rsidRDefault="000F74C9" w:rsidP="00160550">
      <w:pPr>
        <w:pStyle w:val="corpsdedcision"/>
        <w:tabs>
          <w:tab w:val="clear" w:pos="360"/>
        </w:tabs>
      </w:pPr>
      <w:r>
        <w:t>À la lumière de ce qui précède, le Tribunal conclut que le consentement du travailleur quant à son désistement a été vicié par son erreur quant à l’objet même du litige couvert par sa contestation</w:t>
      </w:r>
      <w:r w:rsidR="00BE3E0D">
        <w:t xml:space="preserve">. </w:t>
      </w:r>
      <w:r>
        <w:t>Le désistement doit donc être annulé.</w:t>
      </w:r>
    </w:p>
    <w:p w14:paraId="47368886" w14:textId="77777777" w:rsidR="00A66CF9" w:rsidRDefault="00A66CF9" w:rsidP="00A66CF9">
      <w:pPr>
        <w:pStyle w:val="Dispositif"/>
      </w:pPr>
      <w:r>
        <w:rPr>
          <w:b/>
        </w:rPr>
        <w:t>PAR CES MOTIFS, LE TRIBUNAL ADMINISTRATIF DU TRAVAIL :</w:t>
      </w:r>
    </w:p>
    <w:p w14:paraId="1220632F" w14:textId="77777777" w:rsidR="00A66CF9" w:rsidRDefault="000F74C9" w:rsidP="00A66CF9">
      <w:pPr>
        <w:pStyle w:val="Dispositif"/>
      </w:pPr>
      <w:r w:rsidRPr="000F74C9">
        <w:rPr>
          <w:b/>
        </w:rPr>
        <w:t>ACCUEILLE</w:t>
      </w:r>
      <w:r w:rsidRPr="004334E3">
        <w:t xml:space="preserve"> </w:t>
      </w:r>
      <w:r w:rsidR="007D5766">
        <w:t xml:space="preserve">la </w:t>
      </w:r>
      <w:r w:rsidR="00673BD2">
        <w:t xml:space="preserve">requête en annulation de désistement </w:t>
      </w:r>
      <w:r w:rsidR="00A014F5" w:rsidRPr="00BE3E0D">
        <w:t>et en réouverture de dossier</w:t>
      </w:r>
      <w:r w:rsidR="00A014F5">
        <w:t xml:space="preserve"> </w:t>
      </w:r>
      <w:r>
        <w:t>de monsieur Gérald Lauzon, le travailleur</w:t>
      </w:r>
      <w:r w:rsidR="00673BD2">
        <w:t>.</w:t>
      </w:r>
    </w:p>
    <w:p w14:paraId="7F89C821" w14:textId="77777777" w:rsidR="006D1BF2" w:rsidRDefault="006D1BF2" w:rsidP="006D1BF2">
      <w:pPr>
        <w:pStyle w:val="Dispositif"/>
      </w:pPr>
      <w:r>
        <w:rPr>
          <w:b/>
        </w:rPr>
        <w:t>ANNULE</w:t>
      </w:r>
      <w:r>
        <w:t xml:space="preserve"> le désistement daté du 28 juin 2017 déposé au Tribunal administratif du travail à l’endroit de la contestation du 9 mars 2017;</w:t>
      </w:r>
    </w:p>
    <w:p w14:paraId="63CF93D2" w14:textId="77777777" w:rsidR="006D1BF2" w:rsidRPr="000338FE" w:rsidRDefault="006D1BF2" w:rsidP="006D1BF2">
      <w:pPr>
        <w:pStyle w:val="Dispositif"/>
      </w:pPr>
      <w:r>
        <w:rPr>
          <w:b/>
        </w:rPr>
        <w:t>CONVOQUERA</w:t>
      </w:r>
      <w:r>
        <w:t xml:space="preserve"> à nouveau les parties à une audience sur le fond de la contestation d</w:t>
      </w:r>
      <w:r w:rsidR="0044190F">
        <w:t>u travailleur à l’encontre de la décision de la Commission des normes, de l’équité, de la santé et de la sécurité du travail rendue le 8 juillet 2016 à la suite d’une révision administrative.</w:t>
      </w:r>
    </w:p>
    <w:p w14:paraId="2D66C69E" w14:textId="77777777" w:rsidR="006D1BF2" w:rsidRDefault="006D1BF2" w:rsidP="00A66CF9">
      <w:pPr>
        <w:pStyle w:val="Dispositif"/>
      </w:pPr>
    </w:p>
    <w:tbl>
      <w:tblPr>
        <w:tblW w:w="9590" w:type="dxa"/>
        <w:tblLayout w:type="fixed"/>
        <w:tblCellMar>
          <w:left w:w="70" w:type="dxa"/>
          <w:right w:w="70" w:type="dxa"/>
        </w:tblCellMar>
        <w:tblLook w:val="0000" w:firstRow="0" w:lastRow="0" w:firstColumn="0" w:lastColumn="0" w:noHBand="0" w:noVBand="0"/>
      </w:tblPr>
      <w:tblGrid>
        <w:gridCol w:w="4795"/>
        <w:gridCol w:w="4795"/>
      </w:tblGrid>
      <w:tr w:rsidR="00A66CF9" w14:paraId="6DAC05BD" w14:textId="77777777" w:rsidTr="00A66CF9">
        <w:tc>
          <w:tcPr>
            <w:tcW w:w="4795" w:type="dxa"/>
          </w:tcPr>
          <w:p w14:paraId="5ADE6161" w14:textId="77777777" w:rsidR="00A66CF9" w:rsidRDefault="00A66CF9" w:rsidP="006263F8"/>
        </w:tc>
        <w:tc>
          <w:tcPr>
            <w:tcW w:w="4795" w:type="dxa"/>
          </w:tcPr>
          <w:p w14:paraId="204AB91B" w14:textId="77777777" w:rsidR="00A66CF9" w:rsidRDefault="00A66CF9" w:rsidP="006263F8">
            <w:bookmarkStart w:id="7" w:name="signature"/>
            <w:bookmarkEnd w:id="7"/>
            <w:r>
              <w:t>__________________________________</w:t>
            </w:r>
          </w:p>
        </w:tc>
      </w:tr>
      <w:tr w:rsidR="00A66CF9" w14:paraId="1604E838" w14:textId="77777777" w:rsidTr="00A66CF9">
        <w:tc>
          <w:tcPr>
            <w:tcW w:w="4795" w:type="dxa"/>
          </w:tcPr>
          <w:p w14:paraId="7B65280E" w14:textId="77777777" w:rsidR="00A66CF9" w:rsidRDefault="00A66CF9" w:rsidP="006263F8"/>
        </w:tc>
        <w:tc>
          <w:tcPr>
            <w:tcW w:w="4795" w:type="dxa"/>
          </w:tcPr>
          <w:p w14:paraId="72BE9FC9" w14:textId="77777777" w:rsidR="002449A1" w:rsidRDefault="00E56769" w:rsidP="006263F8">
            <w:r>
              <w:t>Isabelle Therrien</w:t>
            </w:r>
          </w:p>
        </w:tc>
      </w:tr>
      <w:tr w:rsidR="00F64389" w14:paraId="163937C1" w14:textId="77777777" w:rsidTr="00A66CF9">
        <w:trPr>
          <w:cantSplit/>
        </w:trPr>
        <w:tc>
          <w:tcPr>
            <w:tcW w:w="9590" w:type="dxa"/>
            <w:gridSpan w:val="2"/>
          </w:tcPr>
          <w:p w14:paraId="554D6C1B" w14:textId="77777777" w:rsidR="00F64389" w:rsidRDefault="00F64389" w:rsidP="006263F8">
            <w:pPr>
              <w:pStyle w:val="zSoquijlblProcureurDem"/>
            </w:pPr>
          </w:p>
        </w:tc>
      </w:tr>
      <w:tr w:rsidR="00A66CF9" w14:paraId="5AE59F18" w14:textId="77777777" w:rsidTr="00A66CF9">
        <w:trPr>
          <w:cantSplit/>
        </w:trPr>
        <w:tc>
          <w:tcPr>
            <w:tcW w:w="9590" w:type="dxa"/>
            <w:gridSpan w:val="2"/>
          </w:tcPr>
          <w:p w14:paraId="57A11D15" w14:textId="77777777" w:rsidR="00A66CF9" w:rsidRPr="002C5559" w:rsidRDefault="006346AC" w:rsidP="006263F8">
            <w:pPr>
              <w:rPr>
                <w:szCs w:val="24"/>
              </w:rPr>
            </w:pPr>
            <w:r w:rsidRPr="002C5559">
              <w:rPr>
                <w:szCs w:val="24"/>
              </w:rPr>
              <w:t>M. Gérald Lauzon</w:t>
            </w:r>
          </w:p>
        </w:tc>
      </w:tr>
      <w:tr w:rsidR="00A66CF9" w14:paraId="6A663612" w14:textId="77777777" w:rsidTr="00A66CF9">
        <w:trPr>
          <w:cantSplit/>
        </w:trPr>
        <w:tc>
          <w:tcPr>
            <w:tcW w:w="9590" w:type="dxa"/>
            <w:gridSpan w:val="2"/>
          </w:tcPr>
          <w:p w14:paraId="36154E36" w14:textId="77777777" w:rsidR="00A66CF9" w:rsidRPr="002C5559" w:rsidRDefault="006346AC" w:rsidP="006263F8">
            <w:pPr>
              <w:pStyle w:val="zSoquijdatNomProcureurInt"/>
              <w:rPr>
                <w:szCs w:val="24"/>
              </w:rPr>
            </w:pPr>
            <w:r w:rsidRPr="002C5559">
              <w:rPr>
                <w:szCs w:val="24"/>
              </w:rPr>
              <w:t>Pour lui-même</w:t>
            </w:r>
          </w:p>
        </w:tc>
      </w:tr>
      <w:tr w:rsidR="006A64BB" w14:paraId="0C5F121B" w14:textId="77777777" w:rsidTr="00673BD2">
        <w:trPr>
          <w:cantSplit/>
          <w:trHeight w:val="80"/>
        </w:trPr>
        <w:tc>
          <w:tcPr>
            <w:tcW w:w="9590" w:type="dxa"/>
            <w:gridSpan w:val="2"/>
          </w:tcPr>
          <w:p w14:paraId="6E35432D" w14:textId="77777777" w:rsidR="006A64BB" w:rsidRPr="002C5559" w:rsidRDefault="006A64BB" w:rsidP="006071DA">
            <w:pPr>
              <w:pStyle w:val="zSoquijlblProcureurInt"/>
              <w:rPr>
                <w:szCs w:val="24"/>
              </w:rPr>
            </w:pPr>
          </w:p>
        </w:tc>
      </w:tr>
      <w:tr w:rsidR="006A64BB" w14:paraId="43F46A7B" w14:textId="77777777" w:rsidTr="00673BD2">
        <w:trPr>
          <w:cantSplit/>
          <w:trHeight w:val="80"/>
        </w:trPr>
        <w:tc>
          <w:tcPr>
            <w:tcW w:w="9590" w:type="dxa"/>
            <w:gridSpan w:val="2"/>
          </w:tcPr>
          <w:p w14:paraId="364659EB" w14:textId="77777777" w:rsidR="006A64BB" w:rsidRPr="002C5559" w:rsidRDefault="006A64BB" w:rsidP="006071DA">
            <w:pPr>
              <w:pStyle w:val="zSoquijlblProcureurInt"/>
              <w:rPr>
                <w:szCs w:val="24"/>
              </w:rPr>
            </w:pPr>
            <w:r w:rsidRPr="002C5559">
              <w:rPr>
                <w:szCs w:val="24"/>
              </w:rPr>
              <w:t>M. Stéphane Tremblay</w:t>
            </w:r>
          </w:p>
        </w:tc>
      </w:tr>
      <w:tr w:rsidR="006A64BB" w14:paraId="7E263F09" w14:textId="77777777" w:rsidTr="00673BD2">
        <w:trPr>
          <w:cantSplit/>
          <w:trHeight w:val="80"/>
        </w:trPr>
        <w:tc>
          <w:tcPr>
            <w:tcW w:w="9590" w:type="dxa"/>
            <w:gridSpan w:val="2"/>
          </w:tcPr>
          <w:p w14:paraId="12A5CFEC" w14:textId="77777777" w:rsidR="006A64BB" w:rsidRPr="002C5559" w:rsidRDefault="006A64BB" w:rsidP="006071DA">
            <w:pPr>
              <w:pStyle w:val="zSoquijlblProcureurInt"/>
              <w:rPr>
                <w:szCs w:val="24"/>
              </w:rPr>
            </w:pPr>
            <w:r w:rsidRPr="002C5559">
              <w:rPr>
                <w:szCs w:val="24"/>
              </w:rPr>
              <w:t>Pour la partie mise en cause</w:t>
            </w:r>
          </w:p>
        </w:tc>
      </w:tr>
      <w:tr w:rsidR="006A64BB" w14:paraId="5B8B6EE4" w14:textId="77777777" w:rsidTr="00673BD2">
        <w:trPr>
          <w:cantSplit/>
          <w:trHeight w:val="80"/>
        </w:trPr>
        <w:tc>
          <w:tcPr>
            <w:tcW w:w="9590" w:type="dxa"/>
            <w:gridSpan w:val="2"/>
          </w:tcPr>
          <w:p w14:paraId="1C4D4637" w14:textId="77777777" w:rsidR="006A64BB" w:rsidRPr="002C5559" w:rsidRDefault="006A64BB" w:rsidP="006071DA">
            <w:pPr>
              <w:pStyle w:val="zSoquijlblProcureurInt"/>
              <w:rPr>
                <w:szCs w:val="24"/>
              </w:rPr>
            </w:pPr>
          </w:p>
        </w:tc>
      </w:tr>
      <w:tr w:rsidR="00A66CF9" w14:paraId="59B01636" w14:textId="77777777" w:rsidTr="00673BD2">
        <w:trPr>
          <w:cantSplit/>
          <w:trHeight w:val="80"/>
        </w:trPr>
        <w:tc>
          <w:tcPr>
            <w:tcW w:w="9590" w:type="dxa"/>
            <w:gridSpan w:val="2"/>
          </w:tcPr>
          <w:p w14:paraId="0F2A028A" w14:textId="77777777" w:rsidR="00A66CF9" w:rsidRPr="002C5559" w:rsidRDefault="006346AC" w:rsidP="006071DA">
            <w:pPr>
              <w:pStyle w:val="zSoquijlblProcureurInt"/>
              <w:rPr>
                <w:szCs w:val="24"/>
              </w:rPr>
            </w:pPr>
            <w:r w:rsidRPr="002C5559">
              <w:rPr>
                <w:szCs w:val="24"/>
              </w:rPr>
              <w:t>M</w:t>
            </w:r>
            <w:r w:rsidRPr="002C5559">
              <w:rPr>
                <w:szCs w:val="24"/>
                <w:vertAlign w:val="superscript"/>
              </w:rPr>
              <w:t>e</w:t>
            </w:r>
            <w:r w:rsidRPr="002C5559">
              <w:rPr>
                <w:szCs w:val="24"/>
              </w:rPr>
              <w:t xml:space="preserve"> Maxime Gagné</w:t>
            </w:r>
          </w:p>
        </w:tc>
      </w:tr>
      <w:tr w:rsidR="00A66CF9" w14:paraId="67129E3A" w14:textId="77777777" w:rsidTr="00A66CF9">
        <w:trPr>
          <w:cantSplit/>
        </w:trPr>
        <w:tc>
          <w:tcPr>
            <w:tcW w:w="9590" w:type="dxa"/>
            <w:gridSpan w:val="2"/>
          </w:tcPr>
          <w:p w14:paraId="53510AA8" w14:textId="77777777" w:rsidR="00A66CF9" w:rsidRPr="002C5559" w:rsidRDefault="006346AC" w:rsidP="006263F8">
            <w:pPr>
              <w:pStyle w:val="zSoquijlblProcureurInt"/>
              <w:rPr>
                <w:szCs w:val="24"/>
              </w:rPr>
            </w:pPr>
            <w:r w:rsidRPr="002C5559">
              <w:rPr>
                <w:szCs w:val="24"/>
              </w:rPr>
              <w:t>PAQUET TELLIER</w:t>
            </w:r>
          </w:p>
        </w:tc>
      </w:tr>
      <w:tr w:rsidR="00716E15" w14:paraId="387A0A7E" w14:textId="77777777" w:rsidTr="00A66CF9">
        <w:trPr>
          <w:cantSplit/>
        </w:trPr>
        <w:tc>
          <w:tcPr>
            <w:tcW w:w="9590" w:type="dxa"/>
            <w:gridSpan w:val="2"/>
          </w:tcPr>
          <w:p w14:paraId="504D170C" w14:textId="77777777" w:rsidR="00716E15" w:rsidRPr="002C5559" w:rsidRDefault="006346AC" w:rsidP="006263F8">
            <w:pPr>
              <w:pStyle w:val="zSoquijlblProcureurInt"/>
              <w:rPr>
                <w:szCs w:val="24"/>
              </w:rPr>
            </w:pPr>
            <w:r w:rsidRPr="002C5559">
              <w:rPr>
                <w:szCs w:val="24"/>
              </w:rPr>
              <w:t>Pour la partie intervenante</w:t>
            </w:r>
          </w:p>
        </w:tc>
      </w:tr>
      <w:tr w:rsidR="002F6BE9" w14:paraId="0EAA6F5D" w14:textId="77777777" w:rsidTr="00A66CF9">
        <w:trPr>
          <w:cantSplit/>
        </w:trPr>
        <w:tc>
          <w:tcPr>
            <w:tcW w:w="9590" w:type="dxa"/>
            <w:gridSpan w:val="2"/>
          </w:tcPr>
          <w:p w14:paraId="3CF1432A" w14:textId="77777777" w:rsidR="002F6BE9" w:rsidRDefault="002F6BE9" w:rsidP="006263F8">
            <w:pPr>
              <w:pStyle w:val="zSoquijlblProcureurInt"/>
            </w:pPr>
          </w:p>
        </w:tc>
      </w:tr>
    </w:tbl>
    <w:p w14:paraId="1462ED9F" w14:textId="77777777" w:rsidR="009A135C" w:rsidRPr="00A66CF9" w:rsidRDefault="009A135C" w:rsidP="001C4FE9">
      <w:bookmarkStart w:id="8" w:name="_GoBack"/>
      <w:bookmarkEnd w:id="8"/>
    </w:p>
    <w:sectPr w:rsidR="009A135C" w:rsidRPr="00A66CF9" w:rsidSect="00DD03BF">
      <w:headerReference w:type="default" r:id="rId8"/>
      <w:pgSz w:w="12240" w:h="15840" w:code="1"/>
      <w:pgMar w:top="1152" w:right="1440" w:bottom="1440" w:left="1440" w:header="706" w:footer="567" w:gutter="0"/>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DF84E83" w14:textId="77777777" w:rsidR="00F81F5F" w:rsidRDefault="00F81F5F">
      <w:r>
        <w:separator/>
      </w:r>
    </w:p>
  </w:endnote>
  <w:endnote w:type="continuationSeparator" w:id="0">
    <w:p w14:paraId="3A1AD10C" w14:textId="77777777" w:rsidR="00F81F5F" w:rsidRDefault="00F81F5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10022FF" w:usb1="C000E47F" w:usb2="00000029" w:usb3="00000000" w:csb0="000001D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242A961" w14:textId="77777777" w:rsidR="00F81F5F" w:rsidRDefault="00F81F5F">
      <w:r>
        <w:separator/>
      </w:r>
    </w:p>
  </w:footnote>
  <w:footnote w:type="continuationSeparator" w:id="0">
    <w:p w14:paraId="4882DC6E" w14:textId="77777777" w:rsidR="00F81F5F" w:rsidRDefault="00F81F5F">
      <w:r>
        <w:continuationSeparator/>
      </w:r>
    </w:p>
  </w:footnote>
  <w:footnote w:id="1">
    <w:p w14:paraId="4B08668A" w14:textId="77777777" w:rsidR="004334E3" w:rsidRDefault="004334E3" w:rsidP="0007644B">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RLRQ, c. A-3.001.</w:t>
      </w:r>
    </w:p>
  </w:footnote>
  <w:footnote w:id="2">
    <w:p w14:paraId="1C52906E" w14:textId="77777777" w:rsidR="006E355F" w:rsidRPr="00377F61" w:rsidRDefault="006E355F" w:rsidP="006E355F">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00DA22C7" w:rsidRPr="00100283">
        <w:rPr>
          <w:i/>
          <w:sz w:val="20"/>
        </w:rPr>
        <w:t xml:space="preserve">Livraison florale 4 étoiles </w:t>
      </w:r>
      <w:proofErr w:type="spellStart"/>
      <w:r w:rsidR="00DA22C7" w:rsidRPr="00100283">
        <w:rPr>
          <w:i/>
          <w:sz w:val="20"/>
        </w:rPr>
        <w:t>enr</w:t>
      </w:r>
      <w:proofErr w:type="spellEnd"/>
      <w:r w:rsidR="00DA22C7">
        <w:rPr>
          <w:i/>
          <w:sz w:val="20"/>
        </w:rPr>
        <w:t>. (F</w:t>
      </w:r>
      <w:r w:rsidR="00DA22C7" w:rsidRPr="00724D03">
        <w:rPr>
          <w:i/>
          <w:sz w:val="20"/>
        </w:rPr>
        <w:t>)</w:t>
      </w:r>
      <w:r w:rsidR="00DA22C7" w:rsidRPr="00100283">
        <w:rPr>
          <w:sz w:val="20"/>
        </w:rPr>
        <w:t xml:space="preserve"> et </w:t>
      </w:r>
      <w:r w:rsidR="00DA22C7" w:rsidRPr="00100283">
        <w:rPr>
          <w:i/>
          <w:sz w:val="20"/>
        </w:rPr>
        <w:t>Levasseur</w:t>
      </w:r>
      <w:r w:rsidR="00DA22C7" w:rsidRPr="00100283">
        <w:rPr>
          <w:sz w:val="20"/>
        </w:rPr>
        <w:t>, C.L.P. 206509-71-0304, 16</w:t>
      </w:r>
      <w:r w:rsidR="00DA22C7">
        <w:rPr>
          <w:sz w:val="20"/>
        </w:rPr>
        <w:t> </w:t>
      </w:r>
      <w:r w:rsidR="00DA22C7" w:rsidRPr="00100283">
        <w:rPr>
          <w:sz w:val="20"/>
        </w:rPr>
        <w:t xml:space="preserve">janvier </w:t>
      </w:r>
      <w:smartTag w:uri="urn:schemas-microsoft-com:office:smarttags" w:element="metricconverter">
        <w:smartTagPr>
          <w:attr w:name="ProductID" w:val="2009, L"/>
        </w:smartTagPr>
        <w:r w:rsidR="00DA22C7" w:rsidRPr="00100283">
          <w:rPr>
            <w:sz w:val="20"/>
          </w:rPr>
          <w:t>2009, L</w:t>
        </w:r>
      </w:smartTag>
      <w:r w:rsidR="00DA22C7">
        <w:rPr>
          <w:sz w:val="20"/>
        </w:rPr>
        <w:t>. Nadeau;</w:t>
      </w:r>
      <w:r w:rsidR="00DA22C7" w:rsidRPr="00100283">
        <w:rPr>
          <w:i/>
          <w:sz w:val="20"/>
        </w:rPr>
        <w:t xml:space="preserve"> Gélinas</w:t>
      </w:r>
      <w:r w:rsidR="00DA22C7" w:rsidRPr="00100283">
        <w:rPr>
          <w:sz w:val="20"/>
        </w:rPr>
        <w:t xml:space="preserve"> et </w:t>
      </w:r>
      <w:r w:rsidR="00DA22C7" w:rsidRPr="00100283">
        <w:rPr>
          <w:i/>
          <w:sz w:val="20"/>
        </w:rPr>
        <w:t xml:space="preserve">Marley Canadian </w:t>
      </w:r>
      <w:proofErr w:type="spellStart"/>
      <w:r w:rsidR="00DA22C7" w:rsidRPr="00100283">
        <w:rPr>
          <w:i/>
          <w:sz w:val="20"/>
        </w:rPr>
        <w:t>Cooling</w:t>
      </w:r>
      <w:proofErr w:type="spellEnd"/>
      <w:r w:rsidR="00DA22C7" w:rsidRPr="00100283">
        <w:rPr>
          <w:i/>
          <w:sz w:val="20"/>
        </w:rPr>
        <w:t xml:space="preserve"> Towers</w:t>
      </w:r>
      <w:r w:rsidR="00DA22C7">
        <w:rPr>
          <w:i/>
          <w:sz w:val="20"/>
        </w:rPr>
        <w:t xml:space="preserve">, </w:t>
      </w:r>
      <w:r w:rsidR="00DA22C7" w:rsidRPr="00100283">
        <w:rPr>
          <w:sz w:val="20"/>
        </w:rPr>
        <w:t>C.L.P.</w:t>
      </w:r>
      <w:r w:rsidR="00DA22C7">
        <w:rPr>
          <w:sz w:val="20"/>
        </w:rPr>
        <w:t xml:space="preserve"> 157952-04-0104, 6 mars 2009, D. Lajoie;</w:t>
      </w:r>
      <w:r w:rsidR="00DA22C7">
        <w:rPr>
          <w:i/>
          <w:sz w:val="20"/>
        </w:rPr>
        <w:t xml:space="preserve"> </w:t>
      </w:r>
      <w:r>
        <w:rPr>
          <w:i/>
          <w:sz w:val="20"/>
        </w:rPr>
        <w:t>L</w:t>
      </w:r>
      <w:r w:rsidRPr="00100283">
        <w:rPr>
          <w:i/>
          <w:sz w:val="20"/>
        </w:rPr>
        <w:t>afontaine</w:t>
      </w:r>
      <w:r>
        <w:rPr>
          <w:sz w:val="20"/>
        </w:rPr>
        <w:t xml:space="preserve"> et </w:t>
      </w:r>
      <w:r w:rsidRPr="00100283">
        <w:rPr>
          <w:i/>
          <w:sz w:val="20"/>
        </w:rPr>
        <w:t xml:space="preserve">Services forestiers BQ </w:t>
      </w:r>
      <w:proofErr w:type="spellStart"/>
      <w:r w:rsidRPr="00100283">
        <w:rPr>
          <w:i/>
          <w:sz w:val="20"/>
        </w:rPr>
        <w:t>inc.</w:t>
      </w:r>
      <w:proofErr w:type="spellEnd"/>
      <w:r w:rsidR="00DA22C7">
        <w:rPr>
          <w:sz w:val="20"/>
        </w:rPr>
        <w:t xml:space="preserve">, </w:t>
      </w:r>
      <w:r>
        <w:rPr>
          <w:sz w:val="20"/>
        </w:rPr>
        <w:t>C.L.P. 353223-07-0807, 19 ma</w:t>
      </w:r>
      <w:r w:rsidR="00724D03">
        <w:rPr>
          <w:sz w:val="20"/>
        </w:rPr>
        <w:t>rs 2009, S.</w:t>
      </w:r>
      <w:r w:rsidR="00DA22C7">
        <w:rPr>
          <w:sz w:val="20"/>
        </w:rPr>
        <w:t> </w:t>
      </w:r>
      <w:r w:rsidR="00724D03">
        <w:rPr>
          <w:sz w:val="20"/>
        </w:rPr>
        <w:t>Séguin</w:t>
      </w:r>
      <w:r>
        <w:rPr>
          <w:sz w:val="20"/>
        </w:rPr>
        <w:t>;</w:t>
      </w:r>
      <w:r w:rsidR="00DA22C7">
        <w:rPr>
          <w:sz w:val="20"/>
        </w:rPr>
        <w:t xml:space="preserve"> </w:t>
      </w:r>
      <w:r w:rsidR="00DA22C7">
        <w:rPr>
          <w:i/>
          <w:sz w:val="20"/>
        </w:rPr>
        <w:t xml:space="preserve">Paquin </w:t>
      </w:r>
      <w:r w:rsidR="00DA22C7" w:rsidRPr="00377F61">
        <w:rPr>
          <w:sz w:val="20"/>
        </w:rPr>
        <w:t>et</w:t>
      </w:r>
      <w:r w:rsidR="00DA22C7">
        <w:rPr>
          <w:i/>
          <w:sz w:val="20"/>
        </w:rPr>
        <w:t xml:space="preserve"> Viande Ultra </w:t>
      </w:r>
      <w:proofErr w:type="spellStart"/>
      <w:r w:rsidR="00DA22C7">
        <w:rPr>
          <w:i/>
          <w:sz w:val="20"/>
        </w:rPr>
        <w:t>Meats</w:t>
      </w:r>
      <w:proofErr w:type="spellEnd"/>
      <w:r w:rsidR="00DA22C7">
        <w:rPr>
          <w:i/>
          <w:sz w:val="20"/>
        </w:rPr>
        <w:t xml:space="preserve"> </w:t>
      </w:r>
      <w:proofErr w:type="spellStart"/>
      <w:r w:rsidR="00DA22C7">
        <w:rPr>
          <w:i/>
          <w:sz w:val="20"/>
        </w:rPr>
        <w:t>inc</w:t>
      </w:r>
      <w:r w:rsidR="0086439F">
        <w:rPr>
          <w:i/>
          <w:sz w:val="20"/>
        </w:rPr>
        <w:t>.</w:t>
      </w:r>
      <w:proofErr w:type="spellEnd"/>
      <w:r w:rsidR="00DA22C7">
        <w:rPr>
          <w:i/>
          <w:sz w:val="20"/>
        </w:rPr>
        <w:t xml:space="preserve">, </w:t>
      </w:r>
      <w:r w:rsidR="00DA22C7" w:rsidRPr="00DA22C7">
        <w:rPr>
          <w:sz w:val="20"/>
        </w:rPr>
        <w:t>C.L.P. 335880-63-0712, 13 janvier 2010, J.-P. Arsenault</w:t>
      </w:r>
      <w:r w:rsidR="00DA22C7">
        <w:rPr>
          <w:sz w:val="20"/>
        </w:rPr>
        <w:t>.</w:t>
      </w:r>
    </w:p>
  </w:footnote>
  <w:footnote w:id="3">
    <w:p w14:paraId="267B8CB3" w14:textId="77777777" w:rsidR="00A805B3" w:rsidRDefault="00A805B3" w:rsidP="0007644B">
      <w:pPr>
        <w:pStyle w:val="Notedebasdepage"/>
      </w:pPr>
      <w:r>
        <w:rPr>
          <w:rStyle w:val="Appelnotedebasdep"/>
        </w:rPr>
        <w:footnoteRef/>
      </w:r>
      <w:r>
        <w:t xml:space="preserve"> </w:t>
      </w:r>
      <w:r>
        <w:tab/>
      </w:r>
      <w:r>
        <w:rPr>
          <w:sz w:val="20"/>
        </w:rPr>
        <w:t>RLRQ, c. T-15.1.</w:t>
      </w:r>
    </w:p>
  </w:footnote>
  <w:footnote w:id="4">
    <w:p w14:paraId="6CD18677" w14:textId="77777777" w:rsidR="00F50A16" w:rsidRPr="00F50A16" w:rsidRDefault="00F50A16" w:rsidP="00F50A16">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Pr="002F6BE9">
        <w:rPr>
          <w:rFonts w:cs="Arial"/>
          <w:color w:val="000000"/>
          <w:sz w:val="20"/>
        </w:rPr>
        <w:t>RLRQ, c. CCQ-1991.</w:t>
      </w:r>
    </w:p>
  </w:footnote>
  <w:footnote w:id="5">
    <w:p w14:paraId="3D208276" w14:textId="77777777" w:rsidR="00F50A16" w:rsidRPr="00F50A16" w:rsidRDefault="00F50A16" w:rsidP="00F50A16">
      <w:pPr>
        <w:pStyle w:val="Notedebasdepage"/>
        <w:tabs>
          <w:tab w:val="left" w:pos="720"/>
        </w:tabs>
        <w:ind w:left="720" w:hanging="720"/>
        <w:jc w:val="both"/>
        <w:rPr>
          <w:rFonts w:cs="Arial"/>
          <w:sz w:val="20"/>
        </w:rPr>
      </w:pPr>
      <w:r>
        <w:rPr>
          <w:rStyle w:val="Appelnotedebasdep"/>
        </w:rPr>
        <w:footnoteRef/>
      </w:r>
      <w:r>
        <w:t xml:space="preserve"> </w:t>
      </w:r>
      <w:r w:rsidR="00DA22C7">
        <w:rPr>
          <w:rFonts w:cs="Arial"/>
          <w:sz w:val="20"/>
        </w:rPr>
        <w:tab/>
        <w:t>Précité</w:t>
      </w:r>
      <w:r>
        <w:rPr>
          <w:rFonts w:cs="Arial"/>
          <w:sz w:val="20"/>
        </w:rPr>
        <w:t xml:space="preserve">, note </w:t>
      </w:r>
      <w:r>
        <w:rPr>
          <w:rFonts w:cs="Arial"/>
          <w:sz w:val="20"/>
        </w:rPr>
        <w:fldChar w:fldCharType="begin"/>
      </w:r>
      <w:r>
        <w:rPr>
          <w:rFonts w:cs="Arial"/>
          <w:sz w:val="20"/>
        </w:rPr>
        <w:instrText xml:space="preserve"> NOTEREF _Ref8127531 \h </w:instrText>
      </w:r>
      <w:r>
        <w:rPr>
          <w:rFonts w:cs="Arial"/>
          <w:sz w:val="20"/>
        </w:rPr>
      </w:r>
      <w:r>
        <w:rPr>
          <w:rFonts w:cs="Arial"/>
          <w:sz w:val="20"/>
        </w:rPr>
        <w:fldChar w:fldCharType="separate"/>
      </w:r>
      <w:r w:rsidR="006A64BB">
        <w:rPr>
          <w:rFonts w:cs="Arial"/>
          <w:sz w:val="20"/>
        </w:rPr>
        <w:t>4</w:t>
      </w:r>
      <w:r>
        <w:rPr>
          <w:rFonts w:cs="Arial"/>
          <w:sz w:val="20"/>
        </w:rPr>
        <w:fldChar w:fldCharType="end"/>
      </w:r>
      <w:r>
        <w:rPr>
          <w:rFonts w:cs="Arial"/>
          <w:sz w:val="20"/>
        </w:rPr>
        <w:t>.</w:t>
      </w:r>
    </w:p>
  </w:footnote>
  <w:footnote w:id="6">
    <w:p w14:paraId="2339ACD4" w14:textId="77777777" w:rsidR="00FC68C1" w:rsidRPr="00FC68C1" w:rsidRDefault="00FC68C1" w:rsidP="00FC68C1">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00170F67">
        <w:rPr>
          <w:rFonts w:cs="Arial"/>
          <w:sz w:val="20"/>
        </w:rPr>
        <w:t>2018 QCCS 4836 (requête pour permission d’appeler accueillie le 22 janvier 2019).</w:t>
      </w:r>
    </w:p>
  </w:footnote>
  <w:footnote w:id="7">
    <w:p w14:paraId="76A81130" w14:textId="77777777" w:rsidR="008C3DD6" w:rsidRPr="008C3DD6" w:rsidRDefault="008C3DD6" w:rsidP="008C3DD6">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Pr="008C3DD6">
        <w:rPr>
          <w:rFonts w:cs="Arial"/>
          <w:sz w:val="20"/>
        </w:rPr>
        <w:t>2017 QCTAT 3322</w:t>
      </w:r>
      <w:r w:rsidR="00943801">
        <w:rPr>
          <w:rFonts w:cs="Arial"/>
          <w:sz w:val="20"/>
        </w:rPr>
        <w:t>.</w:t>
      </w:r>
    </w:p>
  </w:footnote>
  <w:footnote w:id="8">
    <w:p w14:paraId="28A845EA" w14:textId="77777777" w:rsidR="0095499D" w:rsidRPr="00304C5D" w:rsidRDefault="0095499D" w:rsidP="0095499D">
      <w:pPr>
        <w:pStyle w:val="Notedebasdepage"/>
        <w:tabs>
          <w:tab w:val="left" w:pos="720"/>
        </w:tabs>
        <w:ind w:left="720" w:hanging="720"/>
        <w:jc w:val="both"/>
        <w:rPr>
          <w:rFonts w:cs="Arial"/>
          <w:sz w:val="20"/>
        </w:rPr>
      </w:pPr>
      <w:r w:rsidRPr="00304C5D">
        <w:rPr>
          <w:rStyle w:val="Appelnotedebasdep"/>
        </w:rPr>
        <w:footnoteRef/>
      </w:r>
      <w:r w:rsidRPr="00304C5D">
        <w:t xml:space="preserve"> </w:t>
      </w:r>
      <w:r w:rsidRPr="00304C5D">
        <w:rPr>
          <w:rFonts w:cs="Arial"/>
          <w:sz w:val="20"/>
        </w:rPr>
        <w:tab/>
      </w:r>
      <w:r w:rsidR="00210997">
        <w:rPr>
          <w:rFonts w:cs="Arial"/>
          <w:color w:val="000000"/>
          <w:sz w:val="20"/>
        </w:rPr>
        <w:t>Précité</w:t>
      </w:r>
      <w:r w:rsidR="002F6BE9" w:rsidRPr="00304C5D">
        <w:rPr>
          <w:rFonts w:cs="Arial"/>
          <w:color w:val="000000"/>
          <w:sz w:val="20"/>
        </w:rPr>
        <w:t xml:space="preserve">, note </w:t>
      </w:r>
      <w:r w:rsidR="002F6BE9" w:rsidRPr="00304C5D">
        <w:rPr>
          <w:rFonts w:cs="Arial"/>
          <w:color w:val="000000"/>
          <w:sz w:val="20"/>
        </w:rPr>
        <w:fldChar w:fldCharType="begin"/>
      </w:r>
      <w:r w:rsidR="002F6BE9" w:rsidRPr="00304C5D">
        <w:rPr>
          <w:rFonts w:cs="Arial"/>
          <w:color w:val="000000"/>
          <w:sz w:val="20"/>
        </w:rPr>
        <w:instrText xml:space="preserve"> NOTEREF _Ref8127531 \h </w:instrText>
      </w:r>
      <w:r w:rsidR="00304C5D">
        <w:rPr>
          <w:rFonts w:cs="Arial"/>
          <w:color w:val="000000"/>
          <w:sz w:val="20"/>
        </w:rPr>
        <w:instrText xml:space="preserve"> \* MERGEFORMAT </w:instrText>
      </w:r>
      <w:r w:rsidR="002F6BE9" w:rsidRPr="00304C5D">
        <w:rPr>
          <w:rFonts w:cs="Arial"/>
          <w:color w:val="000000"/>
          <w:sz w:val="20"/>
        </w:rPr>
      </w:r>
      <w:r w:rsidR="002F6BE9" w:rsidRPr="00304C5D">
        <w:rPr>
          <w:rFonts w:cs="Arial"/>
          <w:color w:val="000000"/>
          <w:sz w:val="20"/>
        </w:rPr>
        <w:fldChar w:fldCharType="separate"/>
      </w:r>
      <w:r w:rsidR="006A64BB">
        <w:rPr>
          <w:rFonts w:cs="Arial"/>
          <w:color w:val="000000"/>
          <w:sz w:val="20"/>
        </w:rPr>
        <w:t>4</w:t>
      </w:r>
      <w:r w:rsidR="002F6BE9" w:rsidRPr="00304C5D">
        <w:rPr>
          <w:rFonts w:cs="Arial"/>
          <w:color w:val="000000"/>
          <w:sz w:val="20"/>
        </w:rPr>
        <w:fldChar w:fldCharType="end"/>
      </w:r>
      <w:r w:rsidR="00F50A16" w:rsidRPr="00304C5D">
        <w:rPr>
          <w:rFonts w:cs="Arial"/>
          <w:color w:val="000000"/>
          <w:sz w:val="20"/>
        </w:rPr>
        <w:t>.</w:t>
      </w:r>
    </w:p>
  </w:footnote>
  <w:footnote w:id="9">
    <w:p w14:paraId="5A8EF600" w14:textId="77777777" w:rsidR="00E23FAC" w:rsidRPr="00E23FAC" w:rsidRDefault="00E23FAC" w:rsidP="00E23FAC">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Pr>
          <w:rFonts w:cs="Arial"/>
          <w:color w:val="000000"/>
          <w:sz w:val="20"/>
        </w:rPr>
        <w:t xml:space="preserve">Jean-Louis BAUDOIN, Pierre-Gabriel JOBIN et Nathalie VÉZINA, </w:t>
      </w:r>
      <w:r>
        <w:rPr>
          <w:rFonts w:cs="Arial"/>
          <w:i/>
          <w:iCs/>
          <w:color w:val="000000"/>
          <w:sz w:val="20"/>
        </w:rPr>
        <w:t>Les obligations,</w:t>
      </w:r>
      <w:r>
        <w:rPr>
          <w:rFonts w:cs="Arial"/>
          <w:color w:val="000000"/>
          <w:sz w:val="20"/>
        </w:rPr>
        <w:t xml:space="preserve"> 7</w:t>
      </w:r>
      <w:r w:rsidRPr="00210997">
        <w:rPr>
          <w:rFonts w:cs="Arial"/>
          <w:color w:val="000000"/>
          <w:sz w:val="20"/>
          <w:vertAlign w:val="superscript"/>
        </w:rPr>
        <w:t>e</w:t>
      </w:r>
      <w:r>
        <w:rPr>
          <w:rFonts w:cs="Arial"/>
          <w:color w:val="000000"/>
          <w:sz w:val="20"/>
        </w:rPr>
        <w:t xml:space="preserve"> éd., Cowansville, Éditions Yvon Blais, 2013, p. 335.</w:t>
      </w:r>
    </w:p>
  </w:footnote>
  <w:footnote w:id="10">
    <w:p w14:paraId="39804F98" w14:textId="77777777" w:rsidR="0095499D" w:rsidRPr="00304C5D" w:rsidRDefault="0095499D" w:rsidP="0095499D">
      <w:pPr>
        <w:pStyle w:val="Notedebasdepage"/>
        <w:tabs>
          <w:tab w:val="left" w:pos="720"/>
        </w:tabs>
        <w:ind w:left="720" w:hanging="720"/>
        <w:jc w:val="both"/>
        <w:rPr>
          <w:rFonts w:cs="Arial"/>
          <w:sz w:val="20"/>
        </w:rPr>
      </w:pPr>
      <w:r w:rsidRPr="00304C5D">
        <w:rPr>
          <w:rStyle w:val="Appelnotedebasdep"/>
        </w:rPr>
        <w:footnoteRef/>
      </w:r>
      <w:r w:rsidRPr="00304C5D">
        <w:t xml:space="preserve"> </w:t>
      </w:r>
      <w:r w:rsidRPr="00304C5D">
        <w:rPr>
          <w:rFonts w:cs="Arial"/>
          <w:sz w:val="20"/>
        </w:rPr>
        <w:tab/>
        <w:t>1999 CanLII 13432 (QC CA)</w:t>
      </w:r>
      <w:r w:rsidR="00943801" w:rsidRPr="00304C5D">
        <w:rPr>
          <w:rFonts w:cs="Arial"/>
          <w:sz w:val="20"/>
        </w:rPr>
        <w:t>.</w:t>
      </w:r>
    </w:p>
  </w:footnote>
  <w:footnote w:id="11">
    <w:p w14:paraId="0A7A3BC9" w14:textId="77777777" w:rsidR="006200E2" w:rsidRPr="006200E2" w:rsidRDefault="006200E2" w:rsidP="006200E2">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Pr>
          <w:rFonts w:cs="Arial"/>
          <w:color w:val="000000"/>
          <w:sz w:val="20"/>
        </w:rPr>
        <w:t>RLRQ, c. N-1.1</w:t>
      </w:r>
      <w:r w:rsidR="00E23FAC">
        <w:rPr>
          <w:rFonts w:cs="Arial"/>
          <w:color w:val="000000"/>
          <w:sz w:val="20"/>
        </w:rPr>
        <w:t>.</w:t>
      </w:r>
    </w:p>
  </w:footnote>
  <w:footnote w:id="12">
    <w:p w14:paraId="0E543F07" w14:textId="77777777" w:rsidR="00E544B1" w:rsidRPr="00F50A16" w:rsidRDefault="00F50A16" w:rsidP="00F50A16">
      <w:pPr>
        <w:pStyle w:val="Notedebasdepage"/>
        <w:tabs>
          <w:tab w:val="left" w:pos="720"/>
        </w:tabs>
        <w:ind w:left="720" w:hanging="720"/>
        <w:jc w:val="both"/>
        <w:rPr>
          <w:rFonts w:cs="Arial"/>
          <w:sz w:val="20"/>
        </w:rPr>
      </w:pPr>
      <w:r w:rsidRPr="00304C5D">
        <w:rPr>
          <w:rStyle w:val="Appelnotedebasdep"/>
        </w:rPr>
        <w:footnoteRef/>
      </w:r>
      <w:r w:rsidRPr="00304C5D">
        <w:t xml:space="preserve"> </w:t>
      </w:r>
      <w:r w:rsidRPr="00304C5D">
        <w:rPr>
          <w:rFonts w:cs="Arial"/>
          <w:sz w:val="20"/>
        </w:rPr>
        <w:tab/>
      </w:r>
      <w:r w:rsidR="00210997">
        <w:rPr>
          <w:rFonts w:cs="Arial"/>
          <w:color w:val="000000"/>
          <w:sz w:val="20"/>
        </w:rPr>
        <w:t>Précité</w:t>
      </w:r>
      <w:r w:rsidRPr="00304C5D">
        <w:rPr>
          <w:rFonts w:cs="Arial"/>
          <w:color w:val="000000"/>
          <w:sz w:val="20"/>
        </w:rPr>
        <w:t xml:space="preserve">, note </w:t>
      </w:r>
      <w:r w:rsidRPr="00304C5D">
        <w:rPr>
          <w:rFonts w:cs="Arial"/>
          <w:color w:val="000000"/>
          <w:sz w:val="20"/>
        </w:rPr>
        <w:fldChar w:fldCharType="begin"/>
      </w:r>
      <w:r w:rsidRPr="00304C5D">
        <w:rPr>
          <w:rFonts w:cs="Arial"/>
          <w:color w:val="000000"/>
          <w:sz w:val="20"/>
        </w:rPr>
        <w:instrText xml:space="preserve"> NOTEREF _Ref8127531 \h </w:instrText>
      </w:r>
      <w:r w:rsidR="00304C5D">
        <w:rPr>
          <w:rFonts w:cs="Arial"/>
          <w:color w:val="000000"/>
          <w:sz w:val="20"/>
        </w:rPr>
        <w:instrText xml:space="preserve"> \* MERGEFORMAT </w:instrText>
      </w:r>
      <w:r w:rsidRPr="00304C5D">
        <w:rPr>
          <w:rFonts w:cs="Arial"/>
          <w:color w:val="000000"/>
          <w:sz w:val="20"/>
        </w:rPr>
      </w:r>
      <w:r w:rsidRPr="00304C5D">
        <w:rPr>
          <w:rFonts w:cs="Arial"/>
          <w:color w:val="000000"/>
          <w:sz w:val="20"/>
        </w:rPr>
        <w:fldChar w:fldCharType="separate"/>
      </w:r>
      <w:r w:rsidR="006A64BB">
        <w:rPr>
          <w:rFonts w:cs="Arial"/>
          <w:color w:val="000000"/>
          <w:sz w:val="20"/>
        </w:rPr>
        <w:t>4</w:t>
      </w:r>
      <w:r w:rsidRPr="00304C5D">
        <w:rPr>
          <w:rFonts w:cs="Arial"/>
          <w:color w:val="000000"/>
          <w:sz w:val="20"/>
        </w:rPr>
        <w:fldChar w:fldCharType="end"/>
      </w:r>
      <w:r w:rsidRPr="00304C5D">
        <w:rPr>
          <w:rFonts w:cs="Arial"/>
          <w:color w:val="000000"/>
          <w:sz w:val="20"/>
        </w:rPr>
        <w:t>.</w:t>
      </w:r>
    </w:p>
  </w:footnote>
  <w:footnote w:id="13">
    <w:p w14:paraId="51029B13" w14:textId="77777777" w:rsidR="000C2819" w:rsidRPr="000C2819" w:rsidRDefault="000C2819" w:rsidP="000C2819">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Précité, note 9.</w:t>
      </w:r>
    </w:p>
  </w:footnote>
  <w:footnote w:id="14">
    <w:p w14:paraId="6C041632" w14:textId="77777777" w:rsidR="00B67E14" w:rsidRPr="00B67E14" w:rsidRDefault="00B67E14" w:rsidP="00B67E14">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proofErr w:type="spellStart"/>
      <w:r w:rsidRPr="00B67E14">
        <w:rPr>
          <w:rFonts w:cs="Arial"/>
          <w:i/>
          <w:sz w:val="20"/>
        </w:rPr>
        <w:t>Létourneau</w:t>
      </w:r>
      <w:proofErr w:type="spellEnd"/>
      <w:r>
        <w:rPr>
          <w:rFonts w:cs="Arial"/>
          <w:sz w:val="20"/>
        </w:rPr>
        <w:t xml:space="preserve"> c. </w:t>
      </w:r>
      <w:r w:rsidRPr="00B67E14">
        <w:rPr>
          <w:rFonts w:cs="Arial"/>
          <w:i/>
          <w:sz w:val="20"/>
        </w:rPr>
        <w:t xml:space="preserve">Garantie, </w:t>
      </w:r>
      <w:proofErr w:type="spellStart"/>
      <w:r w:rsidRPr="00B67E14">
        <w:rPr>
          <w:rFonts w:cs="Arial"/>
          <w:i/>
          <w:sz w:val="20"/>
        </w:rPr>
        <w:t>cie</w:t>
      </w:r>
      <w:proofErr w:type="spellEnd"/>
      <w:r w:rsidRPr="00B67E14">
        <w:rPr>
          <w:rFonts w:cs="Arial"/>
          <w:i/>
          <w:sz w:val="20"/>
        </w:rPr>
        <w:t xml:space="preserve"> d’assurance de l’Amérique du Nord</w:t>
      </w:r>
      <w:r>
        <w:rPr>
          <w:rFonts w:cs="Arial"/>
          <w:sz w:val="20"/>
        </w:rPr>
        <w:t>, J.E. 2000-535M REJB 2000-16649 (C.A.)</w:t>
      </w:r>
    </w:p>
  </w:footnote>
  <w:footnote w:id="15">
    <w:p w14:paraId="73D46463" w14:textId="77777777" w:rsidR="0087751D" w:rsidRPr="0087751D" w:rsidRDefault="0087751D" w:rsidP="0087751D">
      <w:pPr>
        <w:pStyle w:val="corpsdedcision"/>
        <w:numPr>
          <w:ilvl w:val="0"/>
          <w:numId w:val="0"/>
        </w:numPr>
        <w:tabs>
          <w:tab w:val="num" w:pos="720"/>
        </w:tabs>
        <w:spacing w:after="0"/>
        <w:rPr>
          <w:rFonts w:cs="Arial"/>
          <w:sz w:val="18"/>
          <w:szCs w:val="18"/>
        </w:rPr>
      </w:pPr>
      <w:r>
        <w:rPr>
          <w:rStyle w:val="Appelnotedebasdep"/>
        </w:rPr>
        <w:footnoteRef/>
      </w:r>
      <w:r>
        <w:t xml:space="preserve"> </w:t>
      </w:r>
      <w:r>
        <w:rPr>
          <w:rFonts w:cs="Arial"/>
          <w:sz w:val="20"/>
        </w:rPr>
        <w:tab/>
      </w:r>
      <w:r w:rsidRPr="0087751D">
        <w:rPr>
          <w:sz w:val="20"/>
        </w:rPr>
        <w:t>Le 1</w:t>
      </w:r>
      <w:r w:rsidRPr="0087751D">
        <w:rPr>
          <w:sz w:val="20"/>
          <w:vertAlign w:val="superscript"/>
        </w:rPr>
        <w:t>er</w:t>
      </w:r>
      <w:r w:rsidRPr="0087751D">
        <w:rPr>
          <w:sz w:val="20"/>
        </w:rPr>
        <w:t xml:space="preserve"> janvier 2016, la </w:t>
      </w:r>
      <w:r w:rsidRPr="0087751D">
        <w:rPr>
          <w:i/>
          <w:iCs/>
          <w:sz w:val="20"/>
        </w:rPr>
        <w:t>Loi instituant le Tribunal administratif du travail</w:t>
      </w:r>
      <w:r w:rsidRPr="0087751D">
        <w:rPr>
          <w:sz w:val="20"/>
        </w:rPr>
        <w:t xml:space="preserve"> (la LITAT) est entrée en vigueur. Cette loi crée le Tribunal administratif du travail qui assume les compétences de la Commission des relations du travail et de la Commission des lésions professionnelles. En vertu de l’article 261 de cette loi, toute affaire pendante devant la Commission des relations du travail ou devant la Commission des lésions professionnelles est continuée devant la division compétente du Tribunal administratif du travail. </w:t>
      </w:r>
      <w:r w:rsidRPr="0087751D">
        <w:rPr>
          <w:rFonts w:cs="Arial"/>
          <w:color w:val="000000"/>
          <w:sz w:val="20"/>
        </w:rPr>
        <w:t>De plus, depuis le 1</w:t>
      </w:r>
      <w:r w:rsidRPr="0087751D">
        <w:rPr>
          <w:rFonts w:cs="Arial"/>
          <w:color w:val="000000"/>
          <w:sz w:val="20"/>
          <w:vertAlign w:val="superscript"/>
        </w:rPr>
        <w:t>er</w:t>
      </w:r>
      <w:r w:rsidRPr="0087751D">
        <w:rPr>
          <w:rFonts w:cs="Arial"/>
          <w:color w:val="000000"/>
          <w:sz w:val="20"/>
        </w:rPr>
        <w:t xml:space="preserve"> janvier 2016, la Commission des normes, de l’équité, de la santé et de la sécurité du travail assume les compétences autrefois dévolues à la Commission de la santé et de la sécurité du travail. Aux fins des présentes, la Commission de la santé et de la sécurité du travail ainsi que la Commission des normes, de l’équité, de la santé et de la sécurité du travail seront indistinctement désignées par « la Commission ».</w:t>
      </w:r>
    </w:p>
  </w:footnote>
  <w:footnote w:id="16">
    <w:p w14:paraId="361C1D48" w14:textId="77777777" w:rsidR="00580AE0" w:rsidRPr="00580AE0" w:rsidRDefault="00580AE0" w:rsidP="00580AE0">
      <w:pPr>
        <w:pStyle w:val="Notedebasdepage"/>
        <w:tabs>
          <w:tab w:val="left" w:pos="720"/>
        </w:tabs>
        <w:ind w:left="720" w:hanging="720"/>
        <w:jc w:val="both"/>
        <w:rPr>
          <w:rFonts w:cs="Arial"/>
          <w:sz w:val="20"/>
        </w:rPr>
      </w:pPr>
      <w:r w:rsidRPr="002F6BE9">
        <w:rPr>
          <w:rStyle w:val="Appelnotedebasdep"/>
        </w:rPr>
        <w:footnoteRef/>
      </w:r>
      <w:r w:rsidRPr="002F6BE9">
        <w:t xml:space="preserve"> </w:t>
      </w:r>
      <w:r w:rsidRPr="002F6BE9">
        <w:rPr>
          <w:rFonts w:cs="Arial"/>
          <w:sz w:val="20"/>
        </w:rPr>
        <w:tab/>
      </w:r>
      <w:r w:rsidRPr="002F6BE9">
        <w:rPr>
          <w:rFonts w:cs="Arial"/>
          <w:i/>
          <w:sz w:val="20"/>
        </w:rPr>
        <w:t>Lauzon</w:t>
      </w:r>
      <w:r w:rsidRPr="002F6BE9">
        <w:rPr>
          <w:rFonts w:cs="Arial"/>
          <w:sz w:val="20"/>
        </w:rPr>
        <w:t xml:space="preserve"> et</w:t>
      </w:r>
      <w:r w:rsidRPr="002F6BE9">
        <w:rPr>
          <w:rFonts w:cs="Arial"/>
          <w:i/>
          <w:sz w:val="20"/>
        </w:rPr>
        <w:t xml:space="preserve"> </w:t>
      </w:r>
      <w:proofErr w:type="spellStart"/>
      <w:r w:rsidRPr="002F6BE9">
        <w:rPr>
          <w:rFonts w:cs="Arial"/>
          <w:i/>
          <w:sz w:val="20"/>
        </w:rPr>
        <w:t>Cambio</w:t>
      </w:r>
      <w:proofErr w:type="spellEnd"/>
      <w:r w:rsidRPr="002F6BE9">
        <w:rPr>
          <w:rFonts w:cs="Arial"/>
          <w:i/>
          <w:sz w:val="20"/>
        </w:rPr>
        <w:t xml:space="preserve"> </w:t>
      </w:r>
      <w:r w:rsidRPr="002F6BE9">
        <w:rPr>
          <w:rFonts w:cs="Arial"/>
          <w:sz w:val="20"/>
        </w:rPr>
        <w:t xml:space="preserve">et </w:t>
      </w:r>
      <w:r w:rsidRPr="002F6BE9">
        <w:rPr>
          <w:rFonts w:cs="Arial"/>
          <w:i/>
          <w:sz w:val="20"/>
        </w:rPr>
        <w:t>IAMGOLD</w:t>
      </w:r>
      <w:r w:rsidRPr="002F6BE9">
        <w:rPr>
          <w:rFonts w:cs="Arial"/>
          <w:sz w:val="20"/>
        </w:rPr>
        <w:t xml:space="preserve">, C.L.P. 150393-71-0011, 8 </w:t>
      </w:r>
      <w:r w:rsidR="004334E3" w:rsidRPr="002F6BE9">
        <w:rPr>
          <w:rFonts w:cs="Arial"/>
          <w:sz w:val="20"/>
        </w:rPr>
        <w:t>février</w:t>
      </w:r>
      <w:r w:rsidRPr="002F6BE9">
        <w:rPr>
          <w:rFonts w:cs="Arial"/>
          <w:sz w:val="20"/>
        </w:rPr>
        <w:t xml:space="preserve"> 2010, S. Sénéchal.</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9590" w:type="dxa"/>
      <w:tblInd w:w="-20" w:type="dxa"/>
      <w:tblLayout w:type="fixed"/>
      <w:tblCellMar>
        <w:left w:w="70" w:type="dxa"/>
        <w:right w:w="70" w:type="dxa"/>
      </w:tblCellMar>
      <w:tblLook w:val="0000" w:firstRow="0" w:lastRow="0" w:firstColumn="0" w:lastColumn="0" w:noHBand="0" w:noVBand="0"/>
    </w:tblPr>
    <w:tblGrid>
      <w:gridCol w:w="8730"/>
      <w:gridCol w:w="860"/>
    </w:tblGrid>
    <w:tr w:rsidR="00A02529" w14:paraId="25C1559B" w14:textId="77777777" w:rsidTr="00160550">
      <w:tc>
        <w:tcPr>
          <w:tcW w:w="8730" w:type="dxa"/>
        </w:tcPr>
        <w:p w14:paraId="759F861F" w14:textId="77777777" w:rsidR="00A02529" w:rsidRDefault="00A02529">
          <w:pPr>
            <w:pStyle w:val="En-tte"/>
            <w:ind w:left="-90"/>
          </w:pPr>
        </w:p>
      </w:tc>
      <w:tc>
        <w:tcPr>
          <w:tcW w:w="860" w:type="dxa"/>
        </w:tcPr>
        <w:p w14:paraId="03E93C77" w14:textId="77777777" w:rsidR="00A02529" w:rsidRDefault="00A02529">
          <w:pPr>
            <w:pStyle w:val="En-tte"/>
            <w:ind w:left="-90"/>
          </w:pPr>
        </w:p>
      </w:tc>
    </w:tr>
    <w:tr w:rsidR="006346AC" w14:paraId="11E40D92" w14:textId="77777777" w:rsidTr="00160550">
      <w:tc>
        <w:tcPr>
          <w:tcW w:w="8730" w:type="dxa"/>
        </w:tcPr>
        <w:p w14:paraId="04FDF3E1" w14:textId="77777777" w:rsidR="006346AC" w:rsidRDefault="006346AC" w:rsidP="006346AC">
          <w:pPr>
            <w:pStyle w:val="zSoquijdatNoDossier"/>
          </w:pPr>
          <w:r>
            <w:t>632088-08-1703</w:t>
          </w:r>
        </w:p>
      </w:tc>
      <w:tc>
        <w:tcPr>
          <w:tcW w:w="860" w:type="dxa"/>
        </w:tcPr>
        <w:p w14:paraId="1D81A6AD" w14:textId="77777777" w:rsidR="006346AC" w:rsidRDefault="006346AC" w:rsidP="006346AC">
          <w:pPr>
            <w:pStyle w:val="En-tte"/>
            <w:ind w:left="-90"/>
            <w:jc w:val="right"/>
            <w:rPr>
              <w:rStyle w:val="Numrodepage"/>
            </w:rPr>
          </w:pPr>
          <w:r>
            <w:rPr>
              <w:rStyle w:val="Numrodepage"/>
            </w:rPr>
            <w:fldChar w:fldCharType="begin"/>
          </w:r>
          <w:r>
            <w:rPr>
              <w:rStyle w:val="Numrodepage"/>
            </w:rPr>
            <w:instrText xml:space="preserve"> PAGE </w:instrText>
          </w:r>
          <w:r>
            <w:rPr>
              <w:rStyle w:val="Numrodepage"/>
            </w:rPr>
            <w:fldChar w:fldCharType="separate"/>
          </w:r>
          <w:r w:rsidR="00F4101D">
            <w:rPr>
              <w:rStyle w:val="Numrodepage"/>
              <w:noProof/>
            </w:rPr>
            <w:t>2</w:t>
          </w:r>
          <w:r>
            <w:rPr>
              <w:rStyle w:val="Numrodepage"/>
            </w:rPr>
            <w:fldChar w:fldCharType="end"/>
          </w:r>
        </w:p>
      </w:tc>
    </w:tr>
    <w:tr w:rsidR="006346AC" w14:paraId="73895FEC" w14:textId="77777777" w:rsidTr="00160550">
      <w:tc>
        <w:tcPr>
          <w:tcW w:w="8730" w:type="dxa"/>
        </w:tcPr>
        <w:p w14:paraId="74E961E4" w14:textId="77777777" w:rsidR="006346AC" w:rsidRDefault="006346AC" w:rsidP="006346AC"/>
      </w:tc>
      <w:tc>
        <w:tcPr>
          <w:tcW w:w="860" w:type="dxa"/>
        </w:tcPr>
        <w:p w14:paraId="385D6F73" w14:textId="77777777" w:rsidR="006346AC" w:rsidRDefault="006346AC" w:rsidP="006346AC">
          <w:pPr>
            <w:pStyle w:val="En-tte"/>
            <w:ind w:left="-90"/>
            <w:jc w:val="right"/>
          </w:pPr>
        </w:p>
      </w:tc>
    </w:tr>
  </w:tbl>
  <w:p w14:paraId="7831D612" w14:textId="77777777" w:rsidR="00A02529" w:rsidRDefault="00A02529">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CF15D8"/>
    <w:multiLevelType w:val="multilevel"/>
    <w:tmpl w:val="D210684C"/>
    <w:lvl w:ilvl="0">
      <w:start w:val="1"/>
      <w:numFmt w:val="decimal"/>
      <w:lvlText w:val="%1."/>
      <w:lvlJc w:val="left"/>
      <w:pPr>
        <w:tabs>
          <w:tab w:val="num" w:pos="360"/>
        </w:tabs>
        <w:ind w:left="0" w:firstLine="0"/>
      </w:pPr>
      <w:rPr>
        <w:rFonts w:hint="default"/>
      </w:rPr>
    </w:lvl>
    <w:lvl w:ilvl="1">
      <w:start w:val="1"/>
      <w:numFmt w:val="decimal"/>
      <w:lvlRestart w:val="0"/>
      <w:lvlText w:val="[%1.%2]"/>
      <w:lvlJc w:val="left"/>
      <w:pPr>
        <w:tabs>
          <w:tab w:val="num" w:pos="1080"/>
        </w:tabs>
        <w:ind w:left="360" w:firstLine="0"/>
      </w:pPr>
    </w:lvl>
    <w:lvl w:ilvl="2">
      <w:start w:val="1"/>
      <w:numFmt w:val="decimal"/>
      <w:lvlRestart w:val="0"/>
      <w:lvlText w:val="[%1.%2.%3]"/>
      <w:lvlJc w:val="left"/>
      <w:pPr>
        <w:tabs>
          <w:tab w:val="num" w:pos="1440"/>
        </w:tabs>
        <w:ind w:left="720" w:firstLine="0"/>
      </w:pPr>
    </w:lvl>
    <w:lvl w:ilvl="3">
      <w:start w:val="1"/>
      <w:numFmt w:val="decimal"/>
      <w:lvlRestart w:val="0"/>
      <w:lvlText w:val="[%1.%2.%3.%4]"/>
      <w:lvlJc w:val="left"/>
      <w:pPr>
        <w:tabs>
          <w:tab w:val="num" w:pos="2160"/>
        </w:tabs>
        <w:ind w:left="1080" w:firstLine="0"/>
      </w:pPr>
    </w:lvl>
    <w:lvl w:ilvl="4">
      <w:start w:val="1"/>
      <w:numFmt w:val="decimal"/>
      <w:lvlRestart w:val="0"/>
      <w:lvlText w:val="[%1.%2.%3.%4.%5]"/>
      <w:lvlJc w:val="left"/>
      <w:pPr>
        <w:tabs>
          <w:tab w:val="num" w:pos="2520"/>
        </w:tabs>
        <w:ind w:left="2232" w:hanging="792"/>
      </w:pPr>
    </w:lvl>
    <w:lvl w:ilvl="5">
      <w:start w:val="1"/>
      <w:numFmt w:val="decimal"/>
      <w:lvlRestart w:val="0"/>
      <w:lvlText w:val="[%1.%2.%3.%4.%5.%6]"/>
      <w:lvlJc w:val="left"/>
      <w:pPr>
        <w:tabs>
          <w:tab w:val="num" w:pos="3240"/>
        </w:tabs>
        <w:ind w:left="2736" w:hanging="936"/>
      </w:pPr>
    </w:lvl>
    <w:lvl w:ilvl="6">
      <w:start w:val="1"/>
      <w:numFmt w:val="decimal"/>
      <w:lvlRestart w:val="0"/>
      <w:lvlText w:val="[%1.%2.%3.%4.%5.%6.%7]"/>
      <w:lvlJc w:val="left"/>
      <w:pPr>
        <w:tabs>
          <w:tab w:val="num" w:pos="3600"/>
        </w:tabs>
        <w:ind w:left="3240" w:hanging="1080"/>
      </w:pPr>
    </w:lvl>
    <w:lvl w:ilvl="7">
      <w:start w:val="1"/>
      <w:numFmt w:val="decimal"/>
      <w:lvlRestart w:val="0"/>
      <w:lvlText w:val="[%1.%2.%3.%4.%5.%6.%7.%8]"/>
      <w:lvlJc w:val="left"/>
      <w:pPr>
        <w:tabs>
          <w:tab w:val="num" w:pos="4320"/>
        </w:tabs>
        <w:ind w:left="3744" w:hanging="1224"/>
      </w:pPr>
    </w:lvl>
    <w:lvl w:ilvl="8">
      <w:start w:val="1"/>
      <w:numFmt w:val="decimal"/>
      <w:lvlRestart w:val="0"/>
      <w:lvlText w:val="[%1.%2.%3.%4.%5.%6.%7.%8.%9]"/>
      <w:lvlJc w:val="left"/>
      <w:pPr>
        <w:tabs>
          <w:tab w:val="num" w:pos="4680"/>
        </w:tabs>
        <w:ind w:left="4320" w:hanging="1440"/>
      </w:pPr>
    </w:lvl>
  </w:abstractNum>
  <w:abstractNum w:abstractNumId="1" w15:restartNumberingAfterBreak="0">
    <w:nsid w:val="6CF00CB5"/>
    <w:multiLevelType w:val="hybridMultilevel"/>
    <w:tmpl w:val="42E495CA"/>
    <w:lvl w:ilvl="0" w:tplc="0C0C0001">
      <w:start w:val="1"/>
      <w:numFmt w:val="bullet"/>
      <w:lvlText w:val=""/>
      <w:lvlJc w:val="left"/>
      <w:pPr>
        <w:tabs>
          <w:tab w:val="num" w:pos="1440"/>
        </w:tabs>
        <w:ind w:left="1440" w:hanging="360"/>
      </w:pPr>
      <w:rPr>
        <w:rFonts w:ascii="Symbol" w:hAnsi="Symbol" w:hint="default"/>
      </w:rPr>
    </w:lvl>
    <w:lvl w:ilvl="1" w:tplc="0C0C0003" w:tentative="1">
      <w:start w:val="1"/>
      <w:numFmt w:val="bullet"/>
      <w:lvlText w:val="o"/>
      <w:lvlJc w:val="left"/>
      <w:pPr>
        <w:tabs>
          <w:tab w:val="num" w:pos="2160"/>
        </w:tabs>
        <w:ind w:left="2160" w:hanging="360"/>
      </w:pPr>
      <w:rPr>
        <w:rFonts w:ascii="Courier New" w:hAnsi="Courier New" w:cs="Courier New" w:hint="default"/>
      </w:rPr>
    </w:lvl>
    <w:lvl w:ilvl="2" w:tplc="0C0C0005" w:tentative="1">
      <w:start w:val="1"/>
      <w:numFmt w:val="bullet"/>
      <w:lvlText w:val=""/>
      <w:lvlJc w:val="left"/>
      <w:pPr>
        <w:tabs>
          <w:tab w:val="num" w:pos="2880"/>
        </w:tabs>
        <w:ind w:left="2880" w:hanging="360"/>
      </w:pPr>
      <w:rPr>
        <w:rFonts w:ascii="Wingdings" w:hAnsi="Wingdings" w:hint="default"/>
      </w:rPr>
    </w:lvl>
    <w:lvl w:ilvl="3" w:tplc="0C0C0001" w:tentative="1">
      <w:start w:val="1"/>
      <w:numFmt w:val="bullet"/>
      <w:lvlText w:val=""/>
      <w:lvlJc w:val="left"/>
      <w:pPr>
        <w:tabs>
          <w:tab w:val="num" w:pos="3600"/>
        </w:tabs>
        <w:ind w:left="3600" w:hanging="360"/>
      </w:pPr>
      <w:rPr>
        <w:rFonts w:ascii="Symbol" w:hAnsi="Symbol" w:hint="default"/>
      </w:rPr>
    </w:lvl>
    <w:lvl w:ilvl="4" w:tplc="0C0C0003" w:tentative="1">
      <w:start w:val="1"/>
      <w:numFmt w:val="bullet"/>
      <w:lvlText w:val="o"/>
      <w:lvlJc w:val="left"/>
      <w:pPr>
        <w:tabs>
          <w:tab w:val="num" w:pos="4320"/>
        </w:tabs>
        <w:ind w:left="4320" w:hanging="360"/>
      </w:pPr>
      <w:rPr>
        <w:rFonts w:ascii="Courier New" w:hAnsi="Courier New" w:cs="Courier New" w:hint="default"/>
      </w:rPr>
    </w:lvl>
    <w:lvl w:ilvl="5" w:tplc="0C0C0005" w:tentative="1">
      <w:start w:val="1"/>
      <w:numFmt w:val="bullet"/>
      <w:lvlText w:val=""/>
      <w:lvlJc w:val="left"/>
      <w:pPr>
        <w:tabs>
          <w:tab w:val="num" w:pos="5040"/>
        </w:tabs>
        <w:ind w:left="5040" w:hanging="360"/>
      </w:pPr>
      <w:rPr>
        <w:rFonts w:ascii="Wingdings" w:hAnsi="Wingdings" w:hint="default"/>
      </w:rPr>
    </w:lvl>
    <w:lvl w:ilvl="6" w:tplc="0C0C0001" w:tentative="1">
      <w:start w:val="1"/>
      <w:numFmt w:val="bullet"/>
      <w:lvlText w:val=""/>
      <w:lvlJc w:val="left"/>
      <w:pPr>
        <w:tabs>
          <w:tab w:val="num" w:pos="5760"/>
        </w:tabs>
        <w:ind w:left="5760" w:hanging="360"/>
      </w:pPr>
      <w:rPr>
        <w:rFonts w:ascii="Symbol" w:hAnsi="Symbol" w:hint="default"/>
      </w:rPr>
    </w:lvl>
    <w:lvl w:ilvl="7" w:tplc="0C0C0003" w:tentative="1">
      <w:start w:val="1"/>
      <w:numFmt w:val="bullet"/>
      <w:lvlText w:val="o"/>
      <w:lvlJc w:val="left"/>
      <w:pPr>
        <w:tabs>
          <w:tab w:val="num" w:pos="6480"/>
        </w:tabs>
        <w:ind w:left="6480" w:hanging="360"/>
      </w:pPr>
      <w:rPr>
        <w:rFonts w:ascii="Courier New" w:hAnsi="Courier New" w:cs="Courier New" w:hint="default"/>
      </w:rPr>
    </w:lvl>
    <w:lvl w:ilvl="8" w:tplc="0C0C0005" w:tentative="1">
      <w:start w:val="1"/>
      <w:numFmt w:val="bullet"/>
      <w:lvlText w:val=""/>
      <w:lvlJc w:val="left"/>
      <w:pPr>
        <w:tabs>
          <w:tab w:val="num" w:pos="7200"/>
        </w:tabs>
        <w:ind w:left="7200" w:hanging="360"/>
      </w:pPr>
      <w:rPr>
        <w:rFonts w:ascii="Wingdings" w:hAnsi="Wingdings" w:hint="default"/>
      </w:rPr>
    </w:lvl>
  </w:abstractNum>
  <w:abstractNum w:abstractNumId="2" w15:restartNumberingAfterBreak="0">
    <w:nsid w:val="6F030813"/>
    <w:multiLevelType w:val="multilevel"/>
    <w:tmpl w:val="0C0C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3" w15:restartNumberingAfterBreak="0">
    <w:nsid w:val="737A6EAF"/>
    <w:multiLevelType w:val="multilevel"/>
    <w:tmpl w:val="0C0C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4" w15:restartNumberingAfterBreak="0">
    <w:nsid w:val="75917C39"/>
    <w:multiLevelType w:val="multilevel"/>
    <w:tmpl w:val="0042494C"/>
    <w:lvl w:ilvl="0">
      <w:start w:val="1"/>
      <w:numFmt w:val="decimal"/>
      <w:lvlText w:val="[%1]"/>
      <w:lvlJc w:val="left"/>
      <w:pPr>
        <w:tabs>
          <w:tab w:val="num" w:pos="720"/>
        </w:tabs>
        <w:ind w:left="720" w:hanging="720"/>
      </w:pPr>
      <w:rPr>
        <w:rFonts w:hint="default"/>
      </w:rPr>
    </w:lvl>
    <w:lvl w:ilvl="1">
      <w:start w:val="1"/>
      <w:numFmt w:val="none"/>
      <w:suff w:val="nothing"/>
      <w:lvlText w:val=""/>
      <w:lvlJc w:val="left"/>
      <w:pPr>
        <w:ind w:left="0" w:firstLine="0"/>
      </w:pPr>
      <w:rPr>
        <w:rFonts w:hint="default"/>
      </w:rPr>
    </w:lvl>
    <w:lvl w:ilvl="2">
      <w:start w:val="1"/>
      <w:numFmt w:val="none"/>
      <w:suff w:val="nothing"/>
      <w:lvlText w:val=""/>
      <w:lvlJc w:val="left"/>
      <w:pPr>
        <w:ind w:left="0" w:firstLine="0"/>
      </w:pPr>
      <w:rPr>
        <w:rFonts w:hint="default"/>
      </w:rPr>
    </w:lvl>
    <w:lvl w:ilvl="3">
      <w:start w:val="1"/>
      <w:numFmt w:val="none"/>
      <w:suff w:val="nothing"/>
      <w:lvlText w:val=""/>
      <w:lvlJc w:val="left"/>
      <w:pPr>
        <w:ind w:left="0" w:firstLine="0"/>
      </w:pPr>
      <w:rPr>
        <w:rFonts w:hint="default"/>
      </w:rPr>
    </w:lvl>
    <w:lvl w:ilvl="4">
      <w:start w:val="1"/>
      <w:numFmt w:val="none"/>
      <w:pStyle w:val="Titre5"/>
      <w:suff w:val="nothing"/>
      <w:lvlText w:val=""/>
      <w:lvlJc w:val="left"/>
      <w:pPr>
        <w:ind w:left="0" w:firstLine="0"/>
      </w:pPr>
      <w:rPr>
        <w:rFonts w:hint="default"/>
      </w:rPr>
    </w:lvl>
    <w:lvl w:ilvl="5">
      <w:start w:val="1"/>
      <w:numFmt w:val="none"/>
      <w:pStyle w:val="Titre6"/>
      <w:suff w:val="nothing"/>
      <w:lvlText w:val=""/>
      <w:lvlJc w:val="left"/>
      <w:pPr>
        <w:ind w:left="0" w:firstLine="0"/>
      </w:pPr>
      <w:rPr>
        <w:rFonts w:hint="default"/>
      </w:rPr>
    </w:lvl>
    <w:lvl w:ilvl="6">
      <w:start w:val="1"/>
      <w:numFmt w:val="none"/>
      <w:pStyle w:val="Titre7"/>
      <w:suff w:val="nothing"/>
      <w:lvlText w:val=""/>
      <w:lvlJc w:val="left"/>
      <w:pPr>
        <w:ind w:left="0" w:firstLine="0"/>
      </w:pPr>
      <w:rPr>
        <w:rFonts w:hint="default"/>
      </w:rPr>
    </w:lvl>
    <w:lvl w:ilvl="7">
      <w:start w:val="1"/>
      <w:numFmt w:val="none"/>
      <w:pStyle w:val="Titre8"/>
      <w:suff w:val="nothing"/>
      <w:lvlText w:val=""/>
      <w:lvlJc w:val="left"/>
      <w:pPr>
        <w:ind w:left="0" w:firstLine="0"/>
      </w:pPr>
      <w:rPr>
        <w:rFonts w:hint="default"/>
      </w:rPr>
    </w:lvl>
    <w:lvl w:ilvl="8">
      <w:start w:val="1"/>
      <w:numFmt w:val="none"/>
      <w:pStyle w:val="Titre9"/>
      <w:suff w:val="nothing"/>
      <w:lvlText w:val=""/>
      <w:lvlJc w:val="left"/>
      <w:pPr>
        <w:ind w:left="0" w:firstLine="0"/>
      </w:pPr>
      <w:rPr>
        <w:rFonts w:hint="default"/>
      </w:rPr>
    </w:lvl>
  </w:abstractNum>
  <w:abstractNum w:abstractNumId="5" w15:restartNumberingAfterBreak="0">
    <w:nsid w:val="76556088"/>
    <w:multiLevelType w:val="multilevel"/>
    <w:tmpl w:val="74FA30DC"/>
    <w:lvl w:ilvl="0">
      <w:start w:val="1"/>
      <w:numFmt w:val="decimal"/>
      <w:pStyle w:val="corpsdedcision"/>
      <w:lvlText w:val="[%1]"/>
      <w:lvlJc w:val="left"/>
      <w:pPr>
        <w:tabs>
          <w:tab w:val="num" w:pos="360"/>
        </w:tabs>
        <w:ind w:left="0" w:firstLine="0"/>
      </w:pPr>
    </w:lvl>
    <w:lvl w:ilvl="1">
      <w:start w:val="1"/>
      <w:numFmt w:val="decimal"/>
      <w:lvlRestart w:val="0"/>
      <w:lvlText w:val="[%1.%2]"/>
      <w:lvlJc w:val="left"/>
      <w:pPr>
        <w:tabs>
          <w:tab w:val="num" w:pos="1080"/>
        </w:tabs>
        <w:ind w:left="360" w:firstLine="0"/>
      </w:pPr>
    </w:lvl>
    <w:lvl w:ilvl="2">
      <w:start w:val="1"/>
      <w:numFmt w:val="decimal"/>
      <w:lvlRestart w:val="0"/>
      <w:lvlText w:val="[%1.%2.%3]"/>
      <w:lvlJc w:val="left"/>
      <w:pPr>
        <w:tabs>
          <w:tab w:val="num" w:pos="1440"/>
        </w:tabs>
        <w:ind w:left="720" w:firstLine="0"/>
      </w:pPr>
    </w:lvl>
    <w:lvl w:ilvl="3">
      <w:start w:val="1"/>
      <w:numFmt w:val="decimal"/>
      <w:lvlRestart w:val="0"/>
      <w:lvlText w:val="[%1.%2.%3.%4]"/>
      <w:lvlJc w:val="left"/>
      <w:pPr>
        <w:tabs>
          <w:tab w:val="num" w:pos="2160"/>
        </w:tabs>
        <w:ind w:left="1080" w:firstLine="0"/>
      </w:pPr>
    </w:lvl>
    <w:lvl w:ilvl="4">
      <w:start w:val="1"/>
      <w:numFmt w:val="decimal"/>
      <w:lvlRestart w:val="0"/>
      <w:lvlText w:val="[%1.%2.%3.%4.%5]"/>
      <w:lvlJc w:val="left"/>
      <w:pPr>
        <w:tabs>
          <w:tab w:val="num" w:pos="2520"/>
        </w:tabs>
        <w:ind w:left="2232" w:hanging="792"/>
      </w:pPr>
    </w:lvl>
    <w:lvl w:ilvl="5">
      <w:start w:val="1"/>
      <w:numFmt w:val="decimal"/>
      <w:lvlRestart w:val="0"/>
      <w:lvlText w:val="[%1.%2.%3.%4.%5.%6]"/>
      <w:lvlJc w:val="left"/>
      <w:pPr>
        <w:tabs>
          <w:tab w:val="num" w:pos="3240"/>
        </w:tabs>
        <w:ind w:left="2736" w:hanging="936"/>
      </w:pPr>
    </w:lvl>
    <w:lvl w:ilvl="6">
      <w:start w:val="1"/>
      <w:numFmt w:val="decimal"/>
      <w:lvlRestart w:val="0"/>
      <w:lvlText w:val="[%1.%2.%3.%4.%5.%6.%7]"/>
      <w:lvlJc w:val="left"/>
      <w:pPr>
        <w:tabs>
          <w:tab w:val="num" w:pos="3600"/>
        </w:tabs>
        <w:ind w:left="3240" w:hanging="1080"/>
      </w:pPr>
    </w:lvl>
    <w:lvl w:ilvl="7">
      <w:start w:val="1"/>
      <w:numFmt w:val="decimal"/>
      <w:lvlRestart w:val="0"/>
      <w:lvlText w:val="[%1.%2.%3.%4.%5.%6.%7.%8]"/>
      <w:lvlJc w:val="left"/>
      <w:pPr>
        <w:tabs>
          <w:tab w:val="num" w:pos="4320"/>
        </w:tabs>
        <w:ind w:left="3744" w:hanging="1224"/>
      </w:pPr>
    </w:lvl>
    <w:lvl w:ilvl="8">
      <w:start w:val="1"/>
      <w:numFmt w:val="decimal"/>
      <w:lvlRestart w:val="0"/>
      <w:lvlText w:val="[%1.%2.%3.%4.%5.%6.%7.%8.%9]"/>
      <w:lvlJc w:val="left"/>
      <w:pPr>
        <w:tabs>
          <w:tab w:val="num" w:pos="4680"/>
        </w:tabs>
        <w:ind w:left="4320" w:hanging="1440"/>
      </w:pPr>
    </w:lvl>
  </w:abstractNum>
  <w:abstractNum w:abstractNumId="6" w15:restartNumberingAfterBreak="0">
    <w:nsid w:val="7BB76507"/>
    <w:multiLevelType w:val="multilevel"/>
    <w:tmpl w:val="F20E889A"/>
    <w:lvl w:ilvl="0">
      <w:start w:val="1"/>
      <w:numFmt w:val="decimal"/>
      <w:pStyle w:val="Paragraphe"/>
      <w:lvlText w:val="[%1]"/>
      <w:lvlJc w:val="left"/>
      <w:pPr>
        <w:tabs>
          <w:tab w:val="num" w:pos="720"/>
        </w:tabs>
        <w:ind w:left="720" w:hanging="720"/>
      </w:pPr>
      <w:rPr>
        <w:rFonts w:hint="default"/>
      </w:rPr>
    </w:lvl>
    <w:lvl w:ilvl="1">
      <w:start w:val="1"/>
      <w:numFmt w:val="decimal"/>
      <w:pStyle w:val="Sous-paragraphe"/>
      <w:lvlText w:val="%1.%2."/>
      <w:lvlJc w:val="left"/>
      <w:pPr>
        <w:tabs>
          <w:tab w:val="num" w:pos="792"/>
        </w:tabs>
        <w:ind w:left="792" w:hanging="432"/>
      </w:pPr>
      <w:rPr>
        <w:rFonts w:hint="default"/>
      </w:rPr>
    </w:lvl>
    <w:lvl w:ilvl="2">
      <w:start w:val="1"/>
      <w:numFmt w:val="decimal"/>
      <w:lvlText w:val="%1.%2.%3."/>
      <w:lvlJc w:val="left"/>
      <w:pPr>
        <w:tabs>
          <w:tab w:val="num" w:pos="1800"/>
        </w:tabs>
        <w:ind w:left="1224" w:hanging="504"/>
      </w:pPr>
      <w:rPr>
        <w:rFonts w:hint="default"/>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880"/>
        </w:tabs>
        <w:ind w:left="2232" w:hanging="792"/>
      </w:pPr>
      <w:rPr>
        <w:rFonts w:hint="default"/>
      </w:rPr>
    </w:lvl>
    <w:lvl w:ilvl="5">
      <w:start w:val="1"/>
      <w:numFmt w:val="decimal"/>
      <w:lvlText w:val="%1.%2.%3.%4.%5.%6."/>
      <w:lvlJc w:val="left"/>
      <w:pPr>
        <w:tabs>
          <w:tab w:val="num" w:pos="3600"/>
        </w:tabs>
        <w:ind w:left="2736" w:hanging="936"/>
      </w:pPr>
      <w:rPr>
        <w:rFonts w:hint="default"/>
      </w:rPr>
    </w:lvl>
    <w:lvl w:ilvl="6">
      <w:start w:val="1"/>
      <w:numFmt w:val="decimal"/>
      <w:lvlText w:val="%1.%2.%3.%4.%5.%6.%7."/>
      <w:lvlJc w:val="left"/>
      <w:pPr>
        <w:tabs>
          <w:tab w:val="num" w:pos="4320"/>
        </w:tabs>
        <w:ind w:left="3240" w:hanging="1080"/>
      </w:pPr>
      <w:rPr>
        <w:rFonts w:hint="default"/>
      </w:rPr>
    </w:lvl>
    <w:lvl w:ilvl="7">
      <w:start w:val="1"/>
      <w:numFmt w:val="decimal"/>
      <w:lvlText w:val="%1.%2.%3.%4.%5.%6.%7.%8."/>
      <w:lvlJc w:val="left"/>
      <w:pPr>
        <w:tabs>
          <w:tab w:val="num" w:pos="4680"/>
        </w:tabs>
        <w:ind w:left="3744" w:hanging="1224"/>
      </w:pPr>
      <w:rPr>
        <w:rFonts w:hint="default"/>
      </w:rPr>
    </w:lvl>
    <w:lvl w:ilvl="8">
      <w:start w:val="1"/>
      <w:numFmt w:val="decimal"/>
      <w:lvlText w:val="%1.%2.%3.%4.%5.%6.%7.%8.%9."/>
      <w:lvlJc w:val="left"/>
      <w:pPr>
        <w:tabs>
          <w:tab w:val="num" w:pos="5400"/>
        </w:tabs>
        <w:ind w:left="4320" w:hanging="1440"/>
      </w:pPr>
      <w:rPr>
        <w:rFonts w:hint="default"/>
      </w:rPr>
    </w:lvl>
  </w:abstractNum>
  <w:num w:numId="1">
    <w:abstractNumId w:val="5"/>
  </w:num>
  <w:num w:numId="2">
    <w:abstractNumId w:val="4"/>
  </w:num>
  <w:num w:numId="3">
    <w:abstractNumId w:val="3"/>
  </w:num>
  <w:num w:numId="4">
    <w:abstractNumId w:val="2"/>
  </w:num>
  <w:num w:numId="5">
    <w:abstractNumId w:val="6"/>
  </w:num>
  <w:num w:numId="6">
    <w:abstractNumId w:val="6"/>
  </w:num>
  <w:num w:numId="7">
    <w:abstractNumId w:val="5"/>
  </w:num>
  <w:num w:numId="8">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0"/>
  </w:num>
  <w:num w:numId="10">
    <w:abstractNumId w:val="1"/>
  </w:num>
  <w:num w:numId="11">
    <w:abstractNumId w:val="5"/>
  </w:num>
  <w:num w:numId="12">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isplayHorizontalDrawingGridEvery w:val="0"/>
  <w:displayVerticalDrawingGridEvery w:val="0"/>
  <w:doNotUseMarginsForDrawingGridOrigin/>
  <w:noPunctuationKerning/>
  <w:characterSpacingControl w:val="doNotCompress"/>
  <w:hdrShapeDefaults>
    <o:shapedefaults v:ext="edit" spidmax="3072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35095"/>
    <w:rsid w:val="000034B0"/>
    <w:rsid w:val="000040B8"/>
    <w:rsid w:val="000041A1"/>
    <w:rsid w:val="00021B30"/>
    <w:rsid w:val="00021E4C"/>
    <w:rsid w:val="00022556"/>
    <w:rsid w:val="000366EC"/>
    <w:rsid w:val="00037A64"/>
    <w:rsid w:val="00043E4D"/>
    <w:rsid w:val="00046524"/>
    <w:rsid w:val="0005040E"/>
    <w:rsid w:val="000506A3"/>
    <w:rsid w:val="00056393"/>
    <w:rsid w:val="0007225E"/>
    <w:rsid w:val="00076D81"/>
    <w:rsid w:val="0008378A"/>
    <w:rsid w:val="0008784D"/>
    <w:rsid w:val="00090018"/>
    <w:rsid w:val="00090306"/>
    <w:rsid w:val="00093ACD"/>
    <w:rsid w:val="00095814"/>
    <w:rsid w:val="00097D81"/>
    <w:rsid w:val="000A4AD0"/>
    <w:rsid w:val="000A77C5"/>
    <w:rsid w:val="000B286D"/>
    <w:rsid w:val="000B2F33"/>
    <w:rsid w:val="000B4A59"/>
    <w:rsid w:val="000B6F68"/>
    <w:rsid w:val="000B7F1B"/>
    <w:rsid w:val="000C2819"/>
    <w:rsid w:val="000D3948"/>
    <w:rsid w:val="000E0C28"/>
    <w:rsid w:val="000E115E"/>
    <w:rsid w:val="000E1320"/>
    <w:rsid w:val="000E51F4"/>
    <w:rsid w:val="000E56A6"/>
    <w:rsid w:val="000F3423"/>
    <w:rsid w:val="000F42B7"/>
    <w:rsid w:val="000F6723"/>
    <w:rsid w:val="000F74C9"/>
    <w:rsid w:val="00103C8F"/>
    <w:rsid w:val="001050B4"/>
    <w:rsid w:val="00106CCF"/>
    <w:rsid w:val="001161AF"/>
    <w:rsid w:val="0012224D"/>
    <w:rsid w:val="001225BC"/>
    <w:rsid w:val="00122A9E"/>
    <w:rsid w:val="0012326A"/>
    <w:rsid w:val="001301B2"/>
    <w:rsid w:val="001306FE"/>
    <w:rsid w:val="00131E78"/>
    <w:rsid w:val="001344D3"/>
    <w:rsid w:val="00135396"/>
    <w:rsid w:val="00135D0B"/>
    <w:rsid w:val="00137789"/>
    <w:rsid w:val="001407FC"/>
    <w:rsid w:val="00147A49"/>
    <w:rsid w:val="00147B8B"/>
    <w:rsid w:val="0015125A"/>
    <w:rsid w:val="00152464"/>
    <w:rsid w:val="0015539F"/>
    <w:rsid w:val="00155FC1"/>
    <w:rsid w:val="00160550"/>
    <w:rsid w:val="00160597"/>
    <w:rsid w:val="001664C8"/>
    <w:rsid w:val="00167AD0"/>
    <w:rsid w:val="00170F67"/>
    <w:rsid w:val="00173184"/>
    <w:rsid w:val="00175079"/>
    <w:rsid w:val="0017755A"/>
    <w:rsid w:val="00183515"/>
    <w:rsid w:val="00187C52"/>
    <w:rsid w:val="001973BD"/>
    <w:rsid w:val="001A03BE"/>
    <w:rsid w:val="001A067E"/>
    <w:rsid w:val="001A2900"/>
    <w:rsid w:val="001A4081"/>
    <w:rsid w:val="001A65F1"/>
    <w:rsid w:val="001B2B40"/>
    <w:rsid w:val="001B3E9D"/>
    <w:rsid w:val="001B4A40"/>
    <w:rsid w:val="001C2B0B"/>
    <w:rsid w:val="001C4FE9"/>
    <w:rsid w:val="001C755F"/>
    <w:rsid w:val="001D2593"/>
    <w:rsid w:val="001E563A"/>
    <w:rsid w:val="001E7F1F"/>
    <w:rsid w:val="00210997"/>
    <w:rsid w:val="00227040"/>
    <w:rsid w:val="00230CFC"/>
    <w:rsid w:val="00231C1D"/>
    <w:rsid w:val="00241CED"/>
    <w:rsid w:val="00242FB4"/>
    <w:rsid w:val="002449A1"/>
    <w:rsid w:val="00245605"/>
    <w:rsid w:val="002553F5"/>
    <w:rsid w:val="002563F0"/>
    <w:rsid w:val="00261987"/>
    <w:rsid w:val="002655EA"/>
    <w:rsid w:val="00266064"/>
    <w:rsid w:val="00267C8D"/>
    <w:rsid w:val="00267EC9"/>
    <w:rsid w:val="002701DD"/>
    <w:rsid w:val="00274C75"/>
    <w:rsid w:val="00275115"/>
    <w:rsid w:val="002769B5"/>
    <w:rsid w:val="00276B59"/>
    <w:rsid w:val="002779B6"/>
    <w:rsid w:val="002810AF"/>
    <w:rsid w:val="00281319"/>
    <w:rsid w:val="00286149"/>
    <w:rsid w:val="0028668D"/>
    <w:rsid w:val="00290289"/>
    <w:rsid w:val="00296645"/>
    <w:rsid w:val="00296A4B"/>
    <w:rsid w:val="00297284"/>
    <w:rsid w:val="002A0077"/>
    <w:rsid w:val="002A374B"/>
    <w:rsid w:val="002A73E9"/>
    <w:rsid w:val="002B09EE"/>
    <w:rsid w:val="002B2BC6"/>
    <w:rsid w:val="002B2FC3"/>
    <w:rsid w:val="002B35F0"/>
    <w:rsid w:val="002B58AF"/>
    <w:rsid w:val="002C2933"/>
    <w:rsid w:val="002C3748"/>
    <w:rsid w:val="002C5559"/>
    <w:rsid w:val="002C5E89"/>
    <w:rsid w:val="002D71A9"/>
    <w:rsid w:val="002E41FD"/>
    <w:rsid w:val="002E46CF"/>
    <w:rsid w:val="002F6BE9"/>
    <w:rsid w:val="002F71B6"/>
    <w:rsid w:val="002F7507"/>
    <w:rsid w:val="00300F34"/>
    <w:rsid w:val="00302FB4"/>
    <w:rsid w:val="00304C5D"/>
    <w:rsid w:val="00305273"/>
    <w:rsid w:val="003057FC"/>
    <w:rsid w:val="00305932"/>
    <w:rsid w:val="00307C85"/>
    <w:rsid w:val="0031162F"/>
    <w:rsid w:val="00312983"/>
    <w:rsid w:val="00314FCF"/>
    <w:rsid w:val="00316FB4"/>
    <w:rsid w:val="00322C75"/>
    <w:rsid w:val="003248CB"/>
    <w:rsid w:val="00324EC3"/>
    <w:rsid w:val="00331EA7"/>
    <w:rsid w:val="003332B8"/>
    <w:rsid w:val="00333E8B"/>
    <w:rsid w:val="00334D19"/>
    <w:rsid w:val="00344465"/>
    <w:rsid w:val="00345D12"/>
    <w:rsid w:val="0034740A"/>
    <w:rsid w:val="0035375B"/>
    <w:rsid w:val="003565EB"/>
    <w:rsid w:val="00365F93"/>
    <w:rsid w:val="003664E9"/>
    <w:rsid w:val="00366D1E"/>
    <w:rsid w:val="00370684"/>
    <w:rsid w:val="00373EE5"/>
    <w:rsid w:val="0037684E"/>
    <w:rsid w:val="003810E5"/>
    <w:rsid w:val="003817E7"/>
    <w:rsid w:val="00382E55"/>
    <w:rsid w:val="0039148A"/>
    <w:rsid w:val="003961B2"/>
    <w:rsid w:val="003A41AD"/>
    <w:rsid w:val="003A4F64"/>
    <w:rsid w:val="003B152B"/>
    <w:rsid w:val="003B1734"/>
    <w:rsid w:val="003B1735"/>
    <w:rsid w:val="003B6CBF"/>
    <w:rsid w:val="003C47A7"/>
    <w:rsid w:val="003C794E"/>
    <w:rsid w:val="003D0370"/>
    <w:rsid w:val="003D0826"/>
    <w:rsid w:val="003D0A1E"/>
    <w:rsid w:val="003D3C93"/>
    <w:rsid w:val="003D7C2F"/>
    <w:rsid w:val="003E00D5"/>
    <w:rsid w:val="003E02BA"/>
    <w:rsid w:val="003F3B07"/>
    <w:rsid w:val="003F4F1F"/>
    <w:rsid w:val="003F7F38"/>
    <w:rsid w:val="00401255"/>
    <w:rsid w:val="00401D1E"/>
    <w:rsid w:val="0040399B"/>
    <w:rsid w:val="00406F0C"/>
    <w:rsid w:val="00412585"/>
    <w:rsid w:val="0041363B"/>
    <w:rsid w:val="00415D5D"/>
    <w:rsid w:val="00417397"/>
    <w:rsid w:val="0042650F"/>
    <w:rsid w:val="00431E0B"/>
    <w:rsid w:val="004334E3"/>
    <w:rsid w:val="004337FE"/>
    <w:rsid w:val="00433E98"/>
    <w:rsid w:val="00435738"/>
    <w:rsid w:val="00437137"/>
    <w:rsid w:val="004403B8"/>
    <w:rsid w:val="0044190F"/>
    <w:rsid w:val="00441ADA"/>
    <w:rsid w:val="00441EC9"/>
    <w:rsid w:val="0044371C"/>
    <w:rsid w:val="0044627E"/>
    <w:rsid w:val="0045114F"/>
    <w:rsid w:val="004529D3"/>
    <w:rsid w:val="00453F31"/>
    <w:rsid w:val="004569D0"/>
    <w:rsid w:val="00456B0C"/>
    <w:rsid w:val="0046538B"/>
    <w:rsid w:val="0047028F"/>
    <w:rsid w:val="00471C92"/>
    <w:rsid w:val="004739AC"/>
    <w:rsid w:val="00475FEF"/>
    <w:rsid w:val="00476340"/>
    <w:rsid w:val="0047776F"/>
    <w:rsid w:val="004870EA"/>
    <w:rsid w:val="00487F13"/>
    <w:rsid w:val="00496193"/>
    <w:rsid w:val="004A02AF"/>
    <w:rsid w:val="004A612B"/>
    <w:rsid w:val="004A679B"/>
    <w:rsid w:val="004C0FB4"/>
    <w:rsid w:val="004C1811"/>
    <w:rsid w:val="004C4555"/>
    <w:rsid w:val="004D28E7"/>
    <w:rsid w:val="004D4198"/>
    <w:rsid w:val="004D6CEA"/>
    <w:rsid w:val="004E3564"/>
    <w:rsid w:val="004E51C0"/>
    <w:rsid w:val="004E64BE"/>
    <w:rsid w:val="004F307A"/>
    <w:rsid w:val="004F6441"/>
    <w:rsid w:val="00503B8D"/>
    <w:rsid w:val="00503EE3"/>
    <w:rsid w:val="00505811"/>
    <w:rsid w:val="00515DE7"/>
    <w:rsid w:val="00517EB0"/>
    <w:rsid w:val="005205CB"/>
    <w:rsid w:val="0052499F"/>
    <w:rsid w:val="005352F1"/>
    <w:rsid w:val="0053706D"/>
    <w:rsid w:val="00540094"/>
    <w:rsid w:val="00545CFF"/>
    <w:rsid w:val="00555800"/>
    <w:rsid w:val="00556DBB"/>
    <w:rsid w:val="00560781"/>
    <w:rsid w:val="0056268F"/>
    <w:rsid w:val="005662E9"/>
    <w:rsid w:val="00571040"/>
    <w:rsid w:val="00572AAF"/>
    <w:rsid w:val="00574E65"/>
    <w:rsid w:val="00577BF4"/>
    <w:rsid w:val="005801AE"/>
    <w:rsid w:val="00580AE0"/>
    <w:rsid w:val="00582868"/>
    <w:rsid w:val="00582ECC"/>
    <w:rsid w:val="0058399B"/>
    <w:rsid w:val="0058692F"/>
    <w:rsid w:val="00587045"/>
    <w:rsid w:val="00587C22"/>
    <w:rsid w:val="0059436D"/>
    <w:rsid w:val="005945C0"/>
    <w:rsid w:val="00597016"/>
    <w:rsid w:val="005974B7"/>
    <w:rsid w:val="005A0D51"/>
    <w:rsid w:val="005A181B"/>
    <w:rsid w:val="005A1CB3"/>
    <w:rsid w:val="005A3073"/>
    <w:rsid w:val="005A33A5"/>
    <w:rsid w:val="005A70A0"/>
    <w:rsid w:val="005B0612"/>
    <w:rsid w:val="005B13F0"/>
    <w:rsid w:val="005B30F6"/>
    <w:rsid w:val="005B45BA"/>
    <w:rsid w:val="005B5689"/>
    <w:rsid w:val="005B6774"/>
    <w:rsid w:val="005C0A89"/>
    <w:rsid w:val="005C3BC4"/>
    <w:rsid w:val="005C5E56"/>
    <w:rsid w:val="005D0F3D"/>
    <w:rsid w:val="005D2BA3"/>
    <w:rsid w:val="005D59B1"/>
    <w:rsid w:val="005D764B"/>
    <w:rsid w:val="005E2367"/>
    <w:rsid w:val="005E5E90"/>
    <w:rsid w:val="005E654C"/>
    <w:rsid w:val="005F05F6"/>
    <w:rsid w:val="005F69B8"/>
    <w:rsid w:val="00604138"/>
    <w:rsid w:val="006052C1"/>
    <w:rsid w:val="00605734"/>
    <w:rsid w:val="006071DA"/>
    <w:rsid w:val="00607A23"/>
    <w:rsid w:val="0061488E"/>
    <w:rsid w:val="0061574B"/>
    <w:rsid w:val="006200E2"/>
    <w:rsid w:val="0062263C"/>
    <w:rsid w:val="00622670"/>
    <w:rsid w:val="00622AD8"/>
    <w:rsid w:val="00623A1A"/>
    <w:rsid w:val="006263F8"/>
    <w:rsid w:val="00626E8D"/>
    <w:rsid w:val="00626FED"/>
    <w:rsid w:val="00630B35"/>
    <w:rsid w:val="00632DA8"/>
    <w:rsid w:val="006346AC"/>
    <w:rsid w:val="00634E6E"/>
    <w:rsid w:val="00635079"/>
    <w:rsid w:val="0063750E"/>
    <w:rsid w:val="0064342A"/>
    <w:rsid w:val="00643A28"/>
    <w:rsid w:val="006452FA"/>
    <w:rsid w:val="006500AE"/>
    <w:rsid w:val="0065093D"/>
    <w:rsid w:val="00655193"/>
    <w:rsid w:val="00655459"/>
    <w:rsid w:val="00656FB2"/>
    <w:rsid w:val="00661454"/>
    <w:rsid w:val="0066642D"/>
    <w:rsid w:val="00673BD2"/>
    <w:rsid w:val="00675E85"/>
    <w:rsid w:val="0067750F"/>
    <w:rsid w:val="0068401E"/>
    <w:rsid w:val="006841A4"/>
    <w:rsid w:val="0068643F"/>
    <w:rsid w:val="006877A1"/>
    <w:rsid w:val="00692150"/>
    <w:rsid w:val="00692F0C"/>
    <w:rsid w:val="00696E7C"/>
    <w:rsid w:val="006A0C54"/>
    <w:rsid w:val="006A64BB"/>
    <w:rsid w:val="006A7C53"/>
    <w:rsid w:val="006B309C"/>
    <w:rsid w:val="006B6A90"/>
    <w:rsid w:val="006B727F"/>
    <w:rsid w:val="006C6D3A"/>
    <w:rsid w:val="006C7B7F"/>
    <w:rsid w:val="006D19E8"/>
    <w:rsid w:val="006D1BF2"/>
    <w:rsid w:val="006E04B5"/>
    <w:rsid w:val="006E1B7A"/>
    <w:rsid w:val="006E330C"/>
    <w:rsid w:val="006E355F"/>
    <w:rsid w:val="006E3DD8"/>
    <w:rsid w:val="006E793F"/>
    <w:rsid w:val="006F0154"/>
    <w:rsid w:val="006F7944"/>
    <w:rsid w:val="00701F13"/>
    <w:rsid w:val="00704121"/>
    <w:rsid w:val="00705BB5"/>
    <w:rsid w:val="00710DF3"/>
    <w:rsid w:val="0071326F"/>
    <w:rsid w:val="007153D7"/>
    <w:rsid w:val="00716E15"/>
    <w:rsid w:val="00717D3A"/>
    <w:rsid w:val="00720ED4"/>
    <w:rsid w:val="00724D03"/>
    <w:rsid w:val="00727140"/>
    <w:rsid w:val="00727A6A"/>
    <w:rsid w:val="0073007A"/>
    <w:rsid w:val="00731ADC"/>
    <w:rsid w:val="00744600"/>
    <w:rsid w:val="0074488F"/>
    <w:rsid w:val="00745AA8"/>
    <w:rsid w:val="00747D0B"/>
    <w:rsid w:val="007510EC"/>
    <w:rsid w:val="0075233C"/>
    <w:rsid w:val="0075256A"/>
    <w:rsid w:val="007569DE"/>
    <w:rsid w:val="0075723C"/>
    <w:rsid w:val="00761F18"/>
    <w:rsid w:val="00782C8F"/>
    <w:rsid w:val="00785F78"/>
    <w:rsid w:val="00786251"/>
    <w:rsid w:val="0078659D"/>
    <w:rsid w:val="007869EC"/>
    <w:rsid w:val="00793702"/>
    <w:rsid w:val="007A1E58"/>
    <w:rsid w:val="007A5C7E"/>
    <w:rsid w:val="007A6E2F"/>
    <w:rsid w:val="007B3BC5"/>
    <w:rsid w:val="007C1797"/>
    <w:rsid w:val="007D03DF"/>
    <w:rsid w:val="007D3A07"/>
    <w:rsid w:val="007D4953"/>
    <w:rsid w:val="007D50F4"/>
    <w:rsid w:val="007D5766"/>
    <w:rsid w:val="007D7173"/>
    <w:rsid w:val="007E1216"/>
    <w:rsid w:val="007E4CD4"/>
    <w:rsid w:val="007E5492"/>
    <w:rsid w:val="007E6A64"/>
    <w:rsid w:val="007F0E8E"/>
    <w:rsid w:val="00805EB8"/>
    <w:rsid w:val="008079DD"/>
    <w:rsid w:val="0081130F"/>
    <w:rsid w:val="00824430"/>
    <w:rsid w:val="00825B1F"/>
    <w:rsid w:val="00827D55"/>
    <w:rsid w:val="00834653"/>
    <w:rsid w:val="008370F7"/>
    <w:rsid w:val="00840EDD"/>
    <w:rsid w:val="0084255F"/>
    <w:rsid w:val="0084655A"/>
    <w:rsid w:val="00847090"/>
    <w:rsid w:val="00847857"/>
    <w:rsid w:val="00854FB3"/>
    <w:rsid w:val="00860F13"/>
    <w:rsid w:val="00861F8B"/>
    <w:rsid w:val="0086439F"/>
    <w:rsid w:val="0086561F"/>
    <w:rsid w:val="00865FE1"/>
    <w:rsid w:val="008748C7"/>
    <w:rsid w:val="0087521A"/>
    <w:rsid w:val="0087751D"/>
    <w:rsid w:val="008808C0"/>
    <w:rsid w:val="00890BDE"/>
    <w:rsid w:val="008962E7"/>
    <w:rsid w:val="008A1118"/>
    <w:rsid w:val="008A1574"/>
    <w:rsid w:val="008A281F"/>
    <w:rsid w:val="008A4AF6"/>
    <w:rsid w:val="008A4FF8"/>
    <w:rsid w:val="008A5ED1"/>
    <w:rsid w:val="008A7FD1"/>
    <w:rsid w:val="008B042E"/>
    <w:rsid w:val="008B211E"/>
    <w:rsid w:val="008B36FC"/>
    <w:rsid w:val="008B6D48"/>
    <w:rsid w:val="008C09FF"/>
    <w:rsid w:val="008C3DD6"/>
    <w:rsid w:val="008C79A7"/>
    <w:rsid w:val="008D3D55"/>
    <w:rsid w:val="008D3F79"/>
    <w:rsid w:val="008D555F"/>
    <w:rsid w:val="008D625D"/>
    <w:rsid w:val="008D650E"/>
    <w:rsid w:val="008E18D3"/>
    <w:rsid w:val="008E6A41"/>
    <w:rsid w:val="008F34E8"/>
    <w:rsid w:val="00903990"/>
    <w:rsid w:val="00904950"/>
    <w:rsid w:val="00915E5E"/>
    <w:rsid w:val="009166B8"/>
    <w:rsid w:val="0092222F"/>
    <w:rsid w:val="00922DB7"/>
    <w:rsid w:val="0092684A"/>
    <w:rsid w:val="00935A42"/>
    <w:rsid w:val="00937FAB"/>
    <w:rsid w:val="0094094D"/>
    <w:rsid w:val="00942AB8"/>
    <w:rsid w:val="00943801"/>
    <w:rsid w:val="00945CAF"/>
    <w:rsid w:val="00947448"/>
    <w:rsid w:val="00951E66"/>
    <w:rsid w:val="00952B38"/>
    <w:rsid w:val="00952C99"/>
    <w:rsid w:val="0095499D"/>
    <w:rsid w:val="00954EEC"/>
    <w:rsid w:val="00963F69"/>
    <w:rsid w:val="00965333"/>
    <w:rsid w:val="009712EF"/>
    <w:rsid w:val="009727BF"/>
    <w:rsid w:val="00973321"/>
    <w:rsid w:val="00975C2E"/>
    <w:rsid w:val="0097611B"/>
    <w:rsid w:val="00977270"/>
    <w:rsid w:val="009824F2"/>
    <w:rsid w:val="00983080"/>
    <w:rsid w:val="00983DDD"/>
    <w:rsid w:val="0098469A"/>
    <w:rsid w:val="00986AA3"/>
    <w:rsid w:val="009878D9"/>
    <w:rsid w:val="00993B24"/>
    <w:rsid w:val="0099611F"/>
    <w:rsid w:val="00996DF8"/>
    <w:rsid w:val="009A083F"/>
    <w:rsid w:val="009A135C"/>
    <w:rsid w:val="009A67E7"/>
    <w:rsid w:val="009C603A"/>
    <w:rsid w:val="009C74CD"/>
    <w:rsid w:val="009C7DC7"/>
    <w:rsid w:val="009D048F"/>
    <w:rsid w:val="009D401F"/>
    <w:rsid w:val="009D68EB"/>
    <w:rsid w:val="009D68FA"/>
    <w:rsid w:val="009E32CF"/>
    <w:rsid w:val="009E4FC2"/>
    <w:rsid w:val="009E7DA9"/>
    <w:rsid w:val="009F44AE"/>
    <w:rsid w:val="00A014F5"/>
    <w:rsid w:val="00A02529"/>
    <w:rsid w:val="00A02EF2"/>
    <w:rsid w:val="00A04D5E"/>
    <w:rsid w:val="00A07CBA"/>
    <w:rsid w:val="00A10DDF"/>
    <w:rsid w:val="00A11172"/>
    <w:rsid w:val="00A12E55"/>
    <w:rsid w:val="00A242E4"/>
    <w:rsid w:val="00A24437"/>
    <w:rsid w:val="00A24CA0"/>
    <w:rsid w:val="00A265F3"/>
    <w:rsid w:val="00A3362A"/>
    <w:rsid w:val="00A35095"/>
    <w:rsid w:val="00A37B70"/>
    <w:rsid w:val="00A40AC7"/>
    <w:rsid w:val="00A435C7"/>
    <w:rsid w:val="00A47BB4"/>
    <w:rsid w:val="00A52F1E"/>
    <w:rsid w:val="00A569B2"/>
    <w:rsid w:val="00A611A4"/>
    <w:rsid w:val="00A61B95"/>
    <w:rsid w:val="00A6695B"/>
    <w:rsid w:val="00A66CF9"/>
    <w:rsid w:val="00A72703"/>
    <w:rsid w:val="00A727F6"/>
    <w:rsid w:val="00A72E71"/>
    <w:rsid w:val="00A76432"/>
    <w:rsid w:val="00A805B3"/>
    <w:rsid w:val="00A84FC6"/>
    <w:rsid w:val="00A8528E"/>
    <w:rsid w:val="00A860F1"/>
    <w:rsid w:val="00A94A49"/>
    <w:rsid w:val="00A97C26"/>
    <w:rsid w:val="00AA1815"/>
    <w:rsid w:val="00AA1D3E"/>
    <w:rsid w:val="00AA39F9"/>
    <w:rsid w:val="00AB0931"/>
    <w:rsid w:val="00AB5C9B"/>
    <w:rsid w:val="00AB6BBB"/>
    <w:rsid w:val="00AC0276"/>
    <w:rsid w:val="00AC0312"/>
    <w:rsid w:val="00AC0449"/>
    <w:rsid w:val="00AC4500"/>
    <w:rsid w:val="00AD2497"/>
    <w:rsid w:val="00AD5EB4"/>
    <w:rsid w:val="00AE63E2"/>
    <w:rsid w:val="00AF04C9"/>
    <w:rsid w:val="00AF26B6"/>
    <w:rsid w:val="00AF2979"/>
    <w:rsid w:val="00AF5355"/>
    <w:rsid w:val="00B0375C"/>
    <w:rsid w:val="00B052CB"/>
    <w:rsid w:val="00B156C3"/>
    <w:rsid w:val="00B15F67"/>
    <w:rsid w:val="00B1624F"/>
    <w:rsid w:val="00B224C5"/>
    <w:rsid w:val="00B310C0"/>
    <w:rsid w:val="00B325CD"/>
    <w:rsid w:val="00B353C3"/>
    <w:rsid w:val="00B4768D"/>
    <w:rsid w:val="00B518E5"/>
    <w:rsid w:val="00B51E1F"/>
    <w:rsid w:val="00B5342F"/>
    <w:rsid w:val="00B60222"/>
    <w:rsid w:val="00B62CFB"/>
    <w:rsid w:val="00B62EEB"/>
    <w:rsid w:val="00B65013"/>
    <w:rsid w:val="00B662F5"/>
    <w:rsid w:val="00B67E14"/>
    <w:rsid w:val="00B7000C"/>
    <w:rsid w:val="00B760D5"/>
    <w:rsid w:val="00B83B2C"/>
    <w:rsid w:val="00B943C5"/>
    <w:rsid w:val="00B94740"/>
    <w:rsid w:val="00B97F75"/>
    <w:rsid w:val="00BA010C"/>
    <w:rsid w:val="00BA1CAE"/>
    <w:rsid w:val="00BA33BB"/>
    <w:rsid w:val="00BA4830"/>
    <w:rsid w:val="00BA6E22"/>
    <w:rsid w:val="00BB13CC"/>
    <w:rsid w:val="00BB362C"/>
    <w:rsid w:val="00BB692B"/>
    <w:rsid w:val="00BC06C3"/>
    <w:rsid w:val="00BC0A03"/>
    <w:rsid w:val="00BC527C"/>
    <w:rsid w:val="00BD006E"/>
    <w:rsid w:val="00BD4139"/>
    <w:rsid w:val="00BE059A"/>
    <w:rsid w:val="00BE1981"/>
    <w:rsid w:val="00BE3E0D"/>
    <w:rsid w:val="00BE54D0"/>
    <w:rsid w:val="00BE56E9"/>
    <w:rsid w:val="00BE63CF"/>
    <w:rsid w:val="00BE7014"/>
    <w:rsid w:val="00BF25C7"/>
    <w:rsid w:val="00C009B7"/>
    <w:rsid w:val="00C04E32"/>
    <w:rsid w:val="00C05167"/>
    <w:rsid w:val="00C13207"/>
    <w:rsid w:val="00C15A3F"/>
    <w:rsid w:val="00C15D36"/>
    <w:rsid w:val="00C20630"/>
    <w:rsid w:val="00C22F7A"/>
    <w:rsid w:val="00C2666F"/>
    <w:rsid w:val="00C31FE3"/>
    <w:rsid w:val="00C32020"/>
    <w:rsid w:val="00C32967"/>
    <w:rsid w:val="00C3408C"/>
    <w:rsid w:val="00C351CC"/>
    <w:rsid w:val="00C35435"/>
    <w:rsid w:val="00C432FD"/>
    <w:rsid w:val="00C43CDF"/>
    <w:rsid w:val="00C512B2"/>
    <w:rsid w:val="00C56F86"/>
    <w:rsid w:val="00C62B69"/>
    <w:rsid w:val="00C644B7"/>
    <w:rsid w:val="00C64564"/>
    <w:rsid w:val="00C72A0C"/>
    <w:rsid w:val="00C73C87"/>
    <w:rsid w:val="00C74B6F"/>
    <w:rsid w:val="00C84C5C"/>
    <w:rsid w:val="00C87EF3"/>
    <w:rsid w:val="00C9015F"/>
    <w:rsid w:val="00C910B3"/>
    <w:rsid w:val="00C912F9"/>
    <w:rsid w:val="00C9241B"/>
    <w:rsid w:val="00C96C73"/>
    <w:rsid w:val="00C97569"/>
    <w:rsid w:val="00CA199D"/>
    <w:rsid w:val="00CA4D9C"/>
    <w:rsid w:val="00CB05A7"/>
    <w:rsid w:val="00CB06A4"/>
    <w:rsid w:val="00CB2250"/>
    <w:rsid w:val="00CB325B"/>
    <w:rsid w:val="00CB5434"/>
    <w:rsid w:val="00CB64FF"/>
    <w:rsid w:val="00CB7078"/>
    <w:rsid w:val="00CC014B"/>
    <w:rsid w:val="00CC21D8"/>
    <w:rsid w:val="00CC3369"/>
    <w:rsid w:val="00CC5343"/>
    <w:rsid w:val="00CC78DE"/>
    <w:rsid w:val="00CD0F93"/>
    <w:rsid w:val="00CD19F7"/>
    <w:rsid w:val="00CD6D6E"/>
    <w:rsid w:val="00CD6F23"/>
    <w:rsid w:val="00CE4C42"/>
    <w:rsid w:val="00CF27E9"/>
    <w:rsid w:val="00CF640B"/>
    <w:rsid w:val="00D027AF"/>
    <w:rsid w:val="00D06652"/>
    <w:rsid w:val="00D07FA6"/>
    <w:rsid w:val="00D17C53"/>
    <w:rsid w:val="00D17D57"/>
    <w:rsid w:val="00D2341D"/>
    <w:rsid w:val="00D25E0E"/>
    <w:rsid w:val="00D302EB"/>
    <w:rsid w:val="00D31679"/>
    <w:rsid w:val="00D320C8"/>
    <w:rsid w:val="00D33D2D"/>
    <w:rsid w:val="00D3672F"/>
    <w:rsid w:val="00D40ABA"/>
    <w:rsid w:val="00D40FE2"/>
    <w:rsid w:val="00D440FA"/>
    <w:rsid w:val="00D44BCF"/>
    <w:rsid w:val="00D46E73"/>
    <w:rsid w:val="00D55035"/>
    <w:rsid w:val="00D5548D"/>
    <w:rsid w:val="00D60F81"/>
    <w:rsid w:val="00D62B74"/>
    <w:rsid w:val="00D63951"/>
    <w:rsid w:val="00D63BF2"/>
    <w:rsid w:val="00D67348"/>
    <w:rsid w:val="00D75FEC"/>
    <w:rsid w:val="00D76B98"/>
    <w:rsid w:val="00D86F2C"/>
    <w:rsid w:val="00DA22C7"/>
    <w:rsid w:val="00DA36F6"/>
    <w:rsid w:val="00DA47A7"/>
    <w:rsid w:val="00DB11E8"/>
    <w:rsid w:val="00DC1611"/>
    <w:rsid w:val="00DC5F68"/>
    <w:rsid w:val="00DD03BF"/>
    <w:rsid w:val="00DD7058"/>
    <w:rsid w:val="00DE76FC"/>
    <w:rsid w:val="00DF0774"/>
    <w:rsid w:val="00DF1036"/>
    <w:rsid w:val="00E05451"/>
    <w:rsid w:val="00E05651"/>
    <w:rsid w:val="00E1104A"/>
    <w:rsid w:val="00E11BA5"/>
    <w:rsid w:val="00E20425"/>
    <w:rsid w:val="00E23FAC"/>
    <w:rsid w:val="00E24D4E"/>
    <w:rsid w:val="00E25DCB"/>
    <w:rsid w:val="00E4156E"/>
    <w:rsid w:val="00E453F2"/>
    <w:rsid w:val="00E460AD"/>
    <w:rsid w:val="00E47A72"/>
    <w:rsid w:val="00E544B1"/>
    <w:rsid w:val="00E5571E"/>
    <w:rsid w:val="00E56769"/>
    <w:rsid w:val="00E56C3F"/>
    <w:rsid w:val="00E61925"/>
    <w:rsid w:val="00E63928"/>
    <w:rsid w:val="00E65C0E"/>
    <w:rsid w:val="00E730FC"/>
    <w:rsid w:val="00E746F0"/>
    <w:rsid w:val="00E82A15"/>
    <w:rsid w:val="00E87589"/>
    <w:rsid w:val="00E9146A"/>
    <w:rsid w:val="00E938FF"/>
    <w:rsid w:val="00EA0918"/>
    <w:rsid w:val="00EA34DC"/>
    <w:rsid w:val="00EA5017"/>
    <w:rsid w:val="00EA6BED"/>
    <w:rsid w:val="00EB14F0"/>
    <w:rsid w:val="00EB3657"/>
    <w:rsid w:val="00EB3844"/>
    <w:rsid w:val="00EB5A9F"/>
    <w:rsid w:val="00EC5C8D"/>
    <w:rsid w:val="00EC6E91"/>
    <w:rsid w:val="00EC7089"/>
    <w:rsid w:val="00ED106C"/>
    <w:rsid w:val="00ED2D34"/>
    <w:rsid w:val="00ED4805"/>
    <w:rsid w:val="00ED48F7"/>
    <w:rsid w:val="00ED5A0F"/>
    <w:rsid w:val="00ED6C51"/>
    <w:rsid w:val="00EE241B"/>
    <w:rsid w:val="00EF3292"/>
    <w:rsid w:val="00EF4258"/>
    <w:rsid w:val="00F02237"/>
    <w:rsid w:val="00F02981"/>
    <w:rsid w:val="00F12230"/>
    <w:rsid w:val="00F22423"/>
    <w:rsid w:val="00F230E9"/>
    <w:rsid w:val="00F24C72"/>
    <w:rsid w:val="00F31D22"/>
    <w:rsid w:val="00F32782"/>
    <w:rsid w:val="00F33E22"/>
    <w:rsid w:val="00F33E2B"/>
    <w:rsid w:val="00F348B2"/>
    <w:rsid w:val="00F34BF0"/>
    <w:rsid w:val="00F4095A"/>
    <w:rsid w:val="00F40972"/>
    <w:rsid w:val="00F4101D"/>
    <w:rsid w:val="00F45845"/>
    <w:rsid w:val="00F50189"/>
    <w:rsid w:val="00F508FC"/>
    <w:rsid w:val="00F50A16"/>
    <w:rsid w:val="00F54044"/>
    <w:rsid w:val="00F576E7"/>
    <w:rsid w:val="00F64389"/>
    <w:rsid w:val="00F763FC"/>
    <w:rsid w:val="00F772C1"/>
    <w:rsid w:val="00F77AE1"/>
    <w:rsid w:val="00F8026D"/>
    <w:rsid w:val="00F81F5F"/>
    <w:rsid w:val="00F8245F"/>
    <w:rsid w:val="00F91629"/>
    <w:rsid w:val="00F91E2A"/>
    <w:rsid w:val="00F94CD2"/>
    <w:rsid w:val="00FA153F"/>
    <w:rsid w:val="00FA1D78"/>
    <w:rsid w:val="00FA1F7E"/>
    <w:rsid w:val="00FA280F"/>
    <w:rsid w:val="00FA4D4C"/>
    <w:rsid w:val="00FA6057"/>
    <w:rsid w:val="00FB12B6"/>
    <w:rsid w:val="00FB2186"/>
    <w:rsid w:val="00FB2D60"/>
    <w:rsid w:val="00FB3128"/>
    <w:rsid w:val="00FC23A0"/>
    <w:rsid w:val="00FC68C1"/>
    <w:rsid w:val="00FD0133"/>
    <w:rsid w:val="00FD1652"/>
    <w:rsid w:val="00FD4BE0"/>
    <w:rsid w:val="00FD6206"/>
    <w:rsid w:val="00FE1117"/>
    <w:rsid w:val="00FF32C3"/>
    <w:rsid w:val="00FF6168"/>
  </w:rsids>
  <m:mathPr>
    <m:mathFont m:val="Cambria Math"/>
    <m:brkBin m:val="before"/>
    <m:brkBinSub m:val="--"/>
    <m:smallFrac m:val="0"/>
    <m:dispDef/>
    <m:lMargin m:val="0"/>
    <m:rMargin m:val="0"/>
    <m:defJc m:val="centerGroup"/>
    <m:wrapIndent m:val="1440"/>
    <m:intLim m:val="subSup"/>
    <m:naryLim m:val="undOvr"/>
  </m:mathPr>
  <w:themeFontLang w:val="fr-CA"/>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30721"/>
    <o:shapelayout v:ext="edit">
      <o:idmap v:ext="edit" data="1"/>
    </o:shapelayout>
  </w:shapeDefaults>
  <w:decimalSymbol w:val=","/>
  <w:listSeparator w:val=";"/>
  <w14:docId w14:val="621D2D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fr-CA" w:eastAsia="fr-CA"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rFonts w:ascii="Arial" w:hAnsi="Arial"/>
      <w:sz w:val="24"/>
    </w:rPr>
  </w:style>
  <w:style w:type="paragraph" w:styleId="Titre1">
    <w:name w:val="heading 1"/>
    <w:basedOn w:val="Normal"/>
    <w:next w:val="corpsdedcision"/>
    <w:qFormat/>
    <w:rsid w:val="0034740A"/>
    <w:pPr>
      <w:keepNext/>
      <w:spacing w:before="240" w:after="240"/>
      <w:outlineLvl w:val="0"/>
    </w:pPr>
    <w:rPr>
      <w:rFonts w:cs="Arial"/>
      <w:bCs/>
      <w:caps/>
      <w:kern w:val="32"/>
      <w:szCs w:val="32"/>
      <w:u w:val="single"/>
      <w:lang w:eastAsia="fr-FR"/>
    </w:rPr>
  </w:style>
  <w:style w:type="paragraph" w:styleId="Titre2">
    <w:name w:val="heading 2"/>
    <w:basedOn w:val="Normal"/>
    <w:next w:val="corpsdedcision"/>
    <w:qFormat/>
    <w:rsid w:val="0034740A"/>
    <w:pPr>
      <w:keepNext/>
      <w:spacing w:before="240" w:after="240"/>
      <w:outlineLvl w:val="1"/>
    </w:pPr>
    <w:rPr>
      <w:rFonts w:cs="Arial"/>
      <w:bCs/>
      <w:iCs/>
      <w:caps/>
      <w:szCs w:val="28"/>
      <w:lang w:eastAsia="fr-FR"/>
    </w:rPr>
  </w:style>
  <w:style w:type="paragraph" w:styleId="Titre3">
    <w:name w:val="heading 3"/>
    <w:basedOn w:val="Normal"/>
    <w:next w:val="corpsdedcision"/>
    <w:qFormat/>
    <w:rsid w:val="0034740A"/>
    <w:pPr>
      <w:keepNext/>
      <w:spacing w:before="240" w:after="240"/>
      <w:outlineLvl w:val="2"/>
    </w:pPr>
    <w:rPr>
      <w:rFonts w:cs="Arial"/>
      <w:bCs/>
      <w:szCs w:val="26"/>
      <w:u w:val="single"/>
      <w:lang w:eastAsia="fr-FR"/>
    </w:rPr>
  </w:style>
  <w:style w:type="paragraph" w:styleId="Titre4">
    <w:name w:val="heading 4"/>
    <w:basedOn w:val="Normal"/>
    <w:next w:val="corpsdedcision"/>
    <w:qFormat/>
    <w:rsid w:val="0034740A"/>
    <w:pPr>
      <w:keepNext/>
      <w:spacing w:before="240" w:after="240"/>
      <w:outlineLvl w:val="3"/>
    </w:pPr>
    <w:rPr>
      <w:bCs/>
      <w:szCs w:val="28"/>
      <w:lang w:eastAsia="fr-FR"/>
    </w:rPr>
  </w:style>
  <w:style w:type="paragraph" w:styleId="Titre5">
    <w:name w:val="heading 5"/>
    <w:basedOn w:val="Normal"/>
    <w:next w:val="Normal"/>
    <w:qFormat/>
    <w:rsid w:val="005E2367"/>
    <w:pPr>
      <w:numPr>
        <w:ilvl w:val="4"/>
        <w:numId w:val="2"/>
      </w:numPr>
      <w:spacing w:before="240" w:after="60"/>
      <w:outlineLvl w:val="4"/>
    </w:pPr>
    <w:rPr>
      <w:b/>
      <w:bCs/>
      <w:i/>
      <w:iCs/>
      <w:sz w:val="26"/>
      <w:szCs w:val="26"/>
    </w:rPr>
  </w:style>
  <w:style w:type="paragraph" w:styleId="Titre6">
    <w:name w:val="heading 6"/>
    <w:basedOn w:val="Normal"/>
    <w:next w:val="Normal"/>
    <w:qFormat/>
    <w:rsid w:val="005E2367"/>
    <w:pPr>
      <w:numPr>
        <w:ilvl w:val="5"/>
        <w:numId w:val="2"/>
      </w:numPr>
      <w:spacing w:before="240" w:after="60"/>
      <w:outlineLvl w:val="5"/>
    </w:pPr>
    <w:rPr>
      <w:rFonts w:ascii="Times New Roman" w:hAnsi="Times New Roman"/>
      <w:b/>
      <w:bCs/>
      <w:sz w:val="22"/>
      <w:szCs w:val="22"/>
    </w:rPr>
  </w:style>
  <w:style w:type="paragraph" w:styleId="Titre7">
    <w:name w:val="heading 7"/>
    <w:basedOn w:val="Normal"/>
    <w:next w:val="Normal"/>
    <w:qFormat/>
    <w:rsid w:val="005E2367"/>
    <w:pPr>
      <w:numPr>
        <w:ilvl w:val="6"/>
        <w:numId w:val="2"/>
      </w:numPr>
      <w:spacing w:before="240" w:after="60"/>
      <w:outlineLvl w:val="6"/>
    </w:pPr>
    <w:rPr>
      <w:rFonts w:ascii="Times New Roman" w:hAnsi="Times New Roman"/>
      <w:szCs w:val="24"/>
    </w:rPr>
  </w:style>
  <w:style w:type="paragraph" w:styleId="Titre8">
    <w:name w:val="heading 8"/>
    <w:basedOn w:val="Normal"/>
    <w:next w:val="Normal"/>
    <w:qFormat/>
    <w:rsid w:val="005E2367"/>
    <w:pPr>
      <w:numPr>
        <w:ilvl w:val="7"/>
        <w:numId w:val="2"/>
      </w:numPr>
      <w:spacing w:before="240" w:after="60"/>
      <w:outlineLvl w:val="7"/>
    </w:pPr>
    <w:rPr>
      <w:rFonts w:ascii="Times New Roman" w:hAnsi="Times New Roman"/>
      <w:i/>
      <w:iCs/>
      <w:szCs w:val="24"/>
    </w:rPr>
  </w:style>
  <w:style w:type="paragraph" w:styleId="Titre9">
    <w:name w:val="heading 9"/>
    <w:basedOn w:val="Normal"/>
    <w:next w:val="Normal"/>
    <w:qFormat/>
    <w:rsid w:val="005E2367"/>
    <w:pPr>
      <w:numPr>
        <w:ilvl w:val="8"/>
        <w:numId w:val="2"/>
      </w:numPr>
      <w:spacing w:before="240" w:after="60"/>
      <w:outlineLvl w:val="8"/>
    </w:pPr>
    <w:rPr>
      <w:rFonts w:cs="Arial"/>
      <w:sz w:val="22"/>
      <w:szCs w:val="22"/>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zSoquijdatAssesseurs">
    <w:name w:val="zSoquij_datAssesseurs"/>
    <w:basedOn w:val="Normal"/>
  </w:style>
  <w:style w:type="paragraph" w:customStyle="1" w:styleId="zSoquijdatCabinetProcureurDef">
    <w:name w:val="zSoquij_datCabinetProcureurDef"/>
    <w:basedOn w:val="Normal"/>
  </w:style>
  <w:style w:type="paragraph" w:customStyle="1" w:styleId="zSoquijdatCabinetProcureurDem">
    <w:name w:val="zSoquij_datCabinetProcureurDem"/>
    <w:basedOn w:val="Normal"/>
  </w:style>
  <w:style w:type="paragraph" w:customStyle="1" w:styleId="zSoquijdatDateJugement">
    <w:name w:val="zSoquij_datDateJugement"/>
    <w:basedOn w:val="Normal"/>
    <w:rsid w:val="005B5689"/>
  </w:style>
  <w:style w:type="paragraph" w:customStyle="1" w:styleId="zSoquijdatGreffe">
    <w:name w:val="zSoquij_datGreffe"/>
    <w:basedOn w:val="Normal"/>
  </w:style>
  <w:style w:type="paragraph" w:customStyle="1" w:styleId="zSoquijdatJuge">
    <w:name w:val="zSoquij_datJuge"/>
    <w:basedOn w:val="Normal"/>
    <w:rsid w:val="005B5689"/>
    <w:rPr>
      <w:b/>
    </w:rPr>
  </w:style>
  <w:style w:type="paragraph" w:customStyle="1" w:styleId="zSoquijdatMembreE">
    <w:name w:val="zSoquij_datMembreE"/>
    <w:basedOn w:val="Normal"/>
  </w:style>
  <w:style w:type="paragraph" w:customStyle="1" w:styleId="zSoquijdatMembreS">
    <w:name w:val="zSoquij_datMembreS"/>
    <w:basedOn w:val="Normal"/>
  </w:style>
  <w:style w:type="paragraph" w:customStyle="1" w:styleId="articlesdelaLSST">
    <w:name w:val="articles de la LSST"/>
    <w:basedOn w:val="Normal"/>
    <w:pPr>
      <w:ind w:left="720" w:right="720"/>
      <w:jc w:val="both"/>
    </w:pPr>
    <w:rPr>
      <w:sz w:val="20"/>
    </w:rPr>
  </w:style>
  <w:style w:type="paragraph" w:customStyle="1" w:styleId="zSoquijdatNCSST">
    <w:name w:val="zSoquij_datNCSST"/>
    <w:basedOn w:val="Normal"/>
  </w:style>
  <w:style w:type="paragraph" w:customStyle="1" w:styleId="zSoquijdatNoDossier">
    <w:name w:val="zSoquij_datNoDossier"/>
    <w:basedOn w:val="Normal"/>
  </w:style>
  <w:style w:type="paragraph" w:customStyle="1" w:styleId="zSoquijdatNomPartieDef">
    <w:name w:val="zSoquij_datNomPartieDef"/>
    <w:basedOn w:val="Normal"/>
  </w:style>
  <w:style w:type="paragraph" w:customStyle="1" w:styleId="zSoquijdatNomPartieDem">
    <w:name w:val="zSoquij_datNomPartieDem"/>
    <w:basedOn w:val="Normal"/>
  </w:style>
  <w:style w:type="paragraph" w:customStyle="1" w:styleId="zSoquijdatNomPartieInt">
    <w:name w:val="zSoquij_datNomPartieInt"/>
    <w:basedOn w:val="Normal"/>
  </w:style>
  <w:style w:type="paragraph" w:customStyle="1" w:styleId="zSoquijdatNomProcureurDef">
    <w:name w:val="zSoquij_datNomProcureurDef"/>
    <w:basedOn w:val="Normal"/>
  </w:style>
  <w:style w:type="paragraph" w:customStyle="1" w:styleId="zSoquijdatNomProcureurDem">
    <w:name w:val="zSoquij_datNomProcureurDem"/>
    <w:basedOn w:val="Normal"/>
  </w:style>
  <w:style w:type="paragraph" w:customStyle="1" w:styleId="zSoquijdatQtePartieDef">
    <w:name w:val="zSoquij_datQtePartieDef"/>
    <w:basedOn w:val="Normal"/>
  </w:style>
  <w:style w:type="paragraph" w:customStyle="1" w:styleId="zSoquijdatQtePartieDem">
    <w:name w:val="zSoquij_datQtePartieDem"/>
    <w:basedOn w:val="Normal"/>
  </w:style>
  <w:style w:type="paragraph" w:customStyle="1" w:styleId="zSoquijdatQtePartieInt">
    <w:name w:val="zSoquij_datQtePartieInt"/>
    <w:basedOn w:val="Normal"/>
  </w:style>
  <w:style w:type="paragraph" w:customStyle="1" w:styleId="zSoquijlblProcureurDef">
    <w:name w:val="zSoquij_lblProcureurDef"/>
    <w:basedOn w:val="Normal"/>
  </w:style>
  <w:style w:type="paragraph" w:customStyle="1" w:styleId="zSoquijlblProcureurDem">
    <w:name w:val="zSoquij_lblProcureurDem"/>
    <w:basedOn w:val="Normal"/>
  </w:style>
  <w:style w:type="character" w:styleId="Appelnotedebasdep">
    <w:name w:val="footnote reference"/>
    <w:basedOn w:val="Policepardfaut"/>
    <w:rPr>
      <w:rFonts w:ascii="Arial" w:hAnsi="Arial"/>
      <w:vertAlign w:val="superscript"/>
    </w:rPr>
  </w:style>
  <w:style w:type="paragraph" w:customStyle="1" w:styleId="citation">
    <w:name w:val="citation"/>
    <w:basedOn w:val="Normal"/>
    <w:link w:val="citationCar"/>
    <w:pPr>
      <w:ind w:left="720" w:right="720"/>
      <w:jc w:val="both"/>
    </w:pPr>
    <w:rPr>
      <w:sz w:val="20"/>
    </w:rPr>
  </w:style>
  <w:style w:type="paragraph" w:customStyle="1" w:styleId="corpsdedcision">
    <w:name w:val="corps de décision"/>
    <w:basedOn w:val="Normal"/>
    <w:link w:val="corpsdedcisionCar"/>
    <w:pPr>
      <w:numPr>
        <w:numId w:val="1"/>
      </w:numPr>
      <w:tabs>
        <w:tab w:val="left" w:pos="720"/>
      </w:tabs>
      <w:spacing w:after="360"/>
      <w:jc w:val="both"/>
    </w:pPr>
  </w:style>
  <w:style w:type="paragraph" w:customStyle="1" w:styleId="Dfinitions">
    <w:name w:val="Définitions"/>
    <w:basedOn w:val="citation"/>
  </w:style>
  <w:style w:type="paragraph" w:customStyle="1" w:styleId="Dispositif">
    <w:name w:val="Dispositif"/>
    <w:basedOn w:val="Normal"/>
    <w:pPr>
      <w:spacing w:after="360"/>
      <w:jc w:val="both"/>
    </w:pPr>
  </w:style>
  <w:style w:type="paragraph" w:styleId="Notedebasdepage">
    <w:name w:val="footnote text"/>
    <w:aliases w:val="Note de bas de page art 65,Note de bas de page + 10pt"/>
    <w:basedOn w:val="Normal"/>
    <w:link w:val="NotedebasdepageCar"/>
  </w:style>
  <w:style w:type="paragraph" w:styleId="En-tte">
    <w:name w:val="header"/>
    <w:basedOn w:val="Normal"/>
    <w:pPr>
      <w:tabs>
        <w:tab w:val="center" w:pos="4320"/>
        <w:tab w:val="right" w:pos="8640"/>
      </w:tabs>
    </w:pPr>
  </w:style>
  <w:style w:type="character" w:styleId="Numrodepage">
    <w:name w:val="page number"/>
    <w:basedOn w:val="Policepardfaut"/>
    <w:rPr>
      <w:rFonts w:ascii="Arial" w:hAnsi="Arial"/>
      <w:sz w:val="24"/>
    </w:rPr>
  </w:style>
  <w:style w:type="paragraph" w:styleId="Pieddepage">
    <w:name w:val="footer"/>
    <w:basedOn w:val="Normal"/>
    <w:pPr>
      <w:tabs>
        <w:tab w:val="center" w:pos="4320"/>
        <w:tab w:val="right" w:pos="8640"/>
      </w:tabs>
    </w:pPr>
  </w:style>
  <w:style w:type="paragraph" w:customStyle="1" w:styleId="zSoquijlblProcureurInt">
    <w:name w:val="zSoquij_lblProcureurInt"/>
    <w:basedOn w:val="Normal"/>
  </w:style>
  <w:style w:type="paragraph" w:customStyle="1" w:styleId="articlesdelaLATMP">
    <w:name w:val="articles de la LATMP"/>
    <w:basedOn w:val="Normal"/>
    <w:pPr>
      <w:ind w:left="720" w:right="720"/>
      <w:jc w:val="both"/>
    </w:pPr>
    <w:rPr>
      <w:sz w:val="20"/>
    </w:rPr>
  </w:style>
  <w:style w:type="paragraph" w:customStyle="1" w:styleId="Annexes">
    <w:name w:val="Annexes"/>
    <w:basedOn w:val="citation"/>
  </w:style>
  <w:style w:type="paragraph" w:customStyle="1" w:styleId="zSoquijdatNomProcureurInt">
    <w:name w:val="zSoquij_datNomProcureurInt"/>
    <w:basedOn w:val="Normal"/>
  </w:style>
  <w:style w:type="paragraph" w:customStyle="1" w:styleId="zSoquijdatCabinetProcureurInt">
    <w:name w:val="zSoquij_datCabinetProcureurInt"/>
    <w:basedOn w:val="Normal"/>
  </w:style>
  <w:style w:type="paragraph" w:customStyle="1" w:styleId="zSoquijdatRefNeutre">
    <w:name w:val="zSoquij_datRefNeutre"/>
    <w:basedOn w:val="Normal"/>
    <w:rsid w:val="00E20425"/>
    <w:pPr>
      <w:jc w:val="right"/>
    </w:pPr>
    <w:rPr>
      <w:b/>
      <w:sz w:val="22"/>
      <w:szCs w:val="22"/>
    </w:rPr>
  </w:style>
  <w:style w:type="paragraph" w:customStyle="1" w:styleId="zSoquijdatRepertorie">
    <w:name w:val="zSoquij_datRepertorie"/>
    <w:basedOn w:val="Normal"/>
    <w:rsid w:val="00E20425"/>
    <w:rPr>
      <w:b/>
      <w:sz w:val="22"/>
      <w:szCs w:val="22"/>
    </w:rPr>
  </w:style>
  <w:style w:type="paragraph" w:customStyle="1" w:styleId="corpsdetexte">
    <w:name w:val="corps de texte"/>
    <w:basedOn w:val="Normal"/>
    <w:rsid w:val="00ED2D34"/>
    <w:pPr>
      <w:tabs>
        <w:tab w:val="left" w:pos="720"/>
      </w:tabs>
      <w:spacing w:after="360"/>
      <w:jc w:val="both"/>
    </w:pPr>
  </w:style>
  <w:style w:type="paragraph" w:customStyle="1" w:styleId="articlesdelaLATMPnouveaux">
    <w:name w:val="articles de la LATMP (nouveaux)"/>
    <w:basedOn w:val="Normal"/>
    <w:rsid w:val="00D44BCF"/>
    <w:pPr>
      <w:ind w:left="720" w:right="720"/>
      <w:jc w:val="both"/>
    </w:pPr>
    <w:rPr>
      <w:sz w:val="20"/>
    </w:rPr>
  </w:style>
  <w:style w:type="character" w:customStyle="1" w:styleId="NotedebasdepageCar">
    <w:name w:val="Note de bas de page Car"/>
    <w:aliases w:val="Note de bas de page art 65 Car,Note de bas de page + 10pt Car"/>
    <w:basedOn w:val="Policepardfaut"/>
    <w:link w:val="Notedebasdepage"/>
    <w:locked/>
    <w:rsid w:val="00BC0A03"/>
    <w:rPr>
      <w:rFonts w:ascii="Arial" w:hAnsi="Arial"/>
      <w:sz w:val="24"/>
      <w:lang w:val="fr-CA" w:eastAsia="fr-CA" w:bidi="ar-SA"/>
    </w:rPr>
  </w:style>
  <w:style w:type="paragraph" w:customStyle="1" w:styleId="Citationenretrait">
    <w:name w:val="Citation en retrait"/>
    <w:basedOn w:val="Normal"/>
    <w:rsid w:val="006A7C53"/>
    <w:pPr>
      <w:spacing w:before="120" w:after="120"/>
      <w:ind w:left="720" w:right="720"/>
      <w:jc w:val="both"/>
    </w:pPr>
    <w:rPr>
      <w:kern w:val="24"/>
      <w:sz w:val="22"/>
      <w:lang w:eastAsia="fr-FR"/>
    </w:rPr>
  </w:style>
  <w:style w:type="paragraph" w:customStyle="1" w:styleId="Citationendoubleretrait">
    <w:name w:val="Citation en double retrait"/>
    <w:basedOn w:val="Citationenretrait"/>
    <w:rsid w:val="00147A49"/>
    <w:pPr>
      <w:spacing w:before="0" w:after="0"/>
      <w:ind w:left="1440" w:right="1440"/>
    </w:pPr>
    <w:rPr>
      <w:sz w:val="20"/>
    </w:rPr>
  </w:style>
  <w:style w:type="character" w:customStyle="1" w:styleId="Citationintgre">
    <w:name w:val="Citation intégrée"/>
    <w:basedOn w:val="Policepardfaut"/>
    <w:rsid w:val="006A7C53"/>
    <w:rPr>
      <w:rFonts w:ascii="Arial" w:hAnsi="Arial"/>
      <w:i/>
      <w:noProof w:val="0"/>
      <w:sz w:val="22"/>
      <w:lang w:val="fr-CA"/>
    </w:rPr>
  </w:style>
  <w:style w:type="paragraph" w:customStyle="1" w:styleId="Paragraphe">
    <w:name w:val="Paragraphe"/>
    <w:basedOn w:val="Normal"/>
    <w:rsid w:val="006A7C53"/>
    <w:pPr>
      <w:numPr>
        <w:numId w:val="6"/>
      </w:numPr>
      <w:spacing w:before="160" w:after="160"/>
      <w:jc w:val="both"/>
    </w:pPr>
    <w:rPr>
      <w:kern w:val="28"/>
      <w:lang w:eastAsia="fr-FR"/>
    </w:rPr>
  </w:style>
  <w:style w:type="paragraph" w:customStyle="1" w:styleId="ParagAlaMarge">
    <w:name w:val="ParagAlaMarge"/>
    <w:basedOn w:val="Paragraphe"/>
    <w:rsid w:val="006A7C53"/>
    <w:pPr>
      <w:numPr>
        <w:numId w:val="0"/>
      </w:numPr>
    </w:pPr>
  </w:style>
  <w:style w:type="paragraph" w:customStyle="1" w:styleId="ParagNonNum">
    <w:name w:val="ParagNonNum"/>
    <w:basedOn w:val="Paragraphe"/>
    <w:rsid w:val="006A7C53"/>
    <w:pPr>
      <w:numPr>
        <w:numId w:val="0"/>
      </w:numPr>
      <w:ind w:firstLine="720"/>
    </w:pPr>
  </w:style>
  <w:style w:type="paragraph" w:customStyle="1" w:styleId="Sous-paragraphe">
    <w:name w:val="Sous-paragraphe"/>
    <w:basedOn w:val="Normal"/>
    <w:rsid w:val="000E0C28"/>
    <w:pPr>
      <w:numPr>
        <w:ilvl w:val="1"/>
        <w:numId w:val="6"/>
      </w:numPr>
      <w:spacing w:before="120" w:after="120"/>
      <w:ind w:left="1440" w:hanging="720"/>
    </w:pPr>
    <w:rPr>
      <w:szCs w:val="24"/>
      <w:lang w:eastAsia="fr-FR"/>
    </w:rPr>
  </w:style>
  <w:style w:type="paragraph" w:customStyle="1" w:styleId="zSoquijdatDivision">
    <w:name w:val="zSoquij_datDivision"/>
    <w:basedOn w:val="Normal"/>
    <w:rsid w:val="00F772C1"/>
    <w:pPr>
      <w:jc w:val="center"/>
    </w:pPr>
    <w:rPr>
      <w:b/>
      <w:bCs/>
      <w:sz w:val="22"/>
      <w:szCs w:val="22"/>
    </w:rPr>
  </w:style>
  <w:style w:type="paragraph" w:customStyle="1" w:styleId="zSoquijlblLienParties">
    <w:name w:val="zSoquij_lblLienParties"/>
    <w:basedOn w:val="Normal"/>
    <w:rsid w:val="00D06652"/>
  </w:style>
  <w:style w:type="paragraph" w:customStyle="1" w:styleId="zSoquijdatDateAudience">
    <w:name w:val="zSoquij_datDateAudience"/>
    <w:basedOn w:val="Normal"/>
    <w:rsid w:val="000E56A6"/>
  </w:style>
  <w:style w:type="character" w:customStyle="1" w:styleId="corpsdedcisionCar">
    <w:name w:val="corps de décision Car"/>
    <w:link w:val="corpsdedcision"/>
    <w:rsid w:val="008C09FF"/>
    <w:rPr>
      <w:rFonts w:ascii="Arial" w:hAnsi="Arial"/>
      <w:sz w:val="24"/>
    </w:rPr>
  </w:style>
  <w:style w:type="paragraph" w:styleId="Textedebulles">
    <w:name w:val="Balloon Text"/>
    <w:basedOn w:val="Normal"/>
    <w:link w:val="TextedebullesCar"/>
    <w:rsid w:val="003D0A1E"/>
    <w:rPr>
      <w:rFonts w:ascii="Segoe UI" w:hAnsi="Segoe UI" w:cs="Segoe UI"/>
      <w:sz w:val="18"/>
      <w:szCs w:val="18"/>
    </w:rPr>
  </w:style>
  <w:style w:type="character" w:customStyle="1" w:styleId="TextedebullesCar">
    <w:name w:val="Texte de bulles Car"/>
    <w:basedOn w:val="Policepardfaut"/>
    <w:link w:val="Textedebulles"/>
    <w:rsid w:val="003D0A1E"/>
    <w:rPr>
      <w:rFonts w:ascii="Segoe UI" w:hAnsi="Segoe UI" w:cs="Segoe UI"/>
      <w:sz w:val="18"/>
      <w:szCs w:val="18"/>
    </w:rPr>
  </w:style>
  <w:style w:type="character" w:customStyle="1" w:styleId="citationCar">
    <w:name w:val="citation Car"/>
    <w:link w:val="citation"/>
    <w:rsid w:val="006500AE"/>
    <w:rPr>
      <w:rFonts w:ascii="Arial" w:hAnsi="Arial"/>
    </w:rPr>
  </w:style>
  <w:style w:type="character" w:customStyle="1" w:styleId="label-section1">
    <w:name w:val="label-section1"/>
    <w:basedOn w:val="Policepardfaut"/>
    <w:rsid w:val="0095499D"/>
    <w:rPr>
      <w:rFonts w:ascii="Arial" w:hAnsi="Arial" w:cs="Arial" w:hint="default"/>
      <w:b/>
      <w:bCs/>
      <w:sz w:val="24"/>
      <w:szCs w:val="24"/>
    </w:rPr>
  </w:style>
  <w:style w:type="character" w:customStyle="1" w:styleId="texte-courant1">
    <w:name w:val="texte-courant1"/>
    <w:basedOn w:val="Policepardfaut"/>
    <w:rsid w:val="0095499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88172159">
      <w:bodyDiv w:val="1"/>
      <w:marLeft w:val="0"/>
      <w:marRight w:val="0"/>
      <w:marTop w:val="0"/>
      <w:marBottom w:val="0"/>
      <w:divBdr>
        <w:top w:val="none" w:sz="0" w:space="0" w:color="auto"/>
        <w:left w:val="none" w:sz="0" w:space="0" w:color="auto"/>
        <w:bottom w:val="none" w:sz="0" w:space="0" w:color="auto"/>
        <w:right w:val="none" w:sz="0" w:space="0" w:color="auto"/>
      </w:divBdr>
      <w:divsChild>
        <w:div w:id="72363835">
          <w:marLeft w:val="0"/>
          <w:marRight w:val="0"/>
          <w:marTop w:val="0"/>
          <w:marBottom w:val="0"/>
          <w:divBdr>
            <w:top w:val="none" w:sz="0" w:space="0" w:color="auto"/>
            <w:left w:val="none" w:sz="0" w:space="0" w:color="auto"/>
            <w:bottom w:val="none" w:sz="0" w:space="0" w:color="auto"/>
            <w:right w:val="none" w:sz="0" w:space="0" w:color="auto"/>
          </w:divBdr>
          <w:divsChild>
            <w:div w:id="812020767">
              <w:marLeft w:val="-225"/>
              <w:marRight w:val="-150"/>
              <w:marTop w:val="0"/>
              <w:marBottom w:val="0"/>
              <w:divBdr>
                <w:top w:val="none" w:sz="0" w:space="0" w:color="auto"/>
                <w:left w:val="none" w:sz="0" w:space="0" w:color="auto"/>
                <w:bottom w:val="none" w:sz="0" w:space="0" w:color="auto"/>
                <w:right w:val="none" w:sz="0" w:space="0" w:color="auto"/>
              </w:divBdr>
              <w:divsChild>
                <w:div w:id="324894099">
                  <w:marLeft w:val="0"/>
                  <w:marRight w:val="0"/>
                  <w:marTop w:val="0"/>
                  <w:marBottom w:val="0"/>
                  <w:divBdr>
                    <w:top w:val="none" w:sz="0" w:space="0" w:color="auto"/>
                    <w:left w:val="none" w:sz="0" w:space="0" w:color="auto"/>
                    <w:bottom w:val="none" w:sz="0" w:space="0" w:color="auto"/>
                    <w:right w:val="none" w:sz="0" w:space="0" w:color="auto"/>
                  </w:divBdr>
                  <w:divsChild>
                    <w:div w:id="148908145">
                      <w:marLeft w:val="0"/>
                      <w:marRight w:val="0"/>
                      <w:marTop w:val="0"/>
                      <w:marBottom w:val="255"/>
                      <w:divBdr>
                        <w:top w:val="none" w:sz="0" w:space="0" w:color="auto"/>
                        <w:left w:val="none" w:sz="0" w:space="0" w:color="auto"/>
                        <w:bottom w:val="none" w:sz="0" w:space="0" w:color="auto"/>
                        <w:right w:val="none" w:sz="0" w:space="0" w:color="auto"/>
                      </w:divBdr>
                      <w:divsChild>
                        <w:div w:id="744689281">
                          <w:marLeft w:val="0"/>
                          <w:marRight w:val="0"/>
                          <w:marTop w:val="0"/>
                          <w:marBottom w:val="0"/>
                          <w:divBdr>
                            <w:top w:val="none" w:sz="0" w:space="0" w:color="auto"/>
                            <w:left w:val="none" w:sz="0" w:space="0" w:color="auto"/>
                            <w:bottom w:val="none" w:sz="0" w:space="0" w:color="auto"/>
                            <w:right w:val="none" w:sz="0" w:space="0" w:color="auto"/>
                          </w:divBdr>
                          <w:divsChild>
                            <w:div w:id="1301618755">
                              <w:marLeft w:val="0"/>
                              <w:marRight w:val="0"/>
                              <w:marTop w:val="0"/>
                              <w:marBottom w:val="255"/>
                              <w:divBdr>
                                <w:top w:val="none" w:sz="0" w:space="0" w:color="auto"/>
                                <w:left w:val="none" w:sz="0" w:space="0" w:color="auto"/>
                                <w:bottom w:val="none" w:sz="0" w:space="0" w:color="auto"/>
                                <w:right w:val="none" w:sz="0" w:space="0" w:color="auto"/>
                              </w:divBdr>
                              <w:divsChild>
                                <w:div w:id="1233540651">
                                  <w:marLeft w:val="0"/>
                                  <w:marRight w:val="0"/>
                                  <w:marTop w:val="0"/>
                                  <w:marBottom w:val="0"/>
                                  <w:divBdr>
                                    <w:top w:val="none" w:sz="0" w:space="0" w:color="auto"/>
                                    <w:left w:val="none" w:sz="0" w:space="0" w:color="auto"/>
                                    <w:bottom w:val="none" w:sz="0" w:space="0" w:color="auto"/>
                                    <w:right w:val="none" w:sz="0" w:space="0" w:color="auto"/>
                                  </w:divBdr>
                                  <w:divsChild>
                                    <w:div w:id="1282111995">
                                      <w:marLeft w:val="0"/>
                                      <w:marRight w:val="0"/>
                                      <w:marTop w:val="0"/>
                                      <w:marBottom w:val="0"/>
                                      <w:divBdr>
                                        <w:top w:val="none" w:sz="0" w:space="0" w:color="auto"/>
                                        <w:left w:val="none" w:sz="0" w:space="0" w:color="auto"/>
                                        <w:bottom w:val="none" w:sz="0" w:space="0" w:color="auto"/>
                                        <w:right w:val="none" w:sz="0" w:space="0" w:color="auto"/>
                                      </w:divBdr>
                                      <w:divsChild>
                                        <w:div w:id="1297490004">
                                          <w:marLeft w:val="0"/>
                                          <w:marRight w:val="0"/>
                                          <w:marTop w:val="0"/>
                                          <w:marBottom w:val="0"/>
                                          <w:divBdr>
                                            <w:top w:val="none" w:sz="0" w:space="0" w:color="auto"/>
                                            <w:left w:val="none" w:sz="0" w:space="0" w:color="auto"/>
                                            <w:bottom w:val="none" w:sz="0" w:space="0" w:color="auto"/>
                                            <w:right w:val="none" w:sz="0" w:space="0" w:color="auto"/>
                                          </w:divBdr>
                                          <w:divsChild>
                                            <w:div w:id="1417246313">
                                              <w:marLeft w:val="0"/>
                                              <w:marRight w:val="0"/>
                                              <w:marTop w:val="0"/>
                                              <w:marBottom w:val="0"/>
                                              <w:divBdr>
                                                <w:top w:val="none" w:sz="0" w:space="0" w:color="auto"/>
                                                <w:left w:val="none" w:sz="0" w:space="0" w:color="auto"/>
                                                <w:bottom w:val="none" w:sz="0" w:space="0" w:color="auto"/>
                                                <w:right w:val="none" w:sz="0" w:space="0" w:color="auto"/>
                                              </w:divBdr>
                                              <w:divsChild>
                                                <w:div w:id="2099790228">
                                                  <w:marLeft w:val="0"/>
                                                  <w:marRight w:val="0"/>
                                                  <w:marTop w:val="0"/>
                                                  <w:marBottom w:val="0"/>
                                                  <w:divBdr>
                                                    <w:top w:val="none" w:sz="0" w:space="0" w:color="auto"/>
                                                    <w:left w:val="none" w:sz="0" w:space="0" w:color="auto"/>
                                                    <w:bottom w:val="none" w:sz="0" w:space="0" w:color="auto"/>
                                                    <w:right w:val="none" w:sz="0" w:space="0" w:color="auto"/>
                                                  </w:divBdr>
                                                  <w:divsChild>
                                                    <w:div w:id="891043350">
                                                      <w:marLeft w:val="0"/>
                                                      <w:marRight w:val="0"/>
                                                      <w:marTop w:val="219"/>
                                                      <w:marBottom w:val="0"/>
                                                      <w:divBdr>
                                                        <w:top w:val="none" w:sz="0" w:space="0" w:color="auto"/>
                                                        <w:left w:val="none" w:sz="0" w:space="0" w:color="auto"/>
                                                        <w:bottom w:val="none" w:sz="0" w:space="0" w:color="auto"/>
                                                        <w:right w:val="none" w:sz="0" w:space="0" w:color="auto"/>
                                                      </w:divBdr>
                                                      <w:divsChild>
                                                        <w:div w:id="2123960844">
                                                          <w:marLeft w:val="0"/>
                                                          <w:marRight w:val="0"/>
                                                          <w:marTop w:val="260"/>
                                                          <w:marBottom w:val="240"/>
                                                          <w:divBdr>
                                                            <w:top w:val="none" w:sz="0" w:space="0" w:color="auto"/>
                                                            <w:left w:val="none" w:sz="0" w:space="0" w:color="auto"/>
                                                            <w:bottom w:val="none" w:sz="0" w:space="0" w:color="auto"/>
                                                            <w:right w:val="none" w:sz="0" w:space="0" w:color="auto"/>
                                                          </w:divBdr>
                                                        </w:div>
                                                        <w:div w:id="1703286587">
                                                          <w:marLeft w:val="0"/>
                                                          <w:marRight w:val="0"/>
                                                          <w:marTop w:val="260"/>
                                                          <w:marBottom w:val="24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244219743">
      <w:bodyDiv w:val="1"/>
      <w:marLeft w:val="0"/>
      <w:marRight w:val="0"/>
      <w:marTop w:val="0"/>
      <w:marBottom w:val="0"/>
      <w:divBdr>
        <w:top w:val="none" w:sz="0" w:space="0" w:color="auto"/>
        <w:left w:val="none" w:sz="0" w:space="0" w:color="auto"/>
        <w:bottom w:val="none" w:sz="0" w:space="0" w:color="auto"/>
        <w:right w:val="none" w:sz="0" w:space="0" w:color="auto"/>
      </w:divBdr>
      <w:divsChild>
        <w:div w:id="1513296018">
          <w:marLeft w:val="0"/>
          <w:marRight w:val="0"/>
          <w:marTop w:val="0"/>
          <w:marBottom w:val="0"/>
          <w:divBdr>
            <w:top w:val="none" w:sz="0" w:space="0" w:color="auto"/>
            <w:left w:val="none" w:sz="0" w:space="0" w:color="auto"/>
            <w:bottom w:val="none" w:sz="0" w:space="0" w:color="auto"/>
            <w:right w:val="none" w:sz="0" w:space="0" w:color="auto"/>
          </w:divBdr>
          <w:divsChild>
            <w:div w:id="2022776680">
              <w:marLeft w:val="-225"/>
              <w:marRight w:val="-150"/>
              <w:marTop w:val="0"/>
              <w:marBottom w:val="0"/>
              <w:divBdr>
                <w:top w:val="none" w:sz="0" w:space="0" w:color="auto"/>
                <w:left w:val="none" w:sz="0" w:space="0" w:color="auto"/>
                <w:bottom w:val="none" w:sz="0" w:space="0" w:color="auto"/>
                <w:right w:val="none" w:sz="0" w:space="0" w:color="auto"/>
              </w:divBdr>
              <w:divsChild>
                <w:div w:id="783768842">
                  <w:marLeft w:val="0"/>
                  <w:marRight w:val="0"/>
                  <w:marTop w:val="0"/>
                  <w:marBottom w:val="0"/>
                  <w:divBdr>
                    <w:top w:val="none" w:sz="0" w:space="0" w:color="auto"/>
                    <w:left w:val="none" w:sz="0" w:space="0" w:color="auto"/>
                    <w:bottom w:val="none" w:sz="0" w:space="0" w:color="auto"/>
                    <w:right w:val="none" w:sz="0" w:space="0" w:color="auto"/>
                  </w:divBdr>
                  <w:divsChild>
                    <w:div w:id="1908571009">
                      <w:marLeft w:val="0"/>
                      <w:marRight w:val="0"/>
                      <w:marTop w:val="0"/>
                      <w:marBottom w:val="255"/>
                      <w:divBdr>
                        <w:top w:val="none" w:sz="0" w:space="0" w:color="auto"/>
                        <w:left w:val="none" w:sz="0" w:space="0" w:color="auto"/>
                        <w:bottom w:val="none" w:sz="0" w:space="0" w:color="auto"/>
                        <w:right w:val="none" w:sz="0" w:space="0" w:color="auto"/>
                      </w:divBdr>
                      <w:divsChild>
                        <w:div w:id="1982348432">
                          <w:marLeft w:val="0"/>
                          <w:marRight w:val="0"/>
                          <w:marTop w:val="0"/>
                          <w:marBottom w:val="0"/>
                          <w:divBdr>
                            <w:top w:val="none" w:sz="0" w:space="0" w:color="auto"/>
                            <w:left w:val="none" w:sz="0" w:space="0" w:color="auto"/>
                            <w:bottom w:val="none" w:sz="0" w:space="0" w:color="auto"/>
                            <w:right w:val="none" w:sz="0" w:space="0" w:color="auto"/>
                          </w:divBdr>
                          <w:divsChild>
                            <w:div w:id="1543248083">
                              <w:marLeft w:val="0"/>
                              <w:marRight w:val="0"/>
                              <w:marTop w:val="0"/>
                              <w:marBottom w:val="255"/>
                              <w:divBdr>
                                <w:top w:val="none" w:sz="0" w:space="0" w:color="auto"/>
                                <w:left w:val="none" w:sz="0" w:space="0" w:color="auto"/>
                                <w:bottom w:val="none" w:sz="0" w:space="0" w:color="auto"/>
                                <w:right w:val="none" w:sz="0" w:space="0" w:color="auto"/>
                              </w:divBdr>
                              <w:divsChild>
                                <w:div w:id="731150704">
                                  <w:marLeft w:val="0"/>
                                  <w:marRight w:val="0"/>
                                  <w:marTop w:val="0"/>
                                  <w:marBottom w:val="0"/>
                                  <w:divBdr>
                                    <w:top w:val="none" w:sz="0" w:space="0" w:color="auto"/>
                                    <w:left w:val="none" w:sz="0" w:space="0" w:color="auto"/>
                                    <w:bottom w:val="none" w:sz="0" w:space="0" w:color="auto"/>
                                    <w:right w:val="none" w:sz="0" w:space="0" w:color="auto"/>
                                  </w:divBdr>
                                  <w:divsChild>
                                    <w:div w:id="688531890">
                                      <w:marLeft w:val="0"/>
                                      <w:marRight w:val="0"/>
                                      <w:marTop w:val="0"/>
                                      <w:marBottom w:val="0"/>
                                      <w:divBdr>
                                        <w:top w:val="none" w:sz="0" w:space="0" w:color="auto"/>
                                        <w:left w:val="none" w:sz="0" w:space="0" w:color="auto"/>
                                        <w:bottom w:val="none" w:sz="0" w:space="0" w:color="auto"/>
                                        <w:right w:val="none" w:sz="0" w:space="0" w:color="auto"/>
                                      </w:divBdr>
                                      <w:divsChild>
                                        <w:div w:id="1196310003">
                                          <w:marLeft w:val="0"/>
                                          <w:marRight w:val="0"/>
                                          <w:marTop w:val="0"/>
                                          <w:marBottom w:val="0"/>
                                          <w:divBdr>
                                            <w:top w:val="none" w:sz="0" w:space="0" w:color="auto"/>
                                            <w:left w:val="none" w:sz="0" w:space="0" w:color="auto"/>
                                            <w:bottom w:val="none" w:sz="0" w:space="0" w:color="auto"/>
                                            <w:right w:val="none" w:sz="0" w:space="0" w:color="auto"/>
                                          </w:divBdr>
                                          <w:divsChild>
                                            <w:div w:id="1703289573">
                                              <w:marLeft w:val="0"/>
                                              <w:marRight w:val="0"/>
                                              <w:marTop w:val="0"/>
                                              <w:marBottom w:val="0"/>
                                              <w:divBdr>
                                                <w:top w:val="none" w:sz="0" w:space="0" w:color="auto"/>
                                                <w:left w:val="none" w:sz="0" w:space="0" w:color="auto"/>
                                                <w:bottom w:val="none" w:sz="0" w:space="0" w:color="auto"/>
                                                <w:right w:val="none" w:sz="0" w:space="0" w:color="auto"/>
                                              </w:divBdr>
                                              <w:divsChild>
                                                <w:div w:id="1419254341">
                                                  <w:marLeft w:val="0"/>
                                                  <w:marRight w:val="0"/>
                                                  <w:marTop w:val="0"/>
                                                  <w:marBottom w:val="0"/>
                                                  <w:divBdr>
                                                    <w:top w:val="none" w:sz="0" w:space="0" w:color="auto"/>
                                                    <w:left w:val="none" w:sz="0" w:space="0" w:color="auto"/>
                                                    <w:bottom w:val="none" w:sz="0" w:space="0" w:color="auto"/>
                                                    <w:right w:val="none" w:sz="0" w:space="0" w:color="auto"/>
                                                  </w:divBdr>
                                                  <w:divsChild>
                                                    <w:div w:id="1572497441">
                                                      <w:marLeft w:val="0"/>
                                                      <w:marRight w:val="0"/>
                                                      <w:marTop w:val="219"/>
                                                      <w:marBottom w:val="0"/>
                                                      <w:divBdr>
                                                        <w:top w:val="none" w:sz="0" w:space="0" w:color="auto"/>
                                                        <w:left w:val="none" w:sz="0" w:space="0" w:color="auto"/>
                                                        <w:bottom w:val="none" w:sz="0" w:space="0" w:color="auto"/>
                                                        <w:right w:val="none" w:sz="0" w:space="0" w:color="auto"/>
                                                      </w:divBdr>
                                                      <w:divsChild>
                                                        <w:div w:id="1663968162">
                                                          <w:marLeft w:val="0"/>
                                                          <w:marRight w:val="0"/>
                                                          <w:marTop w:val="260"/>
                                                          <w:marBottom w:val="240"/>
                                                          <w:divBdr>
                                                            <w:top w:val="none" w:sz="0" w:space="0" w:color="auto"/>
                                                            <w:left w:val="none" w:sz="0" w:space="0" w:color="auto"/>
                                                            <w:bottom w:val="none" w:sz="0" w:space="0" w:color="auto"/>
                                                            <w:right w:val="none" w:sz="0" w:space="0" w:color="auto"/>
                                                          </w:divBdr>
                                                        </w:div>
                                                        <w:div w:id="322706440">
                                                          <w:marLeft w:val="0"/>
                                                          <w:marRight w:val="0"/>
                                                          <w:marTop w:val="260"/>
                                                          <w:marBottom w:val="24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2051302120">
      <w:bodyDiv w:val="1"/>
      <w:marLeft w:val="0"/>
      <w:marRight w:val="0"/>
      <w:marTop w:val="0"/>
      <w:marBottom w:val="0"/>
      <w:divBdr>
        <w:top w:val="none" w:sz="0" w:space="0" w:color="auto"/>
        <w:left w:val="none" w:sz="0" w:space="0" w:color="auto"/>
        <w:bottom w:val="none" w:sz="0" w:space="0" w:color="auto"/>
        <w:right w:val="none" w:sz="0" w:space="0" w:color="auto"/>
      </w:divBdr>
      <w:divsChild>
        <w:div w:id="287274235">
          <w:marLeft w:val="0"/>
          <w:marRight w:val="0"/>
          <w:marTop w:val="0"/>
          <w:marBottom w:val="0"/>
          <w:divBdr>
            <w:top w:val="none" w:sz="0" w:space="0" w:color="auto"/>
            <w:left w:val="none" w:sz="0" w:space="0" w:color="auto"/>
            <w:bottom w:val="none" w:sz="0" w:space="0" w:color="auto"/>
            <w:right w:val="none" w:sz="0" w:space="0" w:color="auto"/>
          </w:divBdr>
          <w:divsChild>
            <w:div w:id="287899962">
              <w:marLeft w:val="-225"/>
              <w:marRight w:val="-150"/>
              <w:marTop w:val="0"/>
              <w:marBottom w:val="0"/>
              <w:divBdr>
                <w:top w:val="none" w:sz="0" w:space="0" w:color="auto"/>
                <w:left w:val="none" w:sz="0" w:space="0" w:color="auto"/>
                <w:bottom w:val="none" w:sz="0" w:space="0" w:color="auto"/>
                <w:right w:val="none" w:sz="0" w:space="0" w:color="auto"/>
              </w:divBdr>
              <w:divsChild>
                <w:div w:id="1264803023">
                  <w:marLeft w:val="0"/>
                  <w:marRight w:val="0"/>
                  <w:marTop w:val="0"/>
                  <w:marBottom w:val="0"/>
                  <w:divBdr>
                    <w:top w:val="none" w:sz="0" w:space="0" w:color="auto"/>
                    <w:left w:val="none" w:sz="0" w:space="0" w:color="auto"/>
                    <w:bottom w:val="none" w:sz="0" w:space="0" w:color="auto"/>
                    <w:right w:val="none" w:sz="0" w:space="0" w:color="auto"/>
                  </w:divBdr>
                  <w:divsChild>
                    <w:div w:id="1894542012">
                      <w:marLeft w:val="0"/>
                      <w:marRight w:val="0"/>
                      <w:marTop w:val="0"/>
                      <w:marBottom w:val="255"/>
                      <w:divBdr>
                        <w:top w:val="none" w:sz="0" w:space="0" w:color="auto"/>
                        <w:left w:val="none" w:sz="0" w:space="0" w:color="auto"/>
                        <w:bottom w:val="none" w:sz="0" w:space="0" w:color="auto"/>
                        <w:right w:val="none" w:sz="0" w:space="0" w:color="auto"/>
                      </w:divBdr>
                      <w:divsChild>
                        <w:div w:id="2016806622">
                          <w:marLeft w:val="0"/>
                          <w:marRight w:val="0"/>
                          <w:marTop w:val="0"/>
                          <w:marBottom w:val="0"/>
                          <w:divBdr>
                            <w:top w:val="none" w:sz="0" w:space="0" w:color="auto"/>
                            <w:left w:val="none" w:sz="0" w:space="0" w:color="auto"/>
                            <w:bottom w:val="none" w:sz="0" w:space="0" w:color="auto"/>
                            <w:right w:val="none" w:sz="0" w:space="0" w:color="auto"/>
                          </w:divBdr>
                          <w:divsChild>
                            <w:div w:id="1909001293">
                              <w:marLeft w:val="0"/>
                              <w:marRight w:val="0"/>
                              <w:marTop w:val="0"/>
                              <w:marBottom w:val="255"/>
                              <w:divBdr>
                                <w:top w:val="none" w:sz="0" w:space="0" w:color="auto"/>
                                <w:left w:val="none" w:sz="0" w:space="0" w:color="auto"/>
                                <w:bottom w:val="none" w:sz="0" w:space="0" w:color="auto"/>
                                <w:right w:val="none" w:sz="0" w:space="0" w:color="auto"/>
                              </w:divBdr>
                              <w:divsChild>
                                <w:div w:id="862013825">
                                  <w:marLeft w:val="0"/>
                                  <w:marRight w:val="0"/>
                                  <w:marTop w:val="0"/>
                                  <w:marBottom w:val="0"/>
                                  <w:divBdr>
                                    <w:top w:val="none" w:sz="0" w:space="0" w:color="auto"/>
                                    <w:left w:val="none" w:sz="0" w:space="0" w:color="auto"/>
                                    <w:bottom w:val="none" w:sz="0" w:space="0" w:color="auto"/>
                                    <w:right w:val="none" w:sz="0" w:space="0" w:color="auto"/>
                                  </w:divBdr>
                                  <w:divsChild>
                                    <w:div w:id="2075353246">
                                      <w:marLeft w:val="0"/>
                                      <w:marRight w:val="0"/>
                                      <w:marTop w:val="0"/>
                                      <w:marBottom w:val="0"/>
                                      <w:divBdr>
                                        <w:top w:val="none" w:sz="0" w:space="0" w:color="auto"/>
                                        <w:left w:val="none" w:sz="0" w:space="0" w:color="auto"/>
                                        <w:bottom w:val="none" w:sz="0" w:space="0" w:color="auto"/>
                                        <w:right w:val="none" w:sz="0" w:space="0" w:color="auto"/>
                                      </w:divBdr>
                                      <w:divsChild>
                                        <w:div w:id="1810393722">
                                          <w:marLeft w:val="0"/>
                                          <w:marRight w:val="0"/>
                                          <w:marTop w:val="0"/>
                                          <w:marBottom w:val="0"/>
                                          <w:divBdr>
                                            <w:top w:val="none" w:sz="0" w:space="0" w:color="auto"/>
                                            <w:left w:val="none" w:sz="0" w:space="0" w:color="auto"/>
                                            <w:bottom w:val="none" w:sz="0" w:space="0" w:color="auto"/>
                                            <w:right w:val="none" w:sz="0" w:space="0" w:color="auto"/>
                                          </w:divBdr>
                                          <w:divsChild>
                                            <w:div w:id="596719269">
                                              <w:marLeft w:val="0"/>
                                              <w:marRight w:val="0"/>
                                              <w:marTop w:val="0"/>
                                              <w:marBottom w:val="0"/>
                                              <w:divBdr>
                                                <w:top w:val="none" w:sz="0" w:space="0" w:color="auto"/>
                                                <w:left w:val="none" w:sz="0" w:space="0" w:color="auto"/>
                                                <w:bottom w:val="none" w:sz="0" w:space="0" w:color="auto"/>
                                                <w:right w:val="none" w:sz="0" w:space="0" w:color="auto"/>
                                              </w:divBdr>
                                              <w:divsChild>
                                                <w:div w:id="1205410655">
                                                  <w:marLeft w:val="0"/>
                                                  <w:marRight w:val="0"/>
                                                  <w:marTop w:val="0"/>
                                                  <w:marBottom w:val="0"/>
                                                  <w:divBdr>
                                                    <w:top w:val="none" w:sz="0" w:space="0" w:color="auto"/>
                                                    <w:left w:val="none" w:sz="0" w:space="0" w:color="auto"/>
                                                    <w:bottom w:val="none" w:sz="0" w:space="0" w:color="auto"/>
                                                    <w:right w:val="none" w:sz="0" w:space="0" w:color="auto"/>
                                                  </w:divBdr>
                                                  <w:divsChild>
                                                    <w:div w:id="1024941655">
                                                      <w:marLeft w:val="0"/>
                                                      <w:marRight w:val="0"/>
                                                      <w:marTop w:val="219"/>
                                                      <w:marBottom w:val="0"/>
                                                      <w:divBdr>
                                                        <w:top w:val="none" w:sz="0" w:space="0" w:color="auto"/>
                                                        <w:left w:val="none" w:sz="0" w:space="0" w:color="auto"/>
                                                        <w:bottom w:val="none" w:sz="0" w:space="0" w:color="auto"/>
                                                        <w:right w:val="none" w:sz="0" w:space="0" w:color="auto"/>
                                                      </w:divBdr>
                                                      <w:divsChild>
                                                        <w:div w:id="79374708">
                                                          <w:marLeft w:val="0"/>
                                                          <w:marRight w:val="0"/>
                                                          <w:marTop w:val="260"/>
                                                          <w:marBottom w:val="240"/>
                                                          <w:divBdr>
                                                            <w:top w:val="none" w:sz="0" w:space="0" w:color="auto"/>
                                                            <w:left w:val="none" w:sz="0" w:space="0" w:color="auto"/>
                                                            <w:bottom w:val="none" w:sz="0" w:space="0" w:color="auto"/>
                                                            <w:right w:val="none" w:sz="0" w:space="0" w:color="auto"/>
                                                          </w:divBdr>
                                                        </w:div>
                                                        <w:div w:id="1827551171">
                                                          <w:marLeft w:val="0"/>
                                                          <w:marRight w:val="0"/>
                                                          <w:marTop w:val="260"/>
                                                          <w:marBottom w:val="24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2105686969">
      <w:bodyDiv w:val="1"/>
      <w:marLeft w:val="0"/>
      <w:marRight w:val="0"/>
      <w:marTop w:val="0"/>
      <w:marBottom w:val="0"/>
      <w:divBdr>
        <w:top w:val="none" w:sz="0" w:space="0" w:color="auto"/>
        <w:left w:val="none" w:sz="0" w:space="0" w:color="auto"/>
        <w:bottom w:val="none" w:sz="0" w:space="0" w:color="auto"/>
        <w:right w:val="none" w:sz="0" w:space="0" w:color="auto"/>
      </w:divBdr>
      <w:divsChild>
        <w:div w:id="1074667605">
          <w:marLeft w:val="0"/>
          <w:marRight w:val="0"/>
          <w:marTop w:val="0"/>
          <w:marBottom w:val="0"/>
          <w:divBdr>
            <w:top w:val="none" w:sz="0" w:space="0" w:color="auto"/>
            <w:left w:val="none" w:sz="0" w:space="0" w:color="auto"/>
            <w:bottom w:val="none" w:sz="0" w:space="0" w:color="auto"/>
            <w:right w:val="none" w:sz="0" w:space="0" w:color="auto"/>
          </w:divBdr>
          <w:divsChild>
            <w:div w:id="1169295709">
              <w:marLeft w:val="-225"/>
              <w:marRight w:val="-150"/>
              <w:marTop w:val="0"/>
              <w:marBottom w:val="0"/>
              <w:divBdr>
                <w:top w:val="none" w:sz="0" w:space="0" w:color="auto"/>
                <w:left w:val="none" w:sz="0" w:space="0" w:color="auto"/>
                <w:bottom w:val="none" w:sz="0" w:space="0" w:color="auto"/>
                <w:right w:val="none" w:sz="0" w:space="0" w:color="auto"/>
              </w:divBdr>
              <w:divsChild>
                <w:div w:id="604768575">
                  <w:marLeft w:val="0"/>
                  <w:marRight w:val="0"/>
                  <w:marTop w:val="0"/>
                  <w:marBottom w:val="0"/>
                  <w:divBdr>
                    <w:top w:val="none" w:sz="0" w:space="0" w:color="auto"/>
                    <w:left w:val="none" w:sz="0" w:space="0" w:color="auto"/>
                    <w:bottom w:val="none" w:sz="0" w:space="0" w:color="auto"/>
                    <w:right w:val="none" w:sz="0" w:space="0" w:color="auto"/>
                  </w:divBdr>
                  <w:divsChild>
                    <w:div w:id="1770275555">
                      <w:marLeft w:val="0"/>
                      <w:marRight w:val="0"/>
                      <w:marTop w:val="0"/>
                      <w:marBottom w:val="255"/>
                      <w:divBdr>
                        <w:top w:val="none" w:sz="0" w:space="0" w:color="auto"/>
                        <w:left w:val="none" w:sz="0" w:space="0" w:color="auto"/>
                        <w:bottom w:val="none" w:sz="0" w:space="0" w:color="auto"/>
                        <w:right w:val="none" w:sz="0" w:space="0" w:color="auto"/>
                      </w:divBdr>
                      <w:divsChild>
                        <w:div w:id="566301053">
                          <w:marLeft w:val="0"/>
                          <w:marRight w:val="0"/>
                          <w:marTop w:val="0"/>
                          <w:marBottom w:val="0"/>
                          <w:divBdr>
                            <w:top w:val="none" w:sz="0" w:space="0" w:color="auto"/>
                            <w:left w:val="none" w:sz="0" w:space="0" w:color="auto"/>
                            <w:bottom w:val="none" w:sz="0" w:space="0" w:color="auto"/>
                            <w:right w:val="none" w:sz="0" w:space="0" w:color="auto"/>
                          </w:divBdr>
                          <w:divsChild>
                            <w:div w:id="1866870855">
                              <w:marLeft w:val="0"/>
                              <w:marRight w:val="0"/>
                              <w:marTop w:val="0"/>
                              <w:marBottom w:val="255"/>
                              <w:divBdr>
                                <w:top w:val="none" w:sz="0" w:space="0" w:color="auto"/>
                                <w:left w:val="none" w:sz="0" w:space="0" w:color="auto"/>
                                <w:bottom w:val="none" w:sz="0" w:space="0" w:color="auto"/>
                                <w:right w:val="none" w:sz="0" w:space="0" w:color="auto"/>
                              </w:divBdr>
                              <w:divsChild>
                                <w:div w:id="1414471768">
                                  <w:marLeft w:val="0"/>
                                  <w:marRight w:val="0"/>
                                  <w:marTop w:val="0"/>
                                  <w:marBottom w:val="0"/>
                                  <w:divBdr>
                                    <w:top w:val="none" w:sz="0" w:space="0" w:color="auto"/>
                                    <w:left w:val="none" w:sz="0" w:space="0" w:color="auto"/>
                                    <w:bottom w:val="none" w:sz="0" w:space="0" w:color="auto"/>
                                    <w:right w:val="none" w:sz="0" w:space="0" w:color="auto"/>
                                  </w:divBdr>
                                  <w:divsChild>
                                    <w:div w:id="283469707">
                                      <w:marLeft w:val="0"/>
                                      <w:marRight w:val="0"/>
                                      <w:marTop w:val="0"/>
                                      <w:marBottom w:val="0"/>
                                      <w:divBdr>
                                        <w:top w:val="none" w:sz="0" w:space="0" w:color="auto"/>
                                        <w:left w:val="none" w:sz="0" w:space="0" w:color="auto"/>
                                        <w:bottom w:val="none" w:sz="0" w:space="0" w:color="auto"/>
                                        <w:right w:val="none" w:sz="0" w:space="0" w:color="auto"/>
                                      </w:divBdr>
                                      <w:divsChild>
                                        <w:div w:id="1138377937">
                                          <w:marLeft w:val="0"/>
                                          <w:marRight w:val="0"/>
                                          <w:marTop w:val="0"/>
                                          <w:marBottom w:val="0"/>
                                          <w:divBdr>
                                            <w:top w:val="none" w:sz="0" w:space="0" w:color="auto"/>
                                            <w:left w:val="none" w:sz="0" w:space="0" w:color="auto"/>
                                            <w:bottom w:val="none" w:sz="0" w:space="0" w:color="auto"/>
                                            <w:right w:val="none" w:sz="0" w:space="0" w:color="auto"/>
                                          </w:divBdr>
                                          <w:divsChild>
                                            <w:div w:id="2027635431">
                                              <w:marLeft w:val="0"/>
                                              <w:marRight w:val="0"/>
                                              <w:marTop w:val="0"/>
                                              <w:marBottom w:val="0"/>
                                              <w:divBdr>
                                                <w:top w:val="none" w:sz="0" w:space="0" w:color="auto"/>
                                                <w:left w:val="none" w:sz="0" w:space="0" w:color="auto"/>
                                                <w:bottom w:val="none" w:sz="0" w:space="0" w:color="auto"/>
                                                <w:right w:val="none" w:sz="0" w:space="0" w:color="auto"/>
                                              </w:divBdr>
                                              <w:divsChild>
                                                <w:div w:id="1890605996">
                                                  <w:marLeft w:val="0"/>
                                                  <w:marRight w:val="0"/>
                                                  <w:marTop w:val="0"/>
                                                  <w:marBottom w:val="0"/>
                                                  <w:divBdr>
                                                    <w:top w:val="none" w:sz="0" w:space="0" w:color="auto"/>
                                                    <w:left w:val="none" w:sz="0" w:space="0" w:color="auto"/>
                                                    <w:bottom w:val="none" w:sz="0" w:space="0" w:color="auto"/>
                                                    <w:right w:val="none" w:sz="0" w:space="0" w:color="auto"/>
                                                  </w:divBdr>
                                                  <w:divsChild>
                                                    <w:div w:id="1936785861">
                                                      <w:marLeft w:val="0"/>
                                                      <w:marRight w:val="0"/>
                                                      <w:marTop w:val="0"/>
                                                      <w:marBottom w:val="0"/>
                                                      <w:divBdr>
                                                        <w:top w:val="none" w:sz="0" w:space="0" w:color="auto"/>
                                                        <w:left w:val="none" w:sz="0" w:space="0" w:color="auto"/>
                                                        <w:bottom w:val="none" w:sz="0" w:space="0" w:color="auto"/>
                                                        <w:right w:val="none" w:sz="0" w:space="0" w:color="auto"/>
                                                      </w:divBdr>
                                                      <w:divsChild>
                                                        <w:div w:id="88741736">
                                                          <w:marLeft w:val="0"/>
                                                          <w:marRight w:val="0"/>
                                                          <w:marTop w:val="0"/>
                                                          <w:marBottom w:val="0"/>
                                                          <w:divBdr>
                                                            <w:top w:val="none" w:sz="0" w:space="0" w:color="auto"/>
                                                            <w:left w:val="none" w:sz="0" w:space="0" w:color="auto"/>
                                                            <w:bottom w:val="none" w:sz="0" w:space="0" w:color="auto"/>
                                                            <w:right w:val="none" w:sz="0" w:space="0" w:color="auto"/>
                                                          </w:divBdr>
                                                          <w:divsChild>
                                                            <w:div w:id="618755207">
                                                              <w:marLeft w:val="0"/>
                                                              <w:marRight w:val="0"/>
                                                              <w:marTop w:val="219"/>
                                                              <w:marBottom w:val="0"/>
                                                              <w:divBdr>
                                                                <w:top w:val="none" w:sz="0" w:space="0" w:color="auto"/>
                                                                <w:left w:val="none" w:sz="0" w:space="0" w:color="auto"/>
                                                                <w:bottom w:val="none" w:sz="0" w:space="0" w:color="auto"/>
                                                                <w:right w:val="none" w:sz="0" w:space="0" w:color="auto"/>
                                                              </w:divBdr>
                                                              <w:divsChild>
                                                                <w:div w:id="1630894880">
                                                                  <w:marLeft w:val="0"/>
                                                                  <w:marRight w:val="0"/>
                                                                  <w:marTop w:val="260"/>
                                                                  <w:marBottom w:val="240"/>
                                                                  <w:divBdr>
                                                                    <w:top w:val="none" w:sz="0" w:space="0" w:color="auto"/>
                                                                    <w:left w:val="none" w:sz="0" w:space="0" w:color="auto"/>
                                                                    <w:bottom w:val="none" w:sz="0" w:space="0" w:color="auto"/>
                                                                    <w:right w:val="none" w:sz="0" w:space="0" w:color="auto"/>
                                                                  </w:divBdr>
                                                                </w:div>
                                                                <w:div w:id="456680015">
                                                                  <w:marLeft w:val="0"/>
                                                                  <w:marRight w:val="0"/>
                                                                  <w:marTop w:val="260"/>
                                                                  <w:marBottom w:val="24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FDCCE37-9C4C-496F-B6AD-1A4939B9E53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Pages>
  <Words>3276</Words>
  <Characters>18021</Characters>
  <Application>Microsoft Office Word</Application>
  <DocSecurity>0</DocSecurity>
  <Lines>150</Lines>
  <Paragraphs>42</Paragraphs>
  <ScaleCrop>false</ScaleCrop>
  <Company/>
  <LinksUpToDate>false</LinksUpToDate>
  <CharactersWithSpaces>21255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2019-05-16T13:08:00Z</dcterms:created>
  <dcterms:modified xsi:type="dcterms:W3CDTF">2019-12-03T00:39:00Z</dcterms:modified>
</cp:coreProperties>
</file>