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5E1756" w:rsidRDefault="005E1756" w:rsidP="005E1756">
            <w:pPr>
              <w:pStyle w:val="zSoquijdatRepertorie"/>
              <w:rPr>
                <w:rFonts w:cs="Arial"/>
              </w:rPr>
            </w:pPr>
            <w:bookmarkStart w:id="0" w:name="_GoBack"/>
            <w:bookmarkEnd w:id="0"/>
            <w:r>
              <w:rPr>
                <w:rFonts w:cs="Arial"/>
              </w:rPr>
              <w:t>Instech Télécommunication inc. et El Moustaquib</w:t>
            </w:r>
          </w:p>
        </w:tc>
        <w:tc>
          <w:tcPr>
            <w:tcW w:w="2477" w:type="dxa"/>
          </w:tcPr>
          <w:p w:rsidR="008A7FD1" w:rsidRPr="00A869D3" w:rsidRDefault="00A869D3" w:rsidP="00A869D3">
            <w:pPr>
              <w:pStyle w:val="zSoquijdatRefNeutre"/>
              <w:rPr>
                <w:rFonts w:cs="Arial"/>
              </w:rPr>
            </w:pPr>
            <w:r w:rsidRPr="00A869D3">
              <w:rPr>
                <w:rFonts w:cs="Arial"/>
              </w:rPr>
              <w:t>2019 QCTAT 2067</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Tr="002A374B">
        <w:trPr>
          <w:cantSplit/>
        </w:trPr>
        <w:tc>
          <w:tcPr>
            <w:tcW w:w="9568" w:type="dxa"/>
            <w:gridSpan w:val="4"/>
          </w:tcPr>
          <w:p w:rsidR="00C74B6F" w:rsidRPr="00BE1981" w:rsidRDefault="00C74B6F">
            <w:pPr>
              <w:rPr>
                <w:szCs w:val="24"/>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9A67E7">
            <w:pPr>
              <w:pStyle w:val="zSoquijdatDivision"/>
            </w:pPr>
            <w:r w:rsidRPr="00BE7014">
              <w:t>(</w:t>
            </w:r>
            <w:r w:rsidR="00AD5EEB" w:rsidRPr="00441ADA">
              <w:t>Division de la santé et de la sécurité du travail</w:t>
            </w:r>
            <w:r w:rsidRPr="00BE7014">
              <w:t>)</w:t>
            </w:r>
          </w:p>
        </w:tc>
      </w:tr>
      <w:tr w:rsidR="00C74B6F" w:rsidTr="002A374B">
        <w:trPr>
          <w:cantSplit/>
        </w:trPr>
        <w:tc>
          <w:tcPr>
            <w:tcW w:w="9568" w:type="dxa"/>
            <w:gridSpan w:val="4"/>
          </w:tcPr>
          <w:p w:rsidR="002B2FC3" w:rsidRDefault="002B2FC3" w:rsidP="002B2FC3"/>
        </w:tc>
      </w:tr>
      <w:tr w:rsidR="00A84FC6" w:rsidTr="002A374B">
        <w:trPr>
          <w:cantSplit/>
        </w:trPr>
        <w:tc>
          <w:tcPr>
            <w:tcW w:w="9568" w:type="dxa"/>
            <w:gridSpan w:val="4"/>
          </w:tcPr>
          <w:p w:rsidR="00A84FC6" w:rsidRDefault="00A84FC6" w:rsidP="002B2FC3"/>
        </w:tc>
      </w:tr>
      <w:tr w:rsidR="00C74B6F" w:rsidTr="005E654C">
        <w:tc>
          <w:tcPr>
            <w:tcW w:w="3614" w:type="dxa"/>
          </w:tcPr>
          <w:p w:rsidR="00C74B6F" w:rsidRDefault="0084255F">
            <w:bookmarkStart w:id="1" w:name="region" w:colFirst="1" w:colLast="1"/>
            <w:r>
              <w:t>Région :</w:t>
            </w:r>
          </w:p>
        </w:tc>
        <w:tc>
          <w:tcPr>
            <w:tcW w:w="5954" w:type="dxa"/>
            <w:gridSpan w:val="3"/>
          </w:tcPr>
          <w:p w:rsidR="00C74B6F" w:rsidRDefault="00AD5EEB" w:rsidP="00F4095A">
            <w:pPr>
              <w:pStyle w:val="zSoquijdatGreffe"/>
            </w:pPr>
            <w:r>
              <w:t>Laval</w:t>
            </w:r>
          </w:p>
        </w:tc>
      </w:tr>
      <w:bookmarkEnd w:id="1"/>
      <w:tr w:rsidR="00C74B6F" w:rsidTr="002A374B">
        <w:trPr>
          <w:cantSplit/>
        </w:trPr>
        <w:tc>
          <w:tcPr>
            <w:tcW w:w="9568" w:type="dxa"/>
            <w:gridSpan w:val="4"/>
          </w:tcPr>
          <w:p w:rsidR="00C74B6F" w:rsidRDefault="00C74B6F"/>
        </w:tc>
      </w:tr>
      <w:tr w:rsidR="00C74B6F" w:rsidTr="005E654C">
        <w:tc>
          <w:tcPr>
            <w:tcW w:w="3614" w:type="dxa"/>
          </w:tcPr>
          <w:p w:rsidR="00C74B6F" w:rsidRDefault="0084255F">
            <w:bookmarkStart w:id="2" w:name="ref_dossier" w:colFirst="1" w:colLast="1"/>
            <w:r>
              <w:t>Dossier</w:t>
            </w:r>
            <w:bookmarkStart w:id="3" w:name="dossiers"/>
            <w:bookmarkEnd w:id="3"/>
            <w:r>
              <w:t> :</w:t>
            </w:r>
          </w:p>
        </w:tc>
        <w:tc>
          <w:tcPr>
            <w:tcW w:w="5954" w:type="dxa"/>
            <w:gridSpan w:val="3"/>
          </w:tcPr>
          <w:p w:rsidR="00C74B6F" w:rsidRDefault="00AD5EEB" w:rsidP="00F4095A">
            <w:pPr>
              <w:pStyle w:val="zSoquijdatNoDossier"/>
            </w:pPr>
            <w:r>
              <w:t>650095-61-1710</w:t>
            </w:r>
          </w:p>
        </w:tc>
      </w:tr>
      <w:bookmarkEnd w:id="2"/>
      <w:tr w:rsidR="00C74B6F" w:rsidTr="002A374B">
        <w:trPr>
          <w:cantSplit/>
        </w:trPr>
        <w:tc>
          <w:tcPr>
            <w:tcW w:w="9568" w:type="dxa"/>
            <w:gridSpan w:val="4"/>
          </w:tcPr>
          <w:p w:rsidR="00C74B6F" w:rsidRDefault="00D44BCF">
            <w:r>
              <w:fldChar w:fldCharType="begin"/>
            </w:r>
            <w:r>
              <w:instrText xml:space="preserve"> AUTOTEXTLIST  \* Upper  \* MERGEFORMAT </w:instrText>
            </w:r>
            <w:r>
              <w:fldChar w:fldCharType="end"/>
            </w:r>
          </w:p>
        </w:tc>
      </w:tr>
      <w:tr w:rsidR="00C74B6F" w:rsidTr="005E654C">
        <w:tc>
          <w:tcPr>
            <w:tcW w:w="3614" w:type="dxa"/>
          </w:tcPr>
          <w:p w:rsidR="00C74B6F" w:rsidRDefault="008C79A7" w:rsidP="0045114F">
            <w:pPr>
              <w:ind w:right="46"/>
            </w:pPr>
            <w:r>
              <w:t xml:space="preserve">Dossier </w:t>
            </w:r>
            <w:r w:rsidR="00AD5EEB" w:rsidRPr="00AD5EEB">
              <w:rPr>
                <w:szCs w:val="24"/>
              </w:rPr>
              <w:t>CNESST</w:t>
            </w:r>
            <w:r w:rsidRPr="008C79A7">
              <w:rPr>
                <w:szCs w:val="24"/>
              </w:rPr>
              <w:t xml:space="preserve"> :</w:t>
            </w:r>
          </w:p>
        </w:tc>
        <w:tc>
          <w:tcPr>
            <w:tcW w:w="5954" w:type="dxa"/>
            <w:gridSpan w:val="3"/>
          </w:tcPr>
          <w:p w:rsidR="00C74B6F" w:rsidRDefault="00AD5EEB" w:rsidP="004D6CEA">
            <w:pPr>
              <w:pStyle w:val="zSoquijdatNCSST"/>
            </w:pPr>
            <w:r>
              <w:t>503610032</w:t>
            </w:r>
          </w:p>
        </w:tc>
      </w:tr>
      <w:tr w:rsidR="00C74B6F" w:rsidTr="002A374B">
        <w:trPr>
          <w:cantSplit/>
        </w:trPr>
        <w:tc>
          <w:tcPr>
            <w:tcW w:w="9568" w:type="dxa"/>
            <w:gridSpan w:val="4"/>
          </w:tcPr>
          <w:p w:rsidR="00C74B6F" w:rsidRDefault="00C74B6F"/>
        </w:tc>
      </w:tr>
      <w:tr w:rsidR="00C74B6F" w:rsidTr="002A374B">
        <w:trPr>
          <w:cantSplit/>
        </w:trPr>
        <w:tc>
          <w:tcPr>
            <w:tcW w:w="9568" w:type="dxa"/>
            <w:gridSpan w:val="4"/>
          </w:tcPr>
          <w:p w:rsidR="00C74B6F" w:rsidRDefault="00C74B6F"/>
        </w:tc>
      </w:tr>
      <w:tr w:rsidR="006E3DD8" w:rsidTr="005E654C">
        <w:trPr>
          <w:cantSplit/>
        </w:trPr>
        <w:tc>
          <w:tcPr>
            <w:tcW w:w="3614" w:type="dxa"/>
          </w:tcPr>
          <w:p w:rsidR="006E3DD8" w:rsidRDefault="00AD5EEB" w:rsidP="006E3DD8">
            <w:pPr>
              <w:tabs>
                <w:tab w:val="left" w:pos="2672"/>
              </w:tabs>
            </w:pPr>
            <w:r>
              <w:t>Laval</w:t>
            </w:r>
            <w:r w:rsidR="00C04E32">
              <w:t>,</w:t>
            </w:r>
          </w:p>
        </w:tc>
        <w:tc>
          <w:tcPr>
            <w:tcW w:w="5954" w:type="dxa"/>
            <w:gridSpan w:val="3"/>
          </w:tcPr>
          <w:p w:rsidR="006E3DD8" w:rsidRDefault="00C04E32" w:rsidP="00B6297D">
            <w:pPr>
              <w:pStyle w:val="zSoquijdatDateJugement"/>
            </w:pPr>
            <w:r>
              <w:t xml:space="preserve">le </w:t>
            </w:r>
            <w:r w:rsidR="00B6297D">
              <w:t>30 avril 2019</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AD5EEB">
            <w:pPr>
              <w:rPr>
                <w:b/>
                <w:bCs/>
              </w:rPr>
            </w:pPr>
            <w:bookmarkStart w:id="4" w:name="ref_commissaire" w:colFirst="1" w:colLast="1"/>
            <w:r w:rsidRPr="00942AB8">
              <w:rPr>
                <w:b/>
                <w:bCs/>
              </w:rPr>
              <w:t>DEVANT L</w:t>
            </w:r>
            <w:r w:rsidR="00AD5EEB">
              <w:rPr>
                <w:b/>
                <w:bCs/>
              </w:rPr>
              <w:t>E</w:t>
            </w:r>
            <w:r w:rsidRPr="00942AB8">
              <w:rPr>
                <w:b/>
                <w:bCs/>
              </w:rPr>
              <w:t xml:space="preserve"> JUGE ADMINISTRATI</w:t>
            </w:r>
            <w:r w:rsidR="00AD5EEB">
              <w:rPr>
                <w:b/>
                <w:bCs/>
              </w:rPr>
              <w:t>F</w:t>
            </w:r>
            <w:r w:rsidRPr="00942AB8">
              <w:rPr>
                <w:b/>
                <w:bCs/>
              </w:rPr>
              <w:t> :</w:t>
            </w:r>
          </w:p>
        </w:tc>
        <w:tc>
          <w:tcPr>
            <w:tcW w:w="4111" w:type="dxa"/>
          </w:tcPr>
          <w:p w:rsidR="0035375B" w:rsidRPr="00942AB8" w:rsidRDefault="00AD5EEB" w:rsidP="005B5689">
            <w:pPr>
              <w:pStyle w:val="zSoquijdatJuge"/>
              <w:rPr>
                <w:bCs/>
              </w:rPr>
            </w:pPr>
            <w:r>
              <w:t xml:space="preserve">Philippe Bouvier </w:t>
            </w:r>
          </w:p>
        </w:tc>
      </w:tr>
      <w:bookmarkEnd w:id="4"/>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Tr="002A374B">
        <w:tc>
          <w:tcPr>
            <w:tcW w:w="9568" w:type="dxa"/>
            <w:gridSpan w:val="4"/>
          </w:tcPr>
          <w:p w:rsidR="00942AB8" w:rsidRDefault="00942AB8"/>
        </w:tc>
      </w:tr>
      <w:tr w:rsidR="00942AB8" w:rsidTr="00D40ABA">
        <w:tc>
          <w:tcPr>
            <w:tcW w:w="4748" w:type="dxa"/>
            <w:gridSpan w:val="2"/>
          </w:tcPr>
          <w:p w:rsidR="00942AB8" w:rsidRDefault="00942AB8">
            <w:bookmarkStart w:id="5" w:name="bloc_parties_gauche"/>
            <w:bookmarkEnd w:id="5"/>
          </w:p>
        </w:tc>
        <w:tc>
          <w:tcPr>
            <w:tcW w:w="4820" w:type="dxa"/>
            <w:gridSpan w:val="2"/>
          </w:tcPr>
          <w:p w:rsidR="00942AB8" w:rsidRDefault="00942AB8"/>
        </w:tc>
      </w:tr>
      <w:tr w:rsidR="00942AB8" w:rsidTr="00D40ABA">
        <w:tc>
          <w:tcPr>
            <w:tcW w:w="4748" w:type="dxa"/>
            <w:gridSpan w:val="2"/>
          </w:tcPr>
          <w:p w:rsidR="00942AB8" w:rsidRDefault="00AD5EEB" w:rsidP="00B6297D">
            <w:pPr>
              <w:pStyle w:val="zSoquijdatNomPartieDem"/>
              <w:rPr>
                <w:b/>
              </w:rPr>
            </w:pPr>
            <w:r>
              <w:rPr>
                <w:b/>
              </w:rPr>
              <w:t>Instech Télécommunication inc.</w:t>
            </w:r>
          </w:p>
        </w:tc>
        <w:tc>
          <w:tcPr>
            <w:tcW w:w="4820" w:type="dxa"/>
            <w:gridSpan w:val="2"/>
          </w:tcPr>
          <w:p w:rsidR="00942AB8" w:rsidRDefault="00942AB8"/>
        </w:tc>
      </w:tr>
      <w:tr w:rsidR="00942AB8" w:rsidTr="00D40ABA">
        <w:tc>
          <w:tcPr>
            <w:tcW w:w="4748" w:type="dxa"/>
            <w:gridSpan w:val="2"/>
          </w:tcPr>
          <w:p w:rsidR="00942AB8" w:rsidRDefault="00B6297D">
            <w:pPr>
              <w:pStyle w:val="zSoquijdatQtePartieDem"/>
              <w:ind w:left="708"/>
            </w:pPr>
            <w:r>
              <w:t>Partie demanderesse</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AD5EEB" w:rsidP="00D06652">
            <w:pPr>
              <w:pStyle w:val="zSoquijlblLienParties"/>
            </w:pPr>
            <w:r>
              <w:t>et</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AD5EEB">
            <w:pPr>
              <w:pStyle w:val="zSoquijdatNomPartieDef"/>
              <w:rPr>
                <w:b/>
              </w:rPr>
            </w:pPr>
            <w:r>
              <w:rPr>
                <w:b/>
              </w:rPr>
              <w:t>Ech Cherki El Moustaquib</w:t>
            </w:r>
          </w:p>
        </w:tc>
        <w:tc>
          <w:tcPr>
            <w:tcW w:w="4820" w:type="dxa"/>
            <w:gridSpan w:val="2"/>
          </w:tcPr>
          <w:p w:rsidR="00942AB8" w:rsidRDefault="00942AB8"/>
        </w:tc>
      </w:tr>
      <w:tr w:rsidR="00942AB8" w:rsidTr="00D40ABA">
        <w:tc>
          <w:tcPr>
            <w:tcW w:w="4748" w:type="dxa"/>
            <w:gridSpan w:val="2"/>
          </w:tcPr>
          <w:p w:rsidR="00942AB8" w:rsidRDefault="00B6297D">
            <w:pPr>
              <w:pStyle w:val="zSoquijdatQtePartieDef"/>
              <w:ind w:left="708"/>
            </w:pPr>
            <w:r>
              <w:t>Partie mise en cause</w:t>
            </w:r>
          </w:p>
        </w:tc>
        <w:tc>
          <w:tcPr>
            <w:tcW w:w="4820" w:type="dxa"/>
            <w:gridSpan w:val="2"/>
          </w:tcPr>
          <w:p w:rsidR="00942AB8" w:rsidRDefault="00942AB8"/>
        </w:tc>
      </w:tr>
      <w:tr w:rsidR="0065093D" w:rsidTr="00D40ABA">
        <w:tc>
          <w:tcPr>
            <w:tcW w:w="4748" w:type="dxa"/>
            <w:gridSpan w:val="2"/>
          </w:tcPr>
          <w:p w:rsidR="0065093D" w:rsidRDefault="0065093D"/>
        </w:tc>
        <w:tc>
          <w:tcPr>
            <w:tcW w:w="4820" w:type="dxa"/>
            <w:gridSpan w:val="2"/>
          </w:tcPr>
          <w:p w:rsidR="0065093D" w:rsidRDefault="0065093D"/>
        </w:tc>
      </w:tr>
      <w:tr w:rsidR="00942AB8" w:rsidTr="00D40ABA">
        <w:tc>
          <w:tcPr>
            <w:tcW w:w="4748" w:type="dxa"/>
            <w:gridSpan w:val="2"/>
          </w:tcPr>
          <w:p w:rsidR="00942AB8" w:rsidRDefault="00942AB8"/>
        </w:tc>
        <w:tc>
          <w:tcPr>
            <w:tcW w:w="4820" w:type="dxa"/>
            <w:gridSpan w:val="2"/>
          </w:tcPr>
          <w:p w:rsidR="00942AB8" w:rsidRDefault="00942AB8"/>
        </w:tc>
      </w:tr>
    </w:tbl>
    <w:p w:rsidR="00C74B6F" w:rsidRDefault="00C74B6F">
      <w:r>
        <w:t>______________________________________________________________________</w:t>
      </w:r>
    </w:p>
    <w:p w:rsidR="00C74B6F" w:rsidRDefault="00C74B6F"/>
    <w:p w:rsidR="00C74B6F" w:rsidRPr="005B0612" w:rsidRDefault="00C74B6F" w:rsidP="008B042E">
      <w:pPr>
        <w:jc w:val="center"/>
        <w:rPr>
          <w:b/>
          <w:bCs/>
        </w:rPr>
      </w:pPr>
      <w:bookmarkStart w:id="6" w:name="decision"/>
      <w:r w:rsidRPr="005B0612">
        <w:rPr>
          <w:b/>
          <w:bCs/>
        </w:rPr>
        <w:t>DÉCISION</w:t>
      </w:r>
      <w:bookmarkEnd w:id="6"/>
    </w:p>
    <w:p w:rsidR="00C74B6F" w:rsidRDefault="00C74B6F">
      <w:pPr>
        <w:jc w:val="center"/>
      </w:pPr>
      <w:r>
        <w:t>______________________________________________________________________</w:t>
      </w:r>
    </w:p>
    <w:p w:rsidR="00C74B6F" w:rsidRDefault="00C74B6F"/>
    <w:p w:rsidR="00C74B6F" w:rsidRDefault="00AD5EEB">
      <w:r>
        <w:rPr>
          <w:b/>
        </w:rPr>
        <w:t>APERÇU</w:t>
      </w:r>
    </w:p>
    <w:p w:rsidR="00AD5EEB" w:rsidRPr="00AD5EEB" w:rsidRDefault="00AD5EEB"/>
    <w:p w:rsidR="00C74B6F" w:rsidRDefault="00AD5EEB">
      <w:pPr>
        <w:pStyle w:val="corpsdedcision"/>
      </w:pPr>
      <w:r>
        <w:t xml:space="preserve">Monsieur Ech Cherki El Moustaquib occupe un poste de technicien en télécommunication pour Instech Télécommunication inc. </w:t>
      </w:r>
      <w:r w:rsidR="005E2FBA">
        <w:t>La Commission des normes, de l’équité, de la santé et de la sécurité du travail reconnaît qu’il a subi une lésion professionnelle.</w:t>
      </w:r>
    </w:p>
    <w:p w:rsidR="005E2FBA" w:rsidRDefault="005E2FBA">
      <w:pPr>
        <w:pStyle w:val="corpsdedcision"/>
      </w:pPr>
      <w:r>
        <w:t>Dans le cadre de sa contestation, l’employeur soulève un moyen préliminaire selon lequel le travailleur et lui ont conclu un accord dont la conclusion serait que le travailleur n’a pas subi de lésion professionnelle.</w:t>
      </w:r>
    </w:p>
    <w:p w:rsidR="005E2FBA" w:rsidRDefault="0032795D" w:rsidP="0019506E">
      <w:pPr>
        <w:pStyle w:val="corpsdedcision"/>
      </w:pPr>
      <w:r>
        <w:t xml:space="preserve">L’employeur prétend qu’il </w:t>
      </w:r>
      <w:r w:rsidR="009B0300">
        <w:t xml:space="preserve">y </w:t>
      </w:r>
      <w:r>
        <w:t xml:space="preserve">a eu accord entre lui et le travailleur et que celui-ci ne pouvait pas changer d’idée. Selon l’employeur, l’accord n’était pas conditionnel à la signature du travailleur. De son côté, ce dernier prétend que l’accord nécessite sa signature et qu’il ne peut y avoir d’entente entre les parties s’il ne signe pas l’accord que </w:t>
      </w:r>
      <w:r w:rsidR="0086588B">
        <w:t>lui a transmis le conciliateur.</w:t>
      </w:r>
    </w:p>
    <w:p w:rsidR="0086588B" w:rsidRDefault="0086588B" w:rsidP="0019506E">
      <w:pPr>
        <w:pStyle w:val="corpsdedcision"/>
      </w:pPr>
      <w:r>
        <w:t>Le Tribunal considère qu’il n’y a pas d’accord intervenu entre les parties parce que le consentement donné par le travailleur a été vicié par les informations incomplètes données par le responsable de la santé et sécurité chez l’employeur.</w:t>
      </w:r>
    </w:p>
    <w:p w:rsidR="0032795D" w:rsidRDefault="0032795D" w:rsidP="0032795D">
      <w:pPr>
        <w:pStyle w:val="corpsdedcision"/>
        <w:numPr>
          <w:ilvl w:val="0"/>
          <w:numId w:val="0"/>
        </w:numPr>
        <w:rPr>
          <w:b/>
        </w:rPr>
      </w:pPr>
      <w:r>
        <w:rPr>
          <w:b/>
        </w:rPr>
        <w:t>ANALYSE</w:t>
      </w:r>
    </w:p>
    <w:p w:rsidR="00CC739B" w:rsidRDefault="00CC739B" w:rsidP="00CC739B">
      <w:pPr>
        <w:pStyle w:val="corpsdedcision"/>
      </w:pPr>
      <w:r>
        <w:t>Le Tribunal doit déterminer s’il y a eu un accord intervenu entre l’employeur et le travailleur faisant en sorte que la contestation de l’employeur deviendrait sans objet.</w:t>
      </w:r>
    </w:p>
    <w:p w:rsidR="00CC739B" w:rsidRDefault="00CC739B" w:rsidP="00CC739B">
      <w:pPr>
        <w:pStyle w:val="corpsdedcision"/>
        <w:spacing w:after="480"/>
      </w:pPr>
      <w:r>
        <w:t xml:space="preserve">L’article 9 de la </w:t>
      </w:r>
      <w:r>
        <w:rPr>
          <w:i/>
        </w:rPr>
        <w:t>Loi instituant le Tribunal administratif du travail</w:t>
      </w:r>
      <w:r w:rsidRPr="00870BD0">
        <w:rPr>
          <w:rStyle w:val="Appelnotedebasdep"/>
        </w:rPr>
        <w:footnoteReference w:id="1"/>
      </w:r>
      <w:r>
        <w:rPr>
          <w:i/>
        </w:rPr>
        <w:t xml:space="preserve"> </w:t>
      </w:r>
      <w:r>
        <w:t>(la LITAT) confère de larges pouvoirs au Tribunal, dont ceux de décider de toute question de droit ou de fait nécessaire à l’exercice de sa compétence. Investi de ces pouvoirs, le Tribunal peut donc disposer de toute question incidente ou préliminaire au fond du litige, dont celle fondée sur l’existence d’un règlement entre les parties.</w:t>
      </w:r>
    </w:p>
    <w:p w:rsidR="00CC739B" w:rsidRDefault="00CC739B" w:rsidP="00CC739B">
      <w:pPr>
        <w:pStyle w:val="corpsdedcision"/>
        <w:spacing w:after="480"/>
      </w:pPr>
      <w:r>
        <w:t xml:space="preserve">Dans l’affaire </w:t>
      </w:r>
      <w:r>
        <w:rPr>
          <w:i/>
        </w:rPr>
        <w:t xml:space="preserve">Carbone d’Amérique LCL inc. </w:t>
      </w:r>
      <w:r w:rsidRPr="00D9113B">
        <w:t>et</w:t>
      </w:r>
      <w:r>
        <w:rPr>
          <w:i/>
        </w:rPr>
        <w:t xml:space="preserve"> Vincent</w:t>
      </w:r>
      <w:r w:rsidRPr="00F43DB8">
        <w:rPr>
          <w:rStyle w:val="Appelnotedebasdep"/>
        </w:rPr>
        <w:footnoteReference w:id="2"/>
      </w:r>
      <w:r w:rsidRPr="00F43DB8">
        <w:t>,</w:t>
      </w:r>
      <w:r>
        <w:rPr>
          <w:i/>
        </w:rPr>
        <w:t xml:space="preserve"> </w:t>
      </w:r>
      <w:r>
        <w:t xml:space="preserve">la Commission des lésions professionnelles écrit à cet égard, interprétant l’article 377 de la </w:t>
      </w:r>
      <w:r>
        <w:rPr>
          <w:i/>
        </w:rPr>
        <w:t>Loi sur les accidents du travail et les maladies professionnelles</w:t>
      </w:r>
      <w:r w:rsidRPr="008366E2">
        <w:rPr>
          <w:rStyle w:val="Appelnotedebasdep"/>
        </w:rPr>
        <w:footnoteReference w:id="3"/>
      </w:r>
      <w:r>
        <w:rPr>
          <w:i/>
        </w:rPr>
        <w:t xml:space="preserve"> </w:t>
      </w:r>
      <w:r>
        <w:t>(la Loi) qui a été remplacé par l’article 9 de la LITAT :</w:t>
      </w:r>
    </w:p>
    <w:p w:rsidR="00CC739B" w:rsidRDefault="00CC739B" w:rsidP="00CC739B">
      <w:pPr>
        <w:pStyle w:val="citation"/>
      </w:pPr>
      <w:r>
        <w:t>[72]</w:t>
      </w:r>
      <w:r>
        <w:tab/>
        <w:t xml:space="preserve">L'article 377 de la loi établit la compétence de la Commission des lésions professionnelles à décider de toute question de droit ou de fait nécessaire à l'exercice de sa compétence. Cette disposition permet à </w:t>
      </w:r>
      <w:smartTag w:uri="urn:schemas-microsoft-com:office:smarttags" w:element="PersonName">
        <w:smartTagPr>
          <w:attr w:name="ProductID" w:val="la Commission"/>
        </w:smartTagPr>
        <w:r>
          <w:t>la Commission</w:t>
        </w:r>
      </w:smartTag>
      <w:r>
        <w:t xml:space="preserve"> des lésions professionnelles de disposer de toute question incidente au fond d'un litige qui règle le sort de la contestation, dont un moyen d'irrecevabilité fondé sur l'existence d'une transaction ou la validité d'un désistement. La Commission des lésions professionnelles a conclut en ce sens à de nombreuses reprises</w:t>
      </w:r>
      <w:r>
        <w:rPr>
          <w:vertAlign w:val="superscript"/>
        </w:rPr>
        <w:t>2</w:t>
      </w:r>
      <w:r>
        <w:t>.</w:t>
      </w:r>
    </w:p>
    <w:p w:rsidR="00CC739B" w:rsidRDefault="00CC739B" w:rsidP="00CC739B">
      <w:pPr>
        <w:pStyle w:val="citation"/>
      </w:pPr>
    </w:p>
    <w:p w:rsidR="00CC739B" w:rsidRDefault="00CC739B" w:rsidP="00B6297D">
      <w:pPr>
        <w:pStyle w:val="citation"/>
      </w:pPr>
      <w:r>
        <w:t>[73]</w:t>
      </w:r>
      <w:r>
        <w:tab/>
        <w:t>Les tribunaux judiciaires ont également clairement déterminé qu'un tribunal administratif dispose d'une compétence pour décider de toute question qui règle le sort de la contestation</w:t>
      </w:r>
      <w:r>
        <w:rPr>
          <w:vertAlign w:val="superscript"/>
        </w:rPr>
        <w:t>3</w:t>
      </w:r>
      <w:r>
        <w:t>, dont l'existence d'une transaction.</w:t>
      </w:r>
    </w:p>
    <w:p w:rsidR="00CC739B" w:rsidRPr="00870BD0" w:rsidRDefault="00CC739B" w:rsidP="00CC739B">
      <w:pPr>
        <w:pStyle w:val="citation"/>
        <w:spacing w:after="360"/>
        <w:rPr>
          <w:sz w:val="24"/>
          <w:szCs w:val="24"/>
        </w:rPr>
      </w:pPr>
      <w:r>
        <w:rPr>
          <w:sz w:val="24"/>
          <w:szCs w:val="24"/>
        </w:rPr>
        <w:t>[Transcription textuelle, n</w:t>
      </w:r>
      <w:r w:rsidRPr="00870BD0">
        <w:rPr>
          <w:sz w:val="24"/>
          <w:szCs w:val="24"/>
        </w:rPr>
        <w:t>ote omise]</w:t>
      </w:r>
    </w:p>
    <w:p w:rsidR="00CC739B" w:rsidRDefault="00CC739B" w:rsidP="00462497">
      <w:pPr>
        <w:pStyle w:val="corpsdedcision"/>
      </w:pPr>
      <w:r>
        <w:t>Bien que la notion d’accord ne soit pas définie dans la loi, celle-ci prévoit un cadre à l’intérieur duquel les parties peuvent en arriver à un règlement qui sera év</w:t>
      </w:r>
      <w:r w:rsidR="00462497">
        <w:t xml:space="preserve">entuellement entériné par le Tribunal administratif du </w:t>
      </w:r>
      <w:r w:rsidR="00B6297D">
        <w:t>t</w:t>
      </w:r>
      <w:r w:rsidR="00462497">
        <w:t>ravail</w:t>
      </w:r>
      <w:r>
        <w:t xml:space="preserve">. Ce cadre repose </w:t>
      </w:r>
      <w:r w:rsidR="00462497">
        <w:t xml:space="preserve">sur les articles 21 à 25 de la LITAT. </w:t>
      </w:r>
    </w:p>
    <w:p w:rsidR="00CC739B" w:rsidRDefault="00CC739B" w:rsidP="00CC739B">
      <w:pPr>
        <w:pStyle w:val="corpsdedcision"/>
      </w:pPr>
      <w:r>
        <w:t xml:space="preserve">L’accord prévu à la </w:t>
      </w:r>
      <w:r w:rsidR="00B6297D">
        <w:t>L</w:t>
      </w:r>
      <w:r>
        <w:t>oi repose sur l’existence d’une contestation va</w:t>
      </w:r>
      <w:r w:rsidR="00462497">
        <w:t>lablement formée au Tribunal administratif du travail</w:t>
      </w:r>
      <w:r>
        <w:t xml:space="preserve"> en ver</w:t>
      </w:r>
      <w:r w:rsidR="00462497">
        <w:t>tu de l’article 359 de la L</w:t>
      </w:r>
      <w:r>
        <w:t xml:space="preserve">oi. Il vise, tout comme la transaction prévue à l’article 2631 du </w:t>
      </w:r>
      <w:r w:rsidRPr="00B6297D">
        <w:rPr>
          <w:i/>
        </w:rPr>
        <w:t>Code civil du Québec</w:t>
      </w:r>
      <w:r w:rsidR="00B6297D" w:rsidRPr="00B6297D">
        <w:rPr>
          <w:rStyle w:val="Appelnotedebasdep"/>
        </w:rPr>
        <w:footnoteReference w:id="4"/>
      </w:r>
      <w:r>
        <w:t>, à mettre un terme à un litige. L’accord est donc un acte juridique qui dispose de droits qui sont nés et actuels.</w:t>
      </w:r>
    </w:p>
    <w:p w:rsidR="00CC739B" w:rsidRDefault="00462497" w:rsidP="00CC739B">
      <w:pPr>
        <w:pStyle w:val="corpsdedcision"/>
      </w:pPr>
      <w:r>
        <w:t>Les dispositions de la LITAT</w:t>
      </w:r>
      <w:r w:rsidR="00CC739B">
        <w:t xml:space="preserve"> consacrent également que l’accord doit être conforme à la </w:t>
      </w:r>
      <w:r w:rsidR="009B0300">
        <w:t>L</w:t>
      </w:r>
      <w:r w:rsidR="00CC739B">
        <w:t>oi pour qu’il produise des effets au même tit</w:t>
      </w:r>
      <w:r>
        <w:t>re qu’une décision du Tribunal</w:t>
      </w:r>
      <w:r w:rsidR="00CC739B">
        <w:t>. A</w:t>
      </w:r>
      <w:r>
        <w:t>insi, l’accord entériné par le T</w:t>
      </w:r>
      <w:r w:rsidR="00CC739B">
        <w:t>ribunal produit des effets à l’égard des parties et des tiers contrairement à la transaction qui ne lie que les parties.</w:t>
      </w:r>
    </w:p>
    <w:p w:rsidR="00CC739B" w:rsidRDefault="00CC739B" w:rsidP="00CC739B">
      <w:pPr>
        <w:pStyle w:val="corpsdedcision"/>
      </w:pPr>
      <w:r>
        <w:t xml:space="preserve">L’accord prévu à la </w:t>
      </w:r>
      <w:r w:rsidR="00B6297D">
        <w:t>L</w:t>
      </w:r>
      <w:r>
        <w:t xml:space="preserve">oi est en somme une entente propre au régime d’indemnisation des lésions professionnelles mais possédant les caractéristiques du contrat tel que défini par les articles suivants du </w:t>
      </w:r>
      <w:r w:rsidRPr="00B6297D">
        <w:rPr>
          <w:i/>
        </w:rPr>
        <w:t>Code civil du Québec</w:t>
      </w:r>
      <w:r>
        <w:t> :</w:t>
      </w:r>
    </w:p>
    <w:p w:rsidR="00CC739B" w:rsidRDefault="00CC739B" w:rsidP="00CC739B">
      <w:pPr>
        <w:pStyle w:val="citation"/>
      </w:pPr>
      <w:r>
        <w:t>1385. Le contrat se forme par le seul échange de consentement entre des personnes capables de contracter, à moins que la loi n'exige, en outre, le respect d'une forme particulière comme condition nécessaire à sa formation, ou que les parties n'assujettissent la formation du contrat à une forme solennelle.</w:t>
      </w:r>
    </w:p>
    <w:p w:rsidR="00CC739B" w:rsidRDefault="00CC739B" w:rsidP="00CC739B">
      <w:pPr>
        <w:pStyle w:val="citation"/>
      </w:pPr>
    </w:p>
    <w:p w:rsidR="00CC739B" w:rsidRDefault="00CC739B" w:rsidP="00CC739B">
      <w:pPr>
        <w:pStyle w:val="citation"/>
      </w:pPr>
      <w:r>
        <w:t>Il est aussi de son essence qu'il ait une cause et un objet.</w:t>
      </w:r>
    </w:p>
    <w:p w:rsidR="00CC739B" w:rsidRDefault="00CC739B" w:rsidP="00CC739B">
      <w:pPr>
        <w:pStyle w:val="citation"/>
      </w:pPr>
    </w:p>
    <w:p w:rsidR="00CC739B" w:rsidRDefault="00CC739B" w:rsidP="00CC739B">
      <w:pPr>
        <w:pStyle w:val="citation"/>
      </w:pPr>
    </w:p>
    <w:p w:rsidR="00CC739B" w:rsidRDefault="00CC739B" w:rsidP="00CC739B">
      <w:pPr>
        <w:pStyle w:val="citation"/>
      </w:pPr>
      <w:smartTag w:uri="urn:schemas-microsoft-com:office:smarttags" w:element="metricconverter">
        <w:smartTagPr>
          <w:attr w:name="ProductID" w:val="1386. L"/>
        </w:smartTagPr>
        <w:r>
          <w:t>1386. L</w:t>
        </w:r>
      </w:smartTag>
      <w:r>
        <w:t>'échange de consentement se réalise par la manifestation, expresse ou tacite, de la volonté d'une personne d'accepter l'offre de contracter que lui fait une autre personne.</w:t>
      </w:r>
    </w:p>
    <w:p w:rsidR="00CC739B" w:rsidRDefault="00CC739B" w:rsidP="00CC739B">
      <w:pPr>
        <w:pStyle w:val="citation"/>
      </w:pPr>
    </w:p>
    <w:p w:rsidR="00CC739B" w:rsidRDefault="00CC739B" w:rsidP="00CC739B">
      <w:pPr>
        <w:pStyle w:val="citation"/>
      </w:pPr>
    </w:p>
    <w:p w:rsidR="00CC739B" w:rsidRDefault="00CC739B" w:rsidP="00B6297D">
      <w:pPr>
        <w:pStyle w:val="citation"/>
      </w:pPr>
      <w:r>
        <w:t>1387. Le contrat est formé au moment où l'offrant reçoit l'acceptation et au lieu où cette acceptation est reçue, quel qu'ait été le moyen utilisé pour la communiquer et lors même que les parties ont convenu de réserver leur accord sur certains éléments secondaires.</w:t>
      </w:r>
    </w:p>
    <w:p w:rsidR="00CC739B" w:rsidRDefault="00CC739B" w:rsidP="00CC739B">
      <w:pPr>
        <w:pStyle w:val="citation"/>
      </w:pPr>
    </w:p>
    <w:p w:rsidR="00CC739B" w:rsidRDefault="00CC739B" w:rsidP="00CC739B">
      <w:pPr>
        <w:pStyle w:val="citation"/>
      </w:pPr>
    </w:p>
    <w:p w:rsidR="00CC739B" w:rsidRDefault="00CC739B" w:rsidP="00CC739B">
      <w:pPr>
        <w:pStyle w:val="corpsdedcision"/>
      </w:pPr>
      <w:r>
        <w:t xml:space="preserve">L’article 1400 du </w:t>
      </w:r>
      <w:r w:rsidRPr="00B6297D">
        <w:rPr>
          <w:i/>
        </w:rPr>
        <w:t>Code civil du Québec</w:t>
      </w:r>
      <w:r>
        <w:t xml:space="preserve"> consacre que dans le cadre de la formation du contrat, l’erreur sur l’un des éléments essentiels du contrat vicie le consentement d’une partie :</w:t>
      </w:r>
    </w:p>
    <w:p w:rsidR="00CC739B" w:rsidRDefault="00CC739B" w:rsidP="00CC739B">
      <w:pPr>
        <w:pStyle w:val="citation"/>
      </w:pPr>
      <w:smartTag w:uri="urn:schemas-microsoft-com:office:smarttags" w:element="metricconverter">
        <w:smartTagPr>
          <w:attr w:name="ProductID" w:val="1400. L"/>
        </w:smartTagPr>
        <w:r>
          <w:t>1400. L</w:t>
        </w:r>
      </w:smartTag>
      <w:r>
        <w:t>'erreur vicie le consentement des parties ou de l'une d'elles lorsqu'elle porte sur la nature du contrat, sur l'objet de la prestation ou, encore, sur tout élément essentiel qui a déterminé le consentement.</w:t>
      </w:r>
    </w:p>
    <w:p w:rsidR="00CC739B" w:rsidRDefault="00CC739B" w:rsidP="00CC739B">
      <w:pPr>
        <w:pStyle w:val="citation"/>
      </w:pPr>
    </w:p>
    <w:p w:rsidR="00CC739B" w:rsidRDefault="00CC739B" w:rsidP="00CC739B">
      <w:pPr>
        <w:pStyle w:val="citation"/>
      </w:pPr>
      <w:r>
        <w:t>L'erreur inexcusable ne constitue pas un vice de consentement.</w:t>
      </w:r>
    </w:p>
    <w:p w:rsidR="00CC739B" w:rsidRDefault="00CC739B" w:rsidP="00CC739B">
      <w:pPr>
        <w:pStyle w:val="citation"/>
      </w:pPr>
    </w:p>
    <w:p w:rsidR="00CC739B" w:rsidRDefault="00CC739B" w:rsidP="00CC739B">
      <w:pPr>
        <w:pStyle w:val="citation"/>
      </w:pPr>
    </w:p>
    <w:p w:rsidR="00CC739B" w:rsidRDefault="00462497" w:rsidP="00CC739B">
      <w:pPr>
        <w:pStyle w:val="corpsdedcision"/>
      </w:pPr>
      <w:r>
        <w:t>Dans le présent dossier, il n’y a pas eu d’accord intervenu entre l’employeur et le travailleur.</w:t>
      </w:r>
    </w:p>
    <w:p w:rsidR="00462497" w:rsidRDefault="00462497" w:rsidP="00CC739B">
      <w:pPr>
        <w:pStyle w:val="corpsdedcision"/>
      </w:pPr>
      <w:r>
        <w:t>La procureur</w:t>
      </w:r>
      <w:r w:rsidR="00670C18">
        <w:t>e</w:t>
      </w:r>
      <w:r>
        <w:t xml:space="preserve"> de l’employeur soutient qu’il </w:t>
      </w:r>
      <w:r w:rsidR="00B6297D">
        <w:t xml:space="preserve">y </w:t>
      </w:r>
      <w:r>
        <w:t xml:space="preserve">a eu rencontre des volontés entre l’employeur et le travailleur lorsque ce dernier rencontre monsieur Claude </w:t>
      </w:r>
      <w:r w:rsidR="00670C18">
        <w:t>Dufour, le responsable de la santé et sécurité pour l’employeur. De fait, monsieur Dufour explique au travailleur les possibilités et les modalités d’une entente. Il</w:t>
      </w:r>
      <w:r w:rsidR="00B6297D">
        <w:t>s</w:t>
      </w:r>
      <w:r w:rsidR="00C37443">
        <w:t xml:space="preserve"> s’entendent</w:t>
      </w:r>
      <w:r w:rsidR="00670C18">
        <w:t xml:space="preserve"> sur un accord dont les termes seraient les suivants : pas de lésion professionnelle, le versement d’un montant forfaitaire et remboursement par l’employeur de la période obligatoire.</w:t>
      </w:r>
    </w:p>
    <w:p w:rsidR="00670C18" w:rsidRDefault="00670C18" w:rsidP="00CC739B">
      <w:pPr>
        <w:pStyle w:val="corpsdedcision"/>
      </w:pPr>
      <w:r>
        <w:t>Le travailleur accepte cette entente. Par la suite, il rencontre un conciliateur qui retire le dossier du rôle d’audience et transmet les documents d’entente aux parties. Le travailleur refuse de signer ces documents.</w:t>
      </w:r>
    </w:p>
    <w:p w:rsidR="00670C18" w:rsidRDefault="00670C18" w:rsidP="00CC739B">
      <w:pPr>
        <w:pStyle w:val="corpsdedcision"/>
      </w:pPr>
      <w:r>
        <w:t>Certes, comme le souligne la procureure de l’employeur, le travailleur ne peut changer d’idée après avoir donné son approbation à l’accord. De plus, la signature n’est pas une condition essentielle à la conclusion d’</w:t>
      </w:r>
      <w:r w:rsidR="007378FA">
        <w:t>un accord</w:t>
      </w:r>
      <w:r w:rsidR="007378FA">
        <w:rPr>
          <w:rStyle w:val="Appelnotedebasdep"/>
        </w:rPr>
        <w:footnoteReference w:id="5"/>
      </w:r>
      <w:r w:rsidR="00B6297D">
        <w:t>.</w:t>
      </w:r>
      <w:r>
        <w:t xml:space="preserve"> </w:t>
      </w:r>
    </w:p>
    <w:p w:rsidR="00704EC6" w:rsidRDefault="00704EC6" w:rsidP="00CC739B">
      <w:pPr>
        <w:pStyle w:val="corpsdedcision"/>
      </w:pPr>
      <w:r>
        <w:t>Toutefois, dans le présent dossier, le consentement du travailleur a été vicié par des informations incomplètes fournies par monsieur Dufour dans sa rencontre privée avec le travailleur. Monsieur Dufour explique les conséquences de l’entente au travailleur en lui affirmant que s’il se blessait à nouveau, cela serait considéré comme un nouvel événement et qu’il ne pou</w:t>
      </w:r>
      <w:r w:rsidR="00C37443">
        <w:t>rr</w:t>
      </w:r>
      <w:r w:rsidR="00B6297D">
        <w:t>a</w:t>
      </w:r>
      <w:r>
        <w:t>it pas faire de récidive, rechute</w:t>
      </w:r>
      <w:r w:rsidR="00B6297D">
        <w:t xml:space="preserve"> ou</w:t>
      </w:r>
      <w:r>
        <w:t xml:space="preserve"> a</w:t>
      </w:r>
      <w:r w:rsidR="00C37443">
        <w:t>ggravation parce qu’il n’y a</w:t>
      </w:r>
      <w:r>
        <w:t xml:space="preserve"> pas de suivi médical à son dossier.</w:t>
      </w:r>
    </w:p>
    <w:p w:rsidR="00704EC6" w:rsidRDefault="00704EC6" w:rsidP="004C4DAE">
      <w:pPr>
        <w:pStyle w:val="corpsdedcision"/>
      </w:pPr>
      <w:r>
        <w:t>Ainsi pour obtenir le consentement du travailleur</w:t>
      </w:r>
      <w:r w:rsidR="00B6297D">
        <w:t>,</w:t>
      </w:r>
      <w:r>
        <w:t xml:space="preserve"> monsieur Dufour fournit des informations sur les impacts de l’accord sur une éventuelle réclamation du travailleur</w:t>
      </w:r>
      <w:r w:rsidR="000C2EDD">
        <w:t xml:space="preserve"> notamment la récidive, rechute ou aggravation. L’information communiquée au travailleur s’avère </w:t>
      </w:r>
      <w:r>
        <w:t xml:space="preserve">incomplète et imprécise puisque comme le souligne la Commission des lésions professionnelles dans l’affaire </w:t>
      </w:r>
      <w:r w:rsidRPr="000C2EDD">
        <w:rPr>
          <w:i/>
        </w:rPr>
        <w:t xml:space="preserve">Boisvert </w:t>
      </w:r>
      <w:r w:rsidRPr="0068218F">
        <w:t>et</w:t>
      </w:r>
      <w:r w:rsidRPr="000C2EDD">
        <w:rPr>
          <w:i/>
        </w:rPr>
        <w:t xml:space="preserve"> Halco</w:t>
      </w:r>
      <w:r w:rsidRPr="00B6297D">
        <w:rPr>
          <w:rStyle w:val="Appelnotedebasdep"/>
        </w:rPr>
        <w:footnoteReference w:id="6"/>
      </w:r>
      <w:r>
        <w:t>, la présence d’un suivi médical constitue l’un des éléments à prendre en compte dans l’analyse d’une récidive, rechute</w:t>
      </w:r>
      <w:r w:rsidR="00333ADE">
        <w:t xml:space="preserve"> ou</w:t>
      </w:r>
      <w:r>
        <w:t xml:space="preserve"> aggravation. Toutefois, il s’agit d’un élément parmi d’autres et l’absence de suivi médical n’exclut pas obligatoirement l’existence d’une récidive, rechute</w:t>
      </w:r>
      <w:r w:rsidR="00333ADE">
        <w:t xml:space="preserve"> ou</w:t>
      </w:r>
      <w:r>
        <w:t xml:space="preserve"> aggravation.</w:t>
      </w:r>
    </w:p>
    <w:p w:rsidR="000C2EDD" w:rsidRDefault="007378FA" w:rsidP="004C4DAE">
      <w:pPr>
        <w:pStyle w:val="corpsdedcision"/>
      </w:pPr>
      <w:r>
        <w:t>Les informations incomplètes fournies à une partie à un accord sur les conséquences de celui-ci pour l’avenir altèrent le consentement donné par cette partie. Les conséquences possibles et prévisibles d’un accord constituent, en partie, les raisons pour lesquelles une partie désire ou non consentir à un accord. Une partie qui donne son consentement à un accord doit en connaître les impacts possibles et prévisibles sur son dossier d’indemnisation.</w:t>
      </w:r>
    </w:p>
    <w:p w:rsidR="00213D8A" w:rsidRDefault="00213D8A" w:rsidP="004C4DAE">
      <w:pPr>
        <w:pStyle w:val="corpsdedcision"/>
      </w:pPr>
      <w:r>
        <w:t xml:space="preserve">De plus, </w:t>
      </w:r>
      <w:r w:rsidR="00C37443">
        <w:t>a</w:t>
      </w:r>
      <w:r>
        <w:t>près la rencontre avec monsieur Dufour lorsque le travailleur rencontre le conciliateur, il n’y a pas de preuve que les impacts de l’accord lui ont été expliqués.</w:t>
      </w:r>
    </w:p>
    <w:p w:rsidR="007378FA" w:rsidRPr="00CC739B" w:rsidRDefault="007378FA" w:rsidP="004C4DAE">
      <w:pPr>
        <w:pStyle w:val="corpsdedcision"/>
      </w:pPr>
      <w:r>
        <w:t xml:space="preserve">En conséquence, </w:t>
      </w:r>
      <w:r w:rsidR="00213D8A">
        <w:t>il n’y</w:t>
      </w:r>
      <w:r w:rsidR="00333ADE">
        <w:t xml:space="preserve"> a</w:t>
      </w:r>
      <w:r w:rsidR="00213D8A">
        <w:t xml:space="preserve"> pas eu d’accord entre les parties.</w:t>
      </w:r>
    </w:p>
    <w:p w:rsidR="00C74B6F" w:rsidRDefault="00C74B6F">
      <w:pPr>
        <w:pStyle w:val="Dispositif"/>
      </w:pPr>
    </w:p>
    <w:p w:rsidR="00C74B6F" w:rsidRDefault="00C74B6F">
      <w:pPr>
        <w:pStyle w:val="Dispositif"/>
      </w:pPr>
      <w:r>
        <w:rPr>
          <w:b/>
        </w:rPr>
        <w:t>P</w:t>
      </w:r>
      <w:r w:rsidR="00D07FA6">
        <w:rPr>
          <w:b/>
        </w:rPr>
        <w:t>AR CES MOTIFS, LE TRIBUNAL ADMINISTRATIF DU TRAVAIL</w:t>
      </w:r>
      <w:r>
        <w:rPr>
          <w:b/>
        </w:rPr>
        <w:t> :</w:t>
      </w:r>
    </w:p>
    <w:p w:rsidR="00C74B6F" w:rsidRDefault="00213D8A">
      <w:pPr>
        <w:pStyle w:val="Dispositif"/>
      </w:pPr>
      <w:r>
        <w:rPr>
          <w:b/>
        </w:rPr>
        <w:t>REJETTE</w:t>
      </w:r>
      <w:r>
        <w:t xml:space="preserve"> l</w:t>
      </w:r>
      <w:r w:rsidR="00333ADE">
        <w:t>a</w:t>
      </w:r>
      <w:r>
        <w:t xml:space="preserve"> requête préliminaire de l’employeur</w:t>
      </w:r>
      <w:r w:rsidR="00333ADE">
        <w:t>, Instech Télécommunication inc.</w:t>
      </w:r>
      <w:r>
        <w:t>;</w:t>
      </w:r>
    </w:p>
    <w:p w:rsidR="00213D8A" w:rsidRDefault="00213D8A">
      <w:pPr>
        <w:pStyle w:val="Dispositif"/>
      </w:pPr>
      <w:r>
        <w:rPr>
          <w:b/>
        </w:rPr>
        <w:t>CONVOQUERA</w:t>
      </w:r>
      <w:r>
        <w:t xml:space="preserve"> à nouveau les parties sur le fond de la contestation de l’employeur.</w:t>
      </w:r>
    </w:p>
    <w:p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7" w:name="signature"/>
            <w:bookmarkEnd w:id="7"/>
            <w:r>
              <w:t>__________________________________</w:t>
            </w:r>
          </w:p>
        </w:tc>
      </w:tr>
      <w:tr w:rsidR="00C74B6F">
        <w:tc>
          <w:tcPr>
            <w:tcW w:w="4795" w:type="dxa"/>
          </w:tcPr>
          <w:p w:rsidR="00C74B6F" w:rsidRDefault="00C74B6F"/>
        </w:tc>
        <w:tc>
          <w:tcPr>
            <w:tcW w:w="4795" w:type="dxa"/>
          </w:tcPr>
          <w:p w:rsidR="00C74B6F" w:rsidRDefault="00213D8A">
            <w:r>
              <w:t>Philippe Bouvier</w:t>
            </w:r>
          </w:p>
        </w:tc>
      </w:tr>
      <w:tr w:rsidR="00C74B6F">
        <w:trPr>
          <w:cantSplit/>
        </w:trPr>
        <w:tc>
          <w:tcPr>
            <w:tcW w:w="9590" w:type="dxa"/>
            <w:gridSpan w:val="2"/>
          </w:tcPr>
          <w:p w:rsidR="00C74B6F" w:rsidRDefault="00C74B6F"/>
        </w:tc>
      </w:tr>
      <w:tr w:rsidR="00C74B6F">
        <w:trPr>
          <w:cantSplit/>
        </w:trPr>
        <w:tc>
          <w:tcPr>
            <w:tcW w:w="9590" w:type="dxa"/>
            <w:gridSpan w:val="2"/>
          </w:tcPr>
          <w:p w:rsidR="00C74B6F" w:rsidRPr="00C912F9" w:rsidRDefault="00C74B6F" w:rsidP="00EC5C8D">
            <w:pPr>
              <w:tabs>
                <w:tab w:val="left" w:pos="1592"/>
              </w:tabs>
            </w:pPr>
          </w:p>
        </w:tc>
      </w:tr>
      <w:tr w:rsidR="00C74B6F">
        <w:trPr>
          <w:cantSplit/>
        </w:trPr>
        <w:tc>
          <w:tcPr>
            <w:tcW w:w="9590" w:type="dxa"/>
            <w:gridSpan w:val="2"/>
          </w:tcPr>
          <w:p w:rsidR="00C74B6F" w:rsidRDefault="00C74B6F"/>
        </w:tc>
      </w:tr>
      <w:tr w:rsidR="00861F8B">
        <w:trPr>
          <w:cantSplit/>
        </w:trPr>
        <w:tc>
          <w:tcPr>
            <w:tcW w:w="9590" w:type="dxa"/>
            <w:gridSpan w:val="2"/>
          </w:tcPr>
          <w:p w:rsidR="00861F8B" w:rsidRDefault="00333ADE">
            <w:r>
              <w:rPr>
                <w:lang w:val="en-CA"/>
              </w:rPr>
              <w:t>M. Ech Cherki El Moustaqib</w:t>
            </w:r>
          </w:p>
        </w:tc>
      </w:tr>
      <w:tr w:rsidR="00861F8B">
        <w:trPr>
          <w:cantSplit/>
        </w:trPr>
        <w:tc>
          <w:tcPr>
            <w:tcW w:w="9590" w:type="dxa"/>
            <w:gridSpan w:val="2"/>
          </w:tcPr>
          <w:p w:rsidR="00861F8B" w:rsidRDefault="00E25DCB" w:rsidP="00333ADE">
            <w:r>
              <w:fldChar w:fldCharType="begin"/>
            </w:r>
            <w:r>
              <w:instrText xml:space="preserve"> MACROBUTTON  AbaisserNiveauListe </w:instrText>
            </w:r>
            <w:r>
              <w:fldChar w:fldCharType="end"/>
            </w:r>
            <w:r w:rsidR="00333ADE">
              <w:t>Pour lui-même</w:t>
            </w:r>
          </w:p>
        </w:tc>
      </w:tr>
      <w:tr w:rsidR="00C74B6F">
        <w:trPr>
          <w:cantSplit/>
        </w:trPr>
        <w:tc>
          <w:tcPr>
            <w:tcW w:w="9590" w:type="dxa"/>
            <w:gridSpan w:val="2"/>
          </w:tcPr>
          <w:p w:rsidR="00C74B6F" w:rsidRDefault="00C74B6F"/>
        </w:tc>
      </w:tr>
      <w:tr w:rsidR="00C74B6F">
        <w:trPr>
          <w:cantSplit/>
        </w:trPr>
        <w:tc>
          <w:tcPr>
            <w:tcW w:w="9590" w:type="dxa"/>
            <w:gridSpan w:val="2"/>
          </w:tcPr>
          <w:p w:rsidR="00C74B6F" w:rsidRPr="00333ADE" w:rsidRDefault="00333ADE">
            <w:pPr>
              <w:pStyle w:val="zSoquijdatNomProcureurDem"/>
            </w:pPr>
            <w:r>
              <w:t>M</w:t>
            </w:r>
            <w:r>
              <w:rPr>
                <w:vertAlign w:val="superscript"/>
              </w:rPr>
              <w:t>e</w:t>
            </w:r>
            <w:r>
              <w:t xml:space="preserve"> Véronique Nadeau</w:t>
            </w:r>
          </w:p>
        </w:tc>
      </w:tr>
      <w:tr w:rsidR="00C74B6F">
        <w:trPr>
          <w:cantSplit/>
        </w:trPr>
        <w:tc>
          <w:tcPr>
            <w:tcW w:w="9590" w:type="dxa"/>
            <w:gridSpan w:val="2"/>
          </w:tcPr>
          <w:p w:rsidR="00C74B6F" w:rsidRDefault="00333ADE">
            <w:pPr>
              <w:pStyle w:val="zSoquijdatCabinetProcureurDem"/>
            </w:pPr>
            <w:r>
              <w:t>BOURQUE, TÉTREAULT &amp; ASS.</w:t>
            </w:r>
          </w:p>
        </w:tc>
      </w:tr>
      <w:tr w:rsidR="00C74B6F">
        <w:trPr>
          <w:cantSplit/>
        </w:trPr>
        <w:tc>
          <w:tcPr>
            <w:tcW w:w="9590" w:type="dxa"/>
            <w:gridSpan w:val="2"/>
          </w:tcPr>
          <w:p w:rsidR="00C74B6F" w:rsidRDefault="00CB05A7">
            <w:pPr>
              <w:pStyle w:val="zSoquijlblProcureurDem"/>
            </w:pPr>
            <w:r>
              <w:t>Pour la partie demanderesse</w:t>
            </w:r>
          </w:p>
        </w:tc>
      </w:tr>
      <w:tr w:rsidR="00C74B6F">
        <w:trPr>
          <w:cantSplit/>
        </w:trPr>
        <w:tc>
          <w:tcPr>
            <w:tcW w:w="9590" w:type="dxa"/>
            <w:gridSpan w:val="2"/>
          </w:tcPr>
          <w:p w:rsidR="00C74B6F" w:rsidRDefault="00C74B6F"/>
        </w:tc>
      </w:tr>
      <w:tr w:rsidR="00C15A3F">
        <w:trPr>
          <w:cantSplit/>
        </w:trPr>
        <w:tc>
          <w:tcPr>
            <w:tcW w:w="9590" w:type="dxa"/>
            <w:gridSpan w:val="2"/>
          </w:tcPr>
          <w:p w:rsidR="00C15A3F" w:rsidRDefault="00C15A3F" w:rsidP="00333ADE">
            <w:pPr>
              <w:pStyle w:val="zSoquijdatDateAudience"/>
            </w:pPr>
            <w:r>
              <w:t>Date de l</w:t>
            </w:r>
            <w:r w:rsidR="00333ADE">
              <w:t>’</w:t>
            </w:r>
            <w:r>
              <w:t>audience :</w:t>
            </w:r>
            <w:r w:rsidR="00597016">
              <w:tab/>
            </w:r>
            <w:r w:rsidR="00333ADE">
              <w:t xml:space="preserve"> 25 février 2019</w:t>
            </w:r>
          </w:p>
        </w:tc>
      </w:tr>
    </w:tbl>
    <w:p w:rsidR="009A135C" w:rsidRDefault="009A135C" w:rsidP="009A135C">
      <w:pPr>
        <w:pStyle w:val="articlesdelaLSST"/>
        <w:ind w:left="0"/>
      </w:pPr>
    </w:p>
    <w:p w:rsidR="00A95452" w:rsidRDefault="00A95452" w:rsidP="00623044">
      <w:pPr>
        <w:pStyle w:val="articlesdelaLSST"/>
        <w:ind w:left="0"/>
      </w:pPr>
    </w:p>
    <w:sectPr w:rsidR="00A95452">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2F0E" w:rsidRDefault="00082F0E">
      <w:r>
        <w:separator/>
      </w:r>
    </w:p>
  </w:endnote>
  <w:endnote w:type="continuationSeparator" w:id="0">
    <w:p w:rsidR="00082F0E" w:rsidRDefault="00082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2F0E" w:rsidRDefault="00082F0E">
      <w:r>
        <w:separator/>
      </w:r>
    </w:p>
  </w:footnote>
  <w:footnote w:type="continuationSeparator" w:id="0">
    <w:p w:rsidR="00082F0E" w:rsidRDefault="00082F0E">
      <w:r>
        <w:continuationSeparator/>
      </w:r>
    </w:p>
  </w:footnote>
  <w:footnote w:id="1">
    <w:p w:rsidR="00CC739B" w:rsidRPr="007D7FFC" w:rsidRDefault="00CC739B" w:rsidP="00CC739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RLRQ, c. T-15.1.</w:t>
      </w:r>
    </w:p>
  </w:footnote>
  <w:footnote w:id="2">
    <w:p w:rsidR="00CC739B" w:rsidRPr="00F05E9B" w:rsidRDefault="00CC739B" w:rsidP="00CC739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C.L.P. 205147-71-0304, 23 décembre </w:t>
      </w:r>
      <w:smartTag w:uri="urn:schemas-microsoft-com:office:smarttags" w:element="metricconverter">
        <w:smartTagPr>
          <w:attr w:name="ProductID" w:val="2004, F"/>
        </w:smartTagPr>
        <w:r>
          <w:rPr>
            <w:rFonts w:cs="Arial"/>
            <w:sz w:val="20"/>
          </w:rPr>
          <w:t>2004, F</w:t>
        </w:r>
      </w:smartTag>
      <w:r>
        <w:rPr>
          <w:rFonts w:cs="Arial"/>
          <w:sz w:val="20"/>
        </w:rPr>
        <w:t>. Juteau.</w:t>
      </w:r>
    </w:p>
  </w:footnote>
  <w:footnote w:id="3">
    <w:p w:rsidR="00CC739B" w:rsidRPr="005336DE" w:rsidRDefault="00CC739B" w:rsidP="00CC739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4">
    <w:p w:rsidR="00B6297D" w:rsidRPr="00B6297D" w:rsidRDefault="00B6297D" w:rsidP="00B6297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RLRQ, c. CCQ-1991.</w:t>
      </w:r>
    </w:p>
  </w:footnote>
  <w:footnote w:id="5">
    <w:p w:rsidR="007378FA" w:rsidRPr="007378FA" w:rsidRDefault="007378FA" w:rsidP="007378F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Résidence Anne Gabriel </w:t>
      </w:r>
      <w:r w:rsidRPr="00B6297D">
        <w:rPr>
          <w:rFonts w:cs="Arial"/>
          <w:sz w:val="20"/>
        </w:rPr>
        <w:t>et</w:t>
      </w:r>
      <w:r>
        <w:rPr>
          <w:rFonts w:cs="Arial"/>
          <w:i/>
          <w:sz w:val="20"/>
        </w:rPr>
        <w:t xml:space="preserve"> Trottier</w:t>
      </w:r>
      <w:r w:rsidR="00B6297D">
        <w:rPr>
          <w:rFonts w:cs="Arial"/>
          <w:sz w:val="20"/>
        </w:rPr>
        <w:t xml:space="preserve">, </w:t>
      </w:r>
      <w:r>
        <w:rPr>
          <w:rFonts w:cs="Arial"/>
          <w:sz w:val="20"/>
        </w:rPr>
        <w:t>2018 QCTAT 105</w:t>
      </w:r>
      <w:r w:rsidR="009B0300">
        <w:rPr>
          <w:rFonts w:cs="Arial"/>
          <w:sz w:val="20"/>
        </w:rPr>
        <w:t>3</w:t>
      </w:r>
      <w:r w:rsidR="00B6297D">
        <w:rPr>
          <w:rFonts w:cs="Arial"/>
          <w:sz w:val="20"/>
        </w:rPr>
        <w:t>.</w:t>
      </w:r>
    </w:p>
  </w:footnote>
  <w:footnote w:id="6">
    <w:p w:rsidR="00704EC6" w:rsidRPr="00704EC6" w:rsidRDefault="00704EC6" w:rsidP="00704EC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68218F">
        <w:rPr>
          <w:rFonts w:cs="Arial"/>
          <w:sz w:val="20"/>
        </w:rPr>
        <w:t>[1995] C.A.L.P. 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CC667B" w:rsidTr="00AD5EEB">
      <w:tc>
        <w:tcPr>
          <w:tcW w:w="8730" w:type="dxa"/>
        </w:tcPr>
        <w:p w:rsidR="00CC667B" w:rsidRDefault="00CC667B">
          <w:pPr>
            <w:pStyle w:val="En-tte"/>
            <w:ind w:left="-90"/>
          </w:pPr>
        </w:p>
      </w:tc>
      <w:tc>
        <w:tcPr>
          <w:tcW w:w="860" w:type="dxa"/>
        </w:tcPr>
        <w:p w:rsidR="00CC667B" w:rsidRDefault="00CC667B">
          <w:pPr>
            <w:pStyle w:val="En-tte"/>
            <w:ind w:left="-90"/>
          </w:pPr>
        </w:p>
      </w:tc>
    </w:tr>
    <w:tr w:rsidR="00AD5EEB" w:rsidTr="00AD5EEB">
      <w:tc>
        <w:tcPr>
          <w:tcW w:w="8730" w:type="dxa"/>
        </w:tcPr>
        <w:p w:rsidR="00AD5EEB" w:rsidRDefault="00AD5EEB" w:rsidP="00AD5EEB">
          <w:pPr>
            <w:pStyle w:val="zSoquijdatNoDossier"/>
          </w:pPr>
          <w:r>
            <w:t>650095-61-1710</w:t>
          </w:r>
        </w:p>
      </w:tc>
      <w:tc>
        <w:tcPr>
          <w:tcW w:w="860" w:type="dxa"/>
        </w:tcPr>
        <w:p w:rsidR="00AD5EEB" w:rsidRDefault="00AD5EEB" w:rsidP="00AD5EEB">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E66758">
            <w:rPr>
              <w:rStyle w:val="Numrodepage"/>
              <w:noProof/>
            </w:rPr>
            <w:t>2</w:t>
          </w:r>
          <w:r>
            <w:rPr>
              <w:rStyle w:val="Numrodepage"/>
            </w:rPr>
            <w:fldChar w:fldCharType="end"/>
          </w:r>
        </w:p>
      </w:tc>
    </w:tr>
    <w:tr w:rsidR="00AD5EEB" w:rsidTr="00AD5EEB">
      <w:tc>
        <w:tcPr>
          <w:tcW w:w="8730" w:type="dxa"/>
        </w:tcPr>
        <w:p w:rsidR="00AD5EEB" w:rsidRDefault="00AD5EEB" w:rsidP="00AD5EEB"/>
      </w:tc>
      <w:tc>
        <w:tcPr>
          <w:tcW w:w="860" w:type="dxa"/>
        </w:tcPr>
        <w:p w:rsidR="00AD5EEB" w:rsidRDefault="00AD5EEB" w:rsidP="00AD5EEB">
          <w:pPr>
            <w:pStyle w:val="En-tte"/>
            <w:ind w:left="-90"/>
            <w:jc w:val="right"/>
          </w:pPr>
        </w:p>
      </w:tc>
    </w:tr>
  </w:tbl>
  <w:p w:rsidR="00CC667B" w:rsidRDefault="00CC667B">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3">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4">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3"/>
  </w:num>
  <w:num w:numId="2">
    <w:abstractNumId w:val="2"/>
  </w:num>
  <w:num w:numId="3">
    <w:abstractNumId w:val="1"/>
  </w:num>
  <w:num w:numId="4">
    <w:abstractNumId w:val="0"/>
  </w:num>
  <w:num w:numId="5">
    <w:abstractNumId w:val="4"/>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EEB"/>
    <w:rsid w:val="000034B0"/>
    <w:rsid w:val="000041A1"/>
    <w:rsid w:val="00021B30"/>
    <w:rsid w:val="00021E4C"/>
    <w:rsid w:val="00022556"/>
    <w:rsid w:val="000366EC"/>
    <w:rsid w:val="00043E4D"/>
    <w:rsid w:val="00056393"/>
    <w:rsid w:val="0007225E"/>
    <w:rsid w:val="00076D81"/>
    <w:rsid w:val="00082F0E"/>
    <w:rsid w:val="0008378A"/>
    <w:rsid w:val="0008784D"/>
    <w:rsid w:val="00090018"/>
    <w:rsid w:val="00090306"/>
    <w:rsid w:val="00093ACD"/>
    <w:rsid w:val="00095814"/>
    <w:rsid w:val="00097D81"/>
    <w:rsid w:val="000A4AD0"/>
    <w:rsid w:val="000A77C5"/>
    <w:rsid w:val="000B7F1B"/>
    <w:rsid w:val="000C2EDD"/>
    <w:rsid w:val="000D3948"/>
    <w:rsid w:val="000E0C28"/>
    <w:rsid w:val="000E1320"/>
    <w:rsid w:val="000E56A6"/>
    <w:rsid w:val="000F3423"/>
    <w:rsid w:val="001050B4"/>
    <w:rsid w:val="0012224D"/>
    <w:rsid w:val="001225BC"/>
    <w:rsid w:val="00122A9E"/>
    <w:rsid w:val="0012326A"/>
    <w:rsid w:val="001407FC"/>
    <w:rsid w:val="00147A49"/>
    <w:rsid w:val="00147B8B"/>
    <w:rsid w:val="0015125A"/>
    <w:rsid w:val="00152464"/>
    <w:rsid w:val="0015539F"/>
    <w:rsid w:val="00160597"/>
    <w:rsid w:val="001664C8"/>
    <w:rsid w:val="00167AD0"/>
    <w:rsid w:val="00173184"/>
    <w:rsid w:val="00175079"/>
    <w:rsid w:val="00183515"/>
    <w:rsid w:val="001A03BE"/>
    <w:rsid w:val="001A067E"/>
    <w:rsid w:val="001A2900"/>
    <w:rsid w:val="001A4081"/>
    <w:rsid w:val="001A65F1"/>
    <w:rsid w:val="001B2B40"/>
    <w:rsid w:val="001B3E9D"/>
    <w:rsid w:val="001B4A40"/>
    <w:rsid w:val="001C2B0B"/>
    <w:rsid w:val="00213D8A"/>
    <w:rsid w:val="00227040"/>
    <w:rsid w:val="00230CFC"/>
    <w:rsid w:val="00231C1D"/>
    <w:rsid w:val="00241CED"/>
    <w:rsid w:val="00242FB4"/>
    <w:rsid w:val="00245605"/>
    <w:rsid w:val="002563F0"/>
    <w:rsid w:val="00266064"/>
    <w:rsid w:val="00267C8D"/>
    <w:rsid w:val="002701DD"/>
    <w:rsid w:val="002769B5"/>
    <w:rsid w:val="00276B59"/>
    <w:rsid w:val="00281319"/>
    <w:rsid w:val="00286149"/>
    <w:rsid w:val="0028668D"/>
    <w:rsid w:val="00290289"/>
    <w:rsid w:val="00296645"/>
    <w:rsid w:val="00296A4B"/>
    <w:rsid w:val="00297284"/>
    <w:rsid w:val="002A0077"/>
    <w:rsid w:val="002A374B"/>
    <w:rsid w:val="002A73E9"/>
    <w:rsid w:val="002B2FC3"/>
    <w:rsid w:val="002B35F0"/>
    <w:rsid w:val="002B58AF"/>
    <w:rsid w:val="002C3748"/>
    <w:rsid w:val="002C5E89"/>
    <w:rsid w:val="002C643C"/>
    <w:rsid w:val="002D71A9"/>
    <w:rsid w:val="002F7507"/>
    <w:rsid w:val="00302FB4"/>
    <w:rsid w:val="00305273"/>
    <w:rsid w:val="003054CD"/>
    <w:rsid w:val="003057FC"/>
    <w:rsid w:val="00307C85"/>
    <w:rsid w:val="003112B3"/>
    <w:rsid w:val="00312983"/>
    <w:rsid w:val="003248CB"/>
    <w:rsid w:val="0032795D"/>
    <w:rsid w:val="00331EA7"/>
    <w:rsid w:val="003332B8"/>
    <w:rsid w:val="00333ADE"/>
    <w:rsid w:val="00344465"/>
    <w:rsid w:val="0034740A"/>
    <w:rsid w:val="0035375B"/>
    <w:rsid w:val="003664E9"/>
    <w:rsid w:val="00366D1E"/>
    <w:rsid w:val="00373EE5"/>
    <w:rsid w:val="003817E7"/>
    <w:rsid w:val="00382E55"/>
    <w:rsid w:val="003961B2"/>
    <w:rsid w:val="003A41AD"/>
    <w:rsid w:val="003B152B"/>
    <w:rsid w:val="003B1734"/>
    <w:rsid w:val="003B1735"/>
    <w:rsid w:val="003B6CBF"/>
    <w:rsid w:val="003C47A7"/>
    <w:rsid w:val="003D0826"/>
    <w:rsid w:val="003D3C93"/>
    <w:rsid w:val="003E00D5"/>
    <w:rsid w:val="003E02BA"/>
    <w:rsid w:val="003F7F38"/>
    <w:rsid w:val="0040399B"/>
    <w:rsid w:val="00406F0C"/>
    <w:rsid w:val="00412585"/>
    <w:rsid w:val="0041363B"/>
    <w:rsid w:val="00415D5D"/>
    <w:rsid w:val="0042650F"/>
    <w:rsid w:val="00431E0B"/>
    <w:rsid w:val="004337FE"/>
    <w:rsid w:val="00433E98"/>
    <w:rsid w:val="00435738"/>
    <w:rsid w:val="00437137"/>
    <w:rsid w:val="004403B8"/>
    <w:rsid w:val="00441ADA"/>
    <w:rsid w:val="0044371C"/>
    <w:rsid w:val="0044627E"/>
    <w:rsid w:val="0045114F"/>
    <w:rsid w:val="00452365"/>
    <w:rsid w:val="004529D3"/>
    <w:rsid w:val="00453F31"/>
    <w:rsid w:val="00456B0C"/>
    <w:rsid w:val="00462497"/>
    <w:rsid w:val="0046538B"/>
    <w:rsid w:val="00471C92"/>
    <w:rsid w:val="004739AC"/>
    <w:rsid w:val="00475FEF"/>
    <w:rsid w:val="0047776F"/>
    <w:rsid w:val="004870EA"/>
    <w:rsid w:val="00487F13"/>
    <w:rsid w:val="00496193"/>
    <w:rsid w:val="004A02AF"/>
    <w:rsid w:val="004A679B"/>
    <w:rsid w:val="004C0FB4"/>
    <w:rsid w:val="004C1811"/>
    <w:rsid w:val="004C4047"/>
    <w:rsid w:val="004C4555"/>
    <w:rsid w:val="004D6CEA"/>
    <w:rsid w:val="004E3564"/>
    <w:rsid w:val="004E51C0"/>
    <w:rsid w:val="004E64BE"/>
    <w:rsid w:val="00503B8D"/>
    <w:rsid w:val="00503EE3"/>
    <w:rsid w:val="00505811"/>
    <w:rsid w:val="00515DE7"/>
    <w:rsid w:val="00517EB0"/>
    <w:rsid w:val="005205CB"/>
    <w:rsid w:val="005352F1"/>
    <w:rsid w:val="00540094"/>
    <w:rsid w:val="00545CFF"/>
    <w:rsid w:val="00555800"/>
    <w:rsid w:val="00556DBB"/>
    <w:rsid w:val="00560781"/>
    <w:rsid w:val="0056268F"/>
    <w:rsid w:val="005662E9"/>
    <w:rsid w:val="00572AAF"/>
    <w:rsid w:val="005801AE"/>
    <w:rsid w:val="00582868"/>
    <w:rsid w:val="00582ECC"/>
    <w:rsid w:val="0058399B"/>
    <w:rsid w:val="0058692F"/>
    <w:rsid w:val="00587045"/>
    <w:rsid w:val="00587C22"/>
    <w:rsid w:val="0059436D"/>
    <w:rsid w:val="005945C0"/>
    <w:rsid w:val="00597016"/>
    <w:rsid w:val="005974B7"/>
    <w:rsid w:val="005A0D51"/>
    <w:rsid w:val="005A181B"/>
    <w:rsid w:val="005A1CB3"/>
    <w:rsid w:val="005A3073"/>
    <w:rsid w:val="005A33A5"/>
    <w:rsid w:val="005A70A0"/>
    <w:rsid w:val="005B0612"/>
    <w:rsid w:val="005B13F0"/>
    <w:rsid w:val="005B30F6"/>
    <w:rsid w:val="005B45BA"/>
    <w:rsid w:val="005B5689"/>
    <w:rsid w:val="005B6774"/>
    <w:rsid w:val="005C0A89"/>
    <w:rsid w:val="005C3BC4"/>
    <w:rsid w:val="005D59B1"/>
    <w:rsid w:val="005D764B"/>
    <w:rsid w:val="005E1756"/>
    <w:rsid w:val="005E2367"/>
    <w:rsid w:val="005E2FBA"/>
    <w:rsid w:val="005E5E90"/>
    <w:rsid w:val="005E654C"/>
    <w:rsid w:val="005F05F6"/>
    <w:rsid w:val="00605734"/>
    <w:rsid w:val="0061488E"/>
    <w:rsid w:val="0061574B"/>
    <w:rsid w:val="00622670"/>
    <w:rsid w:val="00623044"/>
    <w:rsid w:val="00623A1A"/>
    <w:rsid w:val="00626E8D"/>
    <w:rsid w:val="00632DA8"/>
    <w:rsid w:val="00634AA6"/>
    <w:rsid w:val="00634E6E"/>
    <w:rsid w:val="0064342A"/>
    <w:rsid w:val="00643A28"/>
    <w:rsid w:val="006452FA"/>
    <w:rsid w:val="0065093D"/>
    <w:rsid w:val="00653823"/>
    <w:rsid w:val="00655193"/>
    <w:rsid w:val="00655459"/>
    <w:rsid w:val="00656FB2"/>
    <w:rsid w:val="00661454"/>
    <w:rsid w:val="0066642D"/>
    <w:rsid w:val="00670C18"/>
    <w:rsid w:val="00675E85"/>
    <w:rsid w:val="0067750F"/>
    <w:rsid w:val="0068218F"/>
    <w:rsid w:val="0068401E"/>
    <w:rsid w:val="006841A4"/>
    <w:rsid w:val="0068643F"/>
    <w:rsid w:val="006877A1"/>
    <w:rsid w:val="00692150"/>
    <w:rsid w:val="00692F0C"/>
    <w:rsid w:val="00696E7C"/>
    <w:rsid w:val="006A0C54"/>
    <w:rsid w:val="006A7C53"/>
    <w:rsid w:val="006B309C"/>
    <w:rsid w:val="006B727F"/>
    <w:rsid w:val="006C6D3A"/>
    <w:rsid w:val="006C7B36"/>
    <w:rsid w:val="006C7B7F"/>
    <w:rsid w:val="006D19E8"/>
    <w:rsid w:val="006E04B5"/>
    <w:rsid w:val="006E330C"/>
    <w:rsid w:val="006E3DD8"/>
    <w:rsid w:val="006E72C4"/>
    <w:rsid w:val="006E793F"/>
    <w:rsid w:val="006F0154"/>
    <w:rsid w:val="006F7944"/>
    <w:rsid w:val="00704121"/>
    <w:rsid w:val="00704EC6"/>
    <w:rsid w:val="00705BB5"/>
    <w:rsid w:val="0071326F"/>
    <w:rsid w:val="007153D7"/>
    <w:rsid w:val="00720ED4"/>
    <w:rsid w:val="00720F89"/>
    <w:rsid w:val="0072459C"/>
    <w:rsid w:val="007378FA"/>
    <w:rsid w:val="0074488F"/>
    <w:rsid w:val="00745AA8"/>
    <w:rsid w:val="007510EC"/>
    <w:rsid w:val="0075233C"/>
    <w:rsid w:val="0075256A"/>
    <w:rsid w:val="007569DE"/>
    <w:rsid w:val="0075723C"/>
    <w:rsid w:val="00782C8F"/>
    <w:rsid w:val="00785F78"/>
    <w:rsid w:val="0078659D"/>
    <w:rsid w:val="007869EC"/>
    <w:rsid w:val="007A1E58"/>
    <w:rsid w:val="007A5C7E"/>
    <w:rsid w:val="007A6E2F"/>
    <w:rsid w:val="007B3BC5"/>
    <w:rsid w:val="007D03DF"/>
    <w:rsid w:val="007D4953"/>
    <w:rsid w:val="007D50F4"/>
    <w:rsid w:val="007D7173"/>
    <w:rsid w:val="007E1216"/>
    <w:rsid w:val="007E4CD4"/>
    <w:rsid w:val="007F0E8E"/>
    <w:rsid w:val="008079DD"/>
    <w:rsid w:val="0081130F"/>
    <w:rsid w:val="00824430"/>
    <w:rsid w:val="00825B1F"/>
    <w:rsid w:val="00827D55"/>
    <w:rsid w:val="00840EDD"/>
    <w:rsid w:val="0084255F"/>
    <w:rsid w:val="00854FB3"/>
    <w:rsid w:val="00860F13"/>
    <w:rsid w:val="00861F8B"/>
    <w:rsid w:val="0086561F"/>
    <w:rsid w:val="0086588B"/>
    <w:rsid w:val="00865FE1"/>
    <w:rsid w:val="008748C7"/>
    <w:rsid w:val="0087521A"/>
    <w:rsid w:val="008808C0"/>
    <w:rsid w:val="00890BDE"/>
    <w:rsid w:val="008962E7"/>
    <w:rsid w:val="008A1118"/>
    <w:rsid w:val="008A281F"/>
    <w:rsid w:val="008A4AF6"/>
    <w:rsid w:val="008A4FF8"/>
    <w:rsid w:val="008A5ED1"/>
    <w:rsid w:val="008A7FD1"/>
    <w:rsid w:val="008B042E"/>
    <w:rsid w:val="008B211E"/>
    <w:rsid w:val="008B6D48"/>
    <w:rsid w:val="008C7660"/>
    <w:rsid w:val="008C79A7"/>
    <w:rsid w:val="008D555F"/>
    <w:rsid w:val="008D625D"/>
    <w:rsid w:val="008D650E"/>
    <w:rsid w:val="008E6A41"/>
    <w:rsid w:val="00903990"/>
    <w:rsid w:val="00904950"/>
    <w:rsid w:val="00915E5E"/>
    <w:rsid w:val="009166B8"/>
    <w:rsid w:val="00922DB7"/>
    <w:rsid w:val="0092684A"/>
    <w:rsid w:val="00937FAB"/>
    <w:rsid w:val="00940816"/>
    <w:rsid w:val="0094094D"/>
    <w:rsid w:val="00942AB8"/>
    <w:rsid w:val="00945CAF"/>
    <w:rsid w:val="00947448"/>
    <w:rsid w:val="00952B38"/>
    <w:rsid w:val="00952C99"/>
    <w:rsid w:val="00965333"/>
    <w:rsid w:val="009712EF"/>
    <w:rsid w:val="009727BF"/>
    <w:rsid w:val="00973321"/>
    <w:rsid w:val="00975C2E"/>
    <w:rsid w:val="00977270"/>
    <w:rsid w:val="009824F2"/>
    <w:rsid w:val="00983080"/>
    <w:rsid w:val="00986AA3"/>
    <w:rsid w:val="00993B24"/>
    <w:rsid w:val="0099611F"/>
    <w:rsid w:val="009A083F"/>
    <w:rsid w:val="009A135C"/>
    <w:rsid w:val="009A67E7"/>
    <w:rsid w:val="009B0300"/>
    <w:rsid w:val="009C603A"/>
    <w:rsid w:val="009C74CD"/>
    <w:rsid w:val="009D048F"/>
    <w:rsid w:val="009D401F"/>
    <w:rsid w:val="009D68FA"/>
    <w:rsid w:val="009E32CF"/>
    <w:rsid w:val="009E4FC2"/>
    <w:rsid w:val="009F44AE"/>
    <w:rsid w:val="00A02529"/>
    <w:rsid w:val="00A02EF2"/>
    <w:rsid w:val="00A04D5E"/>
    <w:rsid w:val="00A10DDF"/>
    <w:rsid w:val="00A11172"/>
    <w:rsid w:val="00A12E55"/>
    <w:rsid w:val="00A242E4"/>
    <w:rsid w:val="00A24437"/>
    <w:rsid w:val="00A24CA0"/>
    <w:rsid w:val="00A3362A"/>
    <w:rsid w:val="00A37B70"/>
    <w:rsid w:val="00A40AC7"/>
    <w:rsid w:val="00A435C7"/>
    <w:rsid w:val="00A569B2"/>
    <w:rsid w:val="00A611A4"/>
    <w:rsid w:val="00A6695B"/>
    <w:rsid w:val="00A72703"/>
    <w:rsid w:val="00A727F6"/>
    <w:rsid w:val="00A72E71"/>
    <w:rsid w:val="00A76432"/>
    <w:rsid w:val="00A84FC6"/>
    <w:rsid w:val="00A8528E"/>
    <w:rsid w:val="00A869D3"/>
    <w:rsid w:val="00A94A49"/>
    <w:rsid w:val="00A95452"/>
    <w:rsid w:val="00AA1815"/>
    <w:rsid w:val="00AA1D3E"/>
    <w:rsid w:val="00AA39F9"/>
    <w:rsid w:val="00AB0931"/>
    <w:rsid w:val="00AB5C9B"/>
    <w:rsid w:val="00AC0276"/>
    <w:rsid w:val="00AC0312"/>
    <w:rsid w:val="00AC0449"/>
    <w:rsid w:val="00AD2497"/>
    <w:rsid w:val="00AD5EB4"/>
    <w:rsid w:val="00AD5EEB"/>
    <w:rsid w:val="00AE63E2"/>
    <w:rsid w:val="00AF04C9"/>
    <w:rsid w:val="00AF26B6"/>
    <w:rsid w:val="00AF2979"/>
    <w:rsid w:val="00B0375C"/>
    <w:rsid w:val="00B052CB"/>
    <w:rsid w:val="00B156C3"/>
    <w:rsid w:val="00B15F67"/>
    <w:rsid w:val="00B1624F"/>
    <w:rsid w:val="00B224C5"/>
    <w:rsid w:val="00B325CD"/>
    <w:rsid w:val="00B4768D"/>
    <w:rsid w:val="00B518E5"/>
    <w:rsid w:val="00B51E1F"/>
    <w:rsid w:val="00B60222"/>
    <w:rsid w:val="00B6297D"/>
    <w:rsid w:val="00B62CFB"/>
    <w:rsid w:val="00B662F5"/>
    <w:rsid w:val="00B7000C"/>
    <w:rsid w:val="00B760D5"/>
    <w:rsid w:val="00B83B2C"/>
    <w:rsid w:val="00B94740"/>
    <w:rsid w:val="00B9624D"/>
    <w:rsid w:val="00B97F75"/>
    <w:rsid w:val="00BA1CAE"/>
    <w:rsid w:val="00BA33BB"/>
    <w:rsid w:val="00BA4830"/>
    <w:rsid w:val="00BA6E22"/>
    <w:rsid w:val="00BB362C"/>
    <w:rsid w:val="00BC0A03"/>
    <w:rsid w:val="00BD4139"/>
    <w:rsid w:val="00BE059A"/>
    <w:rsid w:val="00BE1981"/>
    <w:rsid w:val="00BE56E9"/>
    <w:rsid w:val="00BE63CF"/>
    <w:rsid w:val="00BE7014"/>
    <w:rsid w:val="00BF25C7"/>
    <w:rsid w:val="00C009B7"/>
    <w:rsid w:val="00C04E32"/>
    <w:rsid w:val="00C15A3F"/>
    <w:rsid w:val="00C20630"/>
    <w:rsid w:val="00C22F7A"/>
    <w:rsid w:val="00C2666F"/>
    <w:rsid w:val="00C32020"/>
    <w:rsid w:val="00C3408C"/>
    <w:rsid w:val="00C351CC"/>
    <w:rsid w:val="00C35435"/>
    <w:rsid w:val="00C37443"/>
    <w:rsid w:val="00C432FD"/>
    <w:rsid w:val="00C43CDF"/>
    <w:rsid w:val="00C512B2"/>
    <w:rsid w:val="00C520E5"/>
    <w:rsid w:val="00C62B69"/>
    <w:rsid w:val="00C644B7"/>
    <w:rsid w:val="00C64564"/>
    <w:rsid w:val="00C73C87"/>
    <w:rsid w:val="00C74B6F"/>
    <w:rsid w:val="00C82783"/>
    <w:rsid w:val="00C87EF3"/>
    <w:rsid w:val="00C9015F"/>
    <w:rsid w:val="00C912F9"/>
    <w:rsid w:val="00C9241B"/>
    <w:rsid w:val="00C97569"/>
    <w:rsid w:val="00CA199D"/>
    <w:rsid w:val="00CA4D9C"/>
    <w:rsid w:val="00CB05A7"/>
    <w:rsid w:val="00CB06A4"/>
    <w:rsid w:val="00CB325B"/>
    <w:rsid w:val="00CB56F0"/>
    <w:rsid w:val="00CB64FF"/>
    <w:rsid w:val="00CB7078"/>
    <w:rsid w:val="00CC014B"/>
    <w:rsid w:val="00CC21D8"/>
    <w:rsid w:val="00CC3369"/>
    <w:rsid w:val="00CC5343"/>
    <w:rsid w:val="00CC667B"/>
    <w:rsid w:val="00CC739B"/>
    <w:rsid w:val="00CC78DE"/>
    <w:rsid w:val="00CD0F93"/>
    <w:rsid w:val="00CD6D6E"/>
    <w:rsid w:val="00CD6F23"/>
    <w:rsid w:val="00CF640B"/>
    <w:rsid w:val="00D027AF"/>
    <w:rsid w:val="00D06652"/>
    <w:rsid w:val="00D07FA6"/>
    <w:rsid w:val="00D17C53"/>
    <w:rsid w:val="00D17D57"/>
    <w:rsid w:val="00D2341D"/>
    <w:rsid w:val="00D25E0E"/>
    <w:rsid w:val="00D302EB"/>
    <w:rsid w:val="00D31679"/>
    <w:rsid w:val="00D320C8"/>
    <w:rsid w:val="00D3672F"/>
    <w:rsid w:val="00D40ABA"/>
    <w:rsid w:val="00D40FE2"/>
    <w:rsid w:val="00D440FA"/>
    <w:rsid w:val="00D44BCF"/>
    <w:rsid w:val="00D46E73"/>
    <w:rsid w:val="00D5548D"/>
    <w:rsid w:val="00D60F81"/>
    <w:rsid w:val="00D63951"/>
    <w:rsid w:val="00D63BF2"/>
    <w:rsid w:val="00D67348"/>
    <w:rsid w:val="00D75FEC"/>
    <w:rsid w:val="00D76B98"/>
    <w:rsid w:val="00D84DFE"/>
    <w:rsid w:val="00D86F2C"/>
    <w:rsid w:val="00DA36F6"/>
    <w:rsid w:val="00DC1611"/>
    <w:rsid w:val="00DF0774"/>
    <w:rsid w:val="00DF1036"/>
    <w:rsid w:val="00E05451"/>
    <w:rsid w:val="00E05651"/>
    <w:rsid w:val="00E11BA5"/>
    <w:rsid w:val="00E20425"/>
    <w:rsid w:val="00E25DCB"/>
    <w:rsid w:val="00E4156E"/>
    <w:rsid w:val="00E453F2"/>
    <w:rsid w:val="00E460AD"/>
    <w:rsid w:val="00E61925"/>
    <w:rsid w:val="00E65C0E"/>
    <w:rsid w:val="00E66758"/>
    <w:rsid w:val="00E730FC"/>
    <w:rsid w:val="00E746F0"/>
    <w:rsid w:val="00E82A15"/>
    <w:rsid w:val="00E87589"/>
    <w:rsid w:val="00E938FF"/>
    <w:rsid w:val="00EA34DC"/>
    <w:rsid w:val="00EA5017"/>
    <w:rsid w:val="00EA6BED"/>
    <w:rsid w:val="00EB14F0"/>
    <w:rsid w:val="00EB3844"/>
    <w:rsid w:val="00EB5A9F"/>
    <w:rsid w:val="00EC5C8D"/>
    <w:rsid w:val="00ED106C"/>
    <w:rsid w:val="00ED2D34"/>
    <w:rsid w:val="00ED4805"/>
    <w:rsid w:val="00ED6C51"/>
    <w:rsid w:val="00EF4258"/>
    <w:rsid w:val="00F02237"/>
    <w:rsid w:val="00F22423"/>
    <w:rsid w:val="00F24C72"/>
    <w:rsid w:val="00F31D22"/>
    <w:rsid w:val="00F348B2"/>
    <w:rsid w:val="00F34BF0"/>
    <w:rsid w:val="00F4095A"/>
    <w:rsid w:val="00F45845"/>
    <w:rsid w:val="00F50189"/>
    <w:rsid w:val="00F508FC"/>
    <w:rsid w:val="00F54044"/>
    <w:rsid w:val="00F576E7"/>
    <w:rsid w:val="00F763FC"/>
    <w:rsid w:val="00F772C1"/>
    <w:rsid w:val="00F8026D"/>
    <w:rsid w:val="00F8245F"/>
    <w:rsid w:val="00F91629"/>
    <w:rsid w:val="00F91E2A"/>
    <w:rsid w:val="00FA153F"/>
    <w:rsid w:val="00FA1D78"/>
    <w:rsid w:val="00FA1F7E"/>
    <w:rsid w:val="00FA280F"/>
    <w:rsid w:val="00FB2186"/>
    <w:rsid w:val="00FD0133"/>
    <w:rsid w:val="00FD6206"/>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corpsdedcisionCar">
    <w:name w:val="corps de décision Car"/>
    <w:link w:val="corpsdedcision"/>
    <w:locked/>
    <w:rsid w:val="00CC739B"/>
    <w:rPr>
      <w:rFonts w:ascii="Arial" w:hAnsi="Arial"/>
      <w:sz w:val="24"/>
    </w:rPr>
  </w:style>
  <w:style w:type="paragraph" w:styleId="Textedebulles">
    <w:name w:val="Balloon Text"/>
    <w:basedOn w:val="Normal"/>
    <w:link w:val="TextedebullesCar"/>
    <w:rsid w:val="00B6297D"/>
    <w:rPr>
      <w:rFonts w:ascii="Segoe UI" w:hAnsi="Segoe UI" w:cs="Segoe UI"/>
      <w:sz w:val="18"/>
      <w:szCs w:val="18"/>
    </w:rPr>
  </w:style>
  <w:style w:type="character" w:customStyle="1" w:styleId="TextedebullesCar">
    <w:name w:val="Texte de bulles Car"/>
    <w:basedOn w:val="Policepardfaut"/>
    <w:link w:val="Textedebulles"/>
    <w:rsid w:val="00B6297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corpsdedcisionCar">
    <w:name w:val="corps de décision Car"/>
    <w:link w:val="corpsdedcision"/>
    <w:locked/>
    <w:rsid w:val="00CC739B"/>
    <w:rPr>
      <w:rFonts w:ascii="Arial" w:hAnsi="Arial"/>
      <w:sz w:val="24"/>
    </w:rPr>
  </w:style>
  <w:style w:type="paragraph" w:styleId="Textedebulles">
    <w:name w:val="Balloon Text"/>
    <w:basedOn w:val="Normal"/>
    <w:link w:val="TextedebullesCar"/>
    <w:rsid w:val="00B6297D"/>
    <w:rPr>
      <w:rFonts w:ascii="Segoe UI" w:hAnsi="Segoe UI" w:cs="Segoe UI"/>
      <w:sz w:val="18"/>
      <w:szCs w:val="18"/>
    </w:rPr>
  </w:style>
  <w:style w:type="character" w:customStyle="1" w:styleId="TextedebullesCar">
    <w:name w:val="Texte de bulles Car"/>
    <w:basedOn w:val="Policepardfaut"/>
    <w:link w:val="Textedebulles"/>
    <w:rsid w:val="00B629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1448</Words>
  <Characters>7970</Characters>
  <Application>Microsoft Office Word</Application>
  <DocSecurity>0</DocSecurity>
  <Lines>66</Lines>
  <Paragraphs>18</Paragraphs>
  <ScaleCrop>false</ScaleCrop>
  <Company/>
  <LinksUpToDate>false</LinksUpToDate>
  <CharactersWithSpaces>9400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2019-05-07T12:07:00Z</dcterms:created>
  <dcterms:modified xsi:type="dcterms:W3CDTF">2019-05-07T12:07:00Z</dcterms:modified>
</cp:coreProperties>
</file>