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4E1301" w:rsidRDefault="004E1301" w:rsidP="004E1301">
            <w:pPr>
              <w:pStyle w:val="zSoquijdatRepertorie"/>
              <w:rPr>
                <w:rFonts w:cs="Arial"/>
              </w:rPr>
            </w:pPr>
            <w:bookmarkStart w:id="0" w:name="_GoBack"/>
            <w:bookmarkEnd w:id="0"/>
            <w:r>
              <w:rPr>
                <w:rFonts w:cs="Arial"/>
              </w:rPr>
              <w:t>Perreault-Saule et District 31 IV inc.</w:t>
            </w:r>
          </w:p>
        </w:tc>
        <w:tc>
          <w:tcPr>
            <w:tcW w:w="2477" w:type="dxa"/>
          </w:tcPr>
          <w:p w:rsidR="008A7FD1" w:rsidRPr="00891A89" w:rsidRDefault="00891A89" w:rsidP="00891A89">
            <w:pPr>
              <w:pStyle w:val="zSoquijdatRefNeutre"/>
              <w:rPr>
                <w:rFonts w:cs="Arial"/>
              </w:rPr>
            </w:pPr>
            <w:r w:rsidRPr="00891A89">
              <w:rPr>
                <w:rFonts w:cs="Arial"/>
              </w:rPr>
              <w:t>2022 QCTAT 1236</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8C49CE"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8C49CE" w:rsidP="00F4095A">
            <w:pPr>
              <w:pStyle w:val="zSoquijdatGreffe"/>
            </w:pPr>
            <w:r>
              <w:t>Montréal</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t> :</w:t>
            </w:r>
          </w:p>
        </w:tc>
        <w:tc>
          <w:tcPr>
            <w:tcW w:w="5954" w:type="dxa"/>
            <w:gridSpan w:val="3"/>
          </w:tcPr>
          <w:p w:rsidR="00C74B6F" w:rsidRDefault="008C49CE" w:rsidP="00AE03F0">
            <w:pPr>
              <w:pStyle w:val="zSoquijdatNoDossier"/>
            </w:pPr>
            <w:r>
              <w:t>746513</w:t>
            </w:r>
            <w:r w:rsidR="00AE03F0">
              <w:t>-</w:t>
            </w:r>
            <w:r>
              <w:t>71</w:t>
            </w:r>
            <w:r w:rsidR="00AE03F0">
              <w:t>-</w:t>
            </w:r>
            <w:r>
              <w:t>2010</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45114F">
            <w:pPr>
              <w:ind w:right="46"/>
            </w:pPr>
            <w:r>
              <w:t xml:space="preserve">Dossier </w:t>
            </w:r>
            <w:r w:rsidR="008C49CE" w:rsidRPr="008C49CE">
              <w:rPr>
                <w:szCs w:val="24"/>
              </w:rPr>
              <w:t>CNESST</w:t>
            </w:r>
            <w:r w:rsidRPr="008C79A7">
              <w:rPr>
                <w:szCs w:val="24"/>
              </w:rPr>
              <w:t xml:space="preserve"> :</w:t>
            </w:r>
          </w:p>
        </w:tc>
        <w:tc>
          <w:tcPr>
            <w:tcW w:w="5954" w:type="dxa"/>
            <w:gridSpan w:val="3"/>
          </w:tcPr>
          <w:p w:rsidR="00C74B6F" w:rsidRDefault="008C49CE" w:rsidP="004D6CEA">
            <w:pPr>
              <w:pStyle w:val="zSoquijdatNCSST"/>
            </w:pPr>
            <w:r>
              <w:t>507</w:t>
            </w:r>
            <w:r w:rsidR="00AE03F0">
              <w:t>106</w:t>
            </w:r>
            <w:r>
              <w:t>367</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8C49CE" w:rsidP="006E3DD8">
            <w:pPr>
              <w:tabs>
                <w:tab w:val="left" w:pos="2672"/>
              </w:tabs>
            </w:pPr>
            <w:r>
              <w:t>Montréal</w:t>
            </w:r>
            <w:r w:rsidR="00C04E32">
              <w:t>,</w:t>
            </w:r>
          </w:p>
        </w:tc>
        <w:tc>
          <w:tcPr>
            <w:tcW w:w="5954" w:type="dxa"/>
            <w:gridSpan w:val="3"/>
          </w:tcPr>
          <w:p w:rsidR="006E3DD8" w:rsidRDefault="00C04E32" w:rsidP="0050652A">
            <w:pPr>
              <w:pStyle w:val="zSoquijdatDateJugement"/>
            </w:pPr>
            <w:r>
              <w:t xml:space="preserve">le </w:t>
            </w:r>
            <w:r w:rsidR="0050652A">
              <w:t>14</w:t>
            </w:r>
            <w:r w:rsidR="00AE03F0">
              <w:t> </w:t>
            </w:r>
            <w:r w:rsidR="008C49CE">
              <w:t>mars 2022</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8C49CE">
            <w:pPr>
              <w:rPr>
                <w:b/>
                <w:bCs/>
              </w:rPr>
            </w:pPr>
            <w:bookmarkStart w:id="4" w:name="ref_commissaire" w:colFirst="1" w:colLast="1"/>
            <w:r w:rsidRPr="00942AB8">
              <w:rPr>
                <w:b/>
                <w:bCs/>
              </w:rPr>
              <w:t>DEVANT L</w:t>
            </w:r>
            <w:r w:rsidR="008C49CE">
              <w:rPr>
                <w:b/>
                <w:bCs/>
              </w:rPr>
              <w:t>E</w:t>
            </w:r>
            <w:r w:rsidRPr="00942AB8">
              <w:rPr>
                <w:b/>
                <w:bCs/>
              </w:rPr>
              <w:t xml:space="preserve"> JUGE ADMINISTRATI</w:t>
            </w:r>
            <w:r w:rsidR="008C49CE">
              <w:rPr>
                <w:b/>
                <w:bCs/>
              </w:rPr>
              <w:t>F</w:t>
            </w:r>
            <w:r w:rsidRPr="00942AB8">
              <w:rPr>
                <w:b/>
                <w:bCs/>
              </w:rPr>
              <w:t> :</w:t>
            </w:r>
          </w:p>
        </w:tc>
        <w:tc>
          <w:tcPr>
            <w:tcW w:w="4111" w:type="dxa"/>
          </w:tcPr>
          <w:p w:rsidR="0035375B" w:rsidRPr="00942AB8" w:rsidRDefault="008C49CE" w:rsidP="005B5689">
            <w:pPr>
              <w:pStyle w:val="zSoquijdatJuge"/>
              <w:rPr>
                <w:bCs/>
              </w:rPr>
            </w:pPr>
            <w:r>
              <w:t>Jean-François Martel</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8C49CE">
            <w:pPr>
              <w:pStyle w:val="zSoquijdatNomPartieDem"/>
              <w:rPr>
                <w:b/>
              </w:rPr>
            </w:pPr>
            <w:r>
              <w:rPr>
                <w:b/>
              </w:rPr>
              <w:t>Paskal Perreault-Saule</w:t>
            </w:r>
          </w:p>
        </w:tc>
        <w:tc>
          <w:tcPr>
            <w:tcW w:w="4820" w:type="dxa"/>
            <w:gridSpan w:val="2"/>
          </w:tcPr>
          <w:p w:rsidR="00942AB8" w:rsidRDefault="00942AB8"/>
        </w:tc>
      </w:tr>
      <w:tr w:rsidR="00942AB8" w:rsidTr="00D40ABA">
        <w:tc>
          <w:tcPr>
            <w:tcW w:w="4748" w:type="dxa"/>
            <w:gridSpan w:val="2"/>
          </w:tcPr>
          <w:p w:rsidR="00942AB8" w:rsidRDefault="008C49CE" w:rsidP="007B0DF2">
            <w:pPr>
              <w:pStyle w:val="zSoquijdatQtePartieDem"/>
              <w:tabs>
                <w:tab w:val="left" w:pos="3539"/>
              </w:tabs>
              <w:ind w:left="708"/>
            </w:pPr>
            <w:bookmarkStart w:id="6" w:name="partie_demanderesse"/>
            <w:bookmarkEnd w:id="6"/>
            <w:r>
              <w:t>Partie demanderesse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8C49CE" w:rsidP="00D06652">
            <w:pPr>
              <w:pStyle w:val="zSoquijlblLienParties"/>
            </w:pPr>
            <w:r>
              <w:t>et</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8C49CE" w:rsidP="00AE03F0">
            <w:pPr>
              <w:pStyle w:val="zSoquijdatNomPartieDef"/>
              <w:rPr>
                <w:b/>
              </w:rPr>
            </w:pPr>
            <w:r>
              <w:rPr>
                <w:b/>
              </w:rPr>
              <w:t>DISTRICT</w:t>
            </w:r>
            <w:r w:rsidR="00AE03F0">
              <w:rPr>
                <w:b/>
              </w:rPr>
              <w:t> </w:t>
            </w:r>
            <w:r>
              <w:rPr>
                <w:b/>
              </w:rPr>
              <w:t xml:space="preserve">31 IV </w:t>
            </w:r>
            <w:r w:rsidR="00CB43D3">
              <w:rPr>
                <w:b/>
              </w:rPr>
              <w:t>INC</w:t>
            </w:r>
            <w:r>
              <w:rPr>
                <w:b/>
              </w:rPr>
              <w:t>.</w:t>
            </w:r>
          </w:p>
        </w:tc>
        <w:tc>
          <w:tcPr>
            <w:tcW w:w="4820" w:type="dxa"/>
            <w:gridSpan w:val="2"/>
          </w:tcPr>
          <w:p w:rsidR="00942AB8" w:rsidRDefault="00942AB8"/>
        </w:tc>
      </w:tr>
      <w:tr w:rsidR="00942AB8" w:rsidTr="00D40ABA">
        <w:tc>
          <w:tcPr>
            <w:tcW w:w="4748" w:type="dxa"/>
            <w:gridSpan w:val="2"/>
          </w:tcPr>
          <w:p w:rsidR="00942AB8" w:rsidRDefault="008C49CE">
            <w:pPr>
              <w:pStyle w:val="zSoquijdatQtePartieDef"/>
              <w:ind w:left="708"/>
            </w:pPr>
            <w:r>
              <w:t>Partie mise en cause</w:t>
            </w:r>
          </w:p>
        </w:tc>
        <w:tc>
          <w:tcPr>
            <w:tcW w:w="4820" w:type="dxa"/>
            <w:gridSpan w:val="2"/>
          </w:tcPr>
          <w:p w:rsidR="00942AB8" w:rsidRDefault="00942AB8"/>
        </w:tc>
      </w:tr>
      <w:tr w:rsidR="00942AB8" w:rsidTr="00D40ABA">
        <w:tc>
          <w:tcPr>
            <w:tcW w:w="4748" w:type="dxa"/>
            <w:gridSpan w:val="2"/>
          </w:tcPr>
          <w:p w:rsidR="00942AB8" w:rsidRDefault="00942AB8"/>
        </w:tc>
        <w:tc>
          <w:tcPr>
            <w:tcW w:w="4820" w:type="dxa"/>
            <w:gridSpan w:val="2"/>
          </w:tcPr>
          <w:p w:rsidR="00942AB8" w:rsidRDefault="00942AB8"/>
        </w:tc>
      </w:tr>
    </w:tbl>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7" w:name="decision"/>
      <w:r w:rsidRPr="005B0612">
        <w:rPr>
          <w:b/>
          <w:bCs/>
        </w:rPr>
        <w:t>DÉCISION</w:t>
      </w:r>
      <w:bookmarkEnd w:id="7"/>
    </w:p>
    <w:p w:rsidR="00C74B6F" w:rsidRDefault="00C74B6F" w:rsidP="00AE03F0">
      <w:pPr>
        <w:spacing w:after="360"/>
        <w:jc w:val="center"/>
      </w:pPr>
      <w:r>
        <w:t>______________________________________________________________________</w:t>
      </w:r>
    </w:p>
    <w:p w:rsidR="00082A97" w:rsidRPr="00B51F99" w:rsidRDefault="00082A97" w:rsidP="00F10236">
      <w:pPr>
        <w:pStyle w:val="corpsdedcision"/>
        <w:numPr>
          <w:ilvl w:val="0"/>
          <w:numId w:val="0"/>
        </w:numPr>
        <w:rPr>
          <w:u w:val="single"/>
        </w:rPr>
      </w:pPr>
      <w:r>
        <w:rPr>
          <w:b/>
          <w:bCs/>
          <w:u w:val="single"/>
        </w:rPr>
        <w:t>L’APERÇU</w:t>
      </w:r>
    </w:p>
    <w:p w:rsidR="00C74B6F" w:rsidRDefault="0086224E">
      <w:pPr>
        <w:pStyle w:val="corpsdedcision"/>
      </w:pPr>
      <w:r>
        <w:t xml:space="preserve">Le travailleur </w:t>
      </w:r>
      <w:r w:rsidR="003E056E">
        <w:t xml:space="preserve">a subi une </w:t>
      </w:r>
      <w:r w:rsidR="003E056E" w:rsidRPr="00A81768">
        <w:t>lésion professionnelle</w:t>
      </w:r>
      <w:r w:rsidR="003E056E">
        <w:t xml:space="preserve"> le 8</w:t>
      </w:r>
      <w:r w:rsidR="00AE03F0">
        <w:t> </w:t>
      </w:r>
      <w:r w:rsidR="003E056E">
        <w:t>août 2019</w:t>
      </w:r>
      <w:r w:rsidR="00243B5C">
        <w:rPr>
          <w:rStyle w:val="Appelnotedebasdep"/>
        </w:rPr>
        <w:footnoteReference w:id="1"/>
      </w:r>
      <w:r w:rsidR="003E056E">
        <w:t xml:space="preserve"> par le fait de son travail de </w:t>
      </w:r>
      <w:r w:rsidR="00CE425B" w:rsidRPr="00B4316F">
        <w:rPr>
          <w:rStyle w:val="Citationintgre"/>
          <w:i w:val="0"/>
        </w:rPr>
        <w:t>«</w:t>
      </w:r>
      <w:r w:rsidR="00AE03F0">
        <w:rPr>
          <w:rStyle w:val="Citationintgre"/>
        </w:rPr>
        <w:t> </w:t>
      </w:r>
      <w:r w:rsidR="003E056E" w:rsidRPr="00CE425B">
        <w:rPr>
          <w:rStyle w:val="Citationintgre"/>
        </w:rPr>
        <w:t>preneur de son</w:t>
      </w:r>
      <w:r w:rsidR="00AE03F0" w:rsidRPr="00B4316F">
        <w:rPr>
          <w:rStyle w:val="Citationintgre"/>
          <w:i w:val="0"/>
        </w:rPr>
        <w:t> </w:t>
      </w:r>
      <w:r w:rsidR="00CE425B" w:rsidRPr="00B4316F">
        <w:rPr>
          <w:rStyle w:val="Citationintgre"/>
          <w:i w:val="0"/>
        </w:rPr>
        <w:t>»</w:t>
      </w:r>
      <w:r w:rsidR="003E056E">
        <w:t xml:space="preserve"> pour le compte de l’</w:t>
      </w:r>
      <w:r w:rsidR="003E056E" w:rsidRPr="00A81768">
        <w:t>employeur</w:t>
      </w:r>
      <w:r w:rsidR="003E056E">
        <w:t>.</w:t>
      </w:r>
    </w:p>
    <w:p w:rsidR="003E056E" w:rsidRDefault="003E056E">
      <w:pPr>
        <w:pStyle w:val="corpsdedcision"/>
      </w:pPr>
      <w:r>
        <w:t xml:space="preserve">La </w:t>
      </w:r>
      <w:r w:rsidR="00021122">
        <w:t xml:space="preserve">Commission des normes, de l’équité, de la santé et de la sécurité du travail </w:t>
      </w:r>
      <w:r>
        <w:t>a déterminé le montant de l’</w:t>
      </w:r>
      <w:r w:rsidRPr="00A81768">
        <w:t>indemnité de remplacement du revenu</w:t>
      </w:r>
      <w:r>
        <w:t xml:space="preserve"> à laquelle le travailleur a droit sur la base d’un revenu brut annuel de 26</w:t>
      </w:r>
      <w:r w:rsidR="00AE03F0">
        <w:t> </w:t>
      </w:r>
      <w:r>
        <w:t>070,00</w:t>
      </w:r>
      <w:r w:rsidRPr="00A81768">
        <w:t> $</w:t>
      </w:r>
      <w:r>
        <w:t>, soit le salaire minimum assurable à l’époque pertinente.</w:t>
      </w:r>
    </w:p>
    <w:p w:rsidR="003E056E" w:rsidRDefault="003E056E">
      <w:pPr>
        <w:pStyle w:val="corpsdedcision"/>
      </w:pPr>
      <w:r>
        <w:t>Le travailleur conteste cette détermination et demande au Tribunal de déclarer que le montant de l’</w:t>
      </w:r>
      <w:r w:rsidRPr="00A81768">
        <w:t>indemnité de remplacement du revenu</w:t>
      </w:r>
      <w:r>
        <w:t xml:space="preserve"> à laquelle il a droit doit être établi sur la base de l’un ou l’autre de</w:t>
      </w:r>
      <w:r w:rsidR="000A1724">
        <w:t>s</w:t>
      </w:r>
      <w:r>
        <w:t xml:space="preserve"> </w:t>
      </w:r>
      <w:r w:rsidR="000A1724">
        <w:t>revenus bruts annuels suivants :</w:t>
      </w:r>
    </w:p>
    <w:p w:rsidR="000A1724" w:rsidRDefault="000A1724" w:rsidP="00605861">
      <w:pPr>
        <w:pStyle w:val="corpsdedcision"/>
        <w:numPr>
          <w:ilvl w:val="0"/>
          <w:numId w:val="12"/>
        </w:numPr>
      </w:pPr>
      <w:r>
        <w:t>90</w:t>
      </w:r>
      <w:r w:rsidR="00AE03F0">
        <w:t> </w:t>
      </w:r>
      <w:r>
        <w:t>213,63</w:t>
      </w:r>
      <w:r w:rsidRPr="00A81768">
        <w:t> $</w:t>
      </w:r>
      <w:r>
        <w:t>, réduit à 76</w:t>
      </w:r>
      <w:r w:rsidR="00AE03F0">
        <w:t> </w:t>
      </w:r>
      <w:r>
        <w:t>500,00</w:t>
      </w:r>
      <w:r w:rsidRPr="00A81768">
        <w:t> $</w:t>
      </w:r>
      <w:r>
        <w:t xml:space="preserve"> pour tenir compte du maximum annuel assurable en vertu de la </w:t>
      </w:r>
      <w:r w:rsidRPr="009735CA">
        <w:rPr>
          <w:i/>
        </w:rPr>
        <w:t>Loi sur les accidents du travail et les maladies professionnelles</w:t>
      </w:r>
      <w:r w:rsidRPr="009735CA">
        <w:rPr>
          <w:vertAlign w:val="superscript"/>
        </w:rPr>
        <w:footnoteReference w:id="2"/>
      </w:r>
      <w:r>
        <w:t>, la Loi</w:t>
      </w:r>
      <w:r w:rsidR="00AE03F0">
        <w:t> </w:t>
      </w:r>
      <w:r>
        <w:t>;</w:t>
      </w:r>
    </w:p>
    <w:p w:rsidR="000A1724" w:rsidRDefault="000A1724" w:rsidP="00605861">
      <w:pPr>
        <w:pStyle w:val="corpsdedcision"/>
        <w:numPr>
          <w:ilvl w:val="0"/>
          <w:numId w:val="12"/>
        </w:numPr>
      </w:pPr>
      <w:r>
        <w:t>77</w:t>
      </w:r>
      <w:r w:rsidR="00AE03F0">
        <w:t> </w:t>
      </w:r>
      <w:r>
        <w:t>992,20</w:t>
      </w:r>
      <w:r w:rsidRPr="00A81768">
        <w:t> $</w:t>
      </w:r>
      <w:r>
        <w:t xml:space="preserve">, </w:t>
      </w:r>
      <w:r w:rsidR="00605861">
        <w:t xml:space="preserve">également </w:t>
      </w:r>
      <w:r>
        <w:t>réduit à 76</w:t>
      </w:r>
      <w:r w:rsidR="00AE03F0">
        <w:t> </w:t>
      </w:r>
      <w:r>
        <w:t>500,00</w:t>
      </w:r>
      <w:r w:rsidRPr="00A81768">
        <w:t> $</w:t>
      </w:r>
      <w:r>
        <w:t xml:space="preserve"> pour tenir compte du maximum annuel assurable en vertu de la Loi</w:t>
      </w:r>
      <w:r w:rsidR="00AE03F0">
        <w:t> </w:t>
      </w:r>
      <w:r>
        <w:t>;</w:t>
      </w:r>
    </w:p>
    <w:p w:rsidR="000A1724" w:rsidRDefault="000A1724" w:rsidP="00605861">
      <w:pPr>
        <w:pStyle w:val="corpsdedcision"/>
        <w:numPr>
          <w:ilvl w:val="0"/>
          <w:numId w:val="12"/>
        </w:numPr>
      </w:pPr>
      <w:r>
        <w:t>66</w:t>
      </w:r>
      <w:r w:rsidR="00AE03F0">
        <w:t> </w:t>
      </w:r>
      <w:r>
        <w:t>853,80</w:t>
      </w:r>
      <w:r w:rsidRPr="00A81768">
        <w:t> $</w:t>
      </w:r>
      <w:r w:rsidR="00AE03F0">
        <w:t> </w:t>
      </w:r>
      <w:r>
        <w:t>; ou</w:t>
      </w:r>
    </w:p>
    <w:p w:rsidR="000A1724" w:rsidRDefault="000A1724" w:rsidP="00605861">
      <w:pPr>
        <w:pStyle w:val="corpsdedcision"/>
        <w:numPr>
          <w:ilvl w:val="0"/>
          <w:numId w:val="12"/>
        </w:numPr>
      </w:pPr>
      <w:r>
        <w:t>59</w:t>
      </w:r>
      <w:r w:rsidR="00AE03F0">
        <w:t> </w:t>
      </w:r>
      <w:r>
        <w:t>054,19</w:t>
      </w:r>
      <w:r w:rsidRPr="00A81768">
        <w:t> $</w:t>
      </w:r>
      <w:r>
        <w:t>.</w:t>
      </w:r>
    </w:p>
    <w:p w:rsidR="000A1724" w:rsidRDefault="000A1724" w:rsidP="000A1724">
      <w:pPr>
        <w:pStyle w:val="corpsdedcision"/>
      </w:pPr>
      <w:r>
        <w:t>Une audience virtuelle a été tenue le 22</w:t>
      </w:r>
      <w:r w:rsidR="00AE03F0">
        <w:t> </w:t>
      </w:r>
      <w:r>
        <w:t>février 2022. Le travailleur y a participé assisté de son avocat.</w:t>
      </w:r>
      <w:r w:rsidR="00605861">
        <w:t xml:space="preserve"> Bien que dûment convoqué, l’</w:t>
      </w:r>
      <w:r w:rsidR="00605861" w:rsidRPr="00A81768">
        <w:t>employeur</w:t>
      </w:r>
      <w:r w:rsidR="00605861">
        <w:t xml:space="preserve"> n’a mandaté personne pour le représenter à l’audience et n’a pas justifié son absence, de sorte que quant à lui l’affaire a été instruite et la présente décision est rendue conformément à l’article</w:t>
      </w:r>
      <w:r w:rsidR="00AE03F0">
        <w:t> </w:t>
      </w:r>
      <w:r w:rsidR="00605861">
        <w:t xml:space="preserve">38 de la </w:t>
      </w:r>
      <w:r w:rsidR="00605861" w:rsidRPr="009C7BE1">
        <w:rPr>
          <w:i/>
        </w:rPr>
        <w:t>Loi instituant le tribunal administratif du travail</w:t>
      </w:r>
      <w:r w:rsidR="00A40967">
        <w:t xml:space="preserve">, la </w:t>
      </w:r>
      <w:r w:rsidR="00605861" w:rsidRPr="009C7BE1">
        <w:t>LITAT</w:t>
      </w:r>
      <w:r w:rsidR="00605861" w:rsidRPr="009C7BE1">
        <w:rPr>
          <w:rStyle w:val="Appelnotedebasdep"/>
        </w:rPr>
        <w:footnoteReference w:id="3"/>
      </w:r>
      <w:r w:rsidR="00605861">
        <w:t>.</w:t>
      </w:r>
    </w:p>
    <w:p w:rsidR="00605861" w:rsidRDefault="00605861" w:rsidP="000A1724">
      <w:pPr>
        <w:pStyle w:val="corpsdedcision"/>
      </w:pPr>
      <w:r>
        <w:t xml:space="preserve">Pour les motifs énoncés dans les </w:t>
      </w:r>
      <w:r w:rsidRPr="00A81768">
        <w:t>paragraphe</w:t>
      </w:r>
      <w:r>
        <w:t>s qui suivent, le Tribunal juge que l’</w:t>
      </w:r>
      <w:r w:rsidRPr="00A81768">
        <w:t>indemnité de remplacement du revenu</w:t>
      </w:r>
      <w:r>
        <w:t xml:space="preserve"> à laquelle le travailleur a droit doit être établie sur la base d’un revenu annuel brut de </w:t>
      </w:r>
      <w:r w:rsidR="005C0E1D">
        <w:t>76</w:t>
      </w:r>
      <w:r w:rsidR="00AE03F0">
        <w:t> </w:t>
      </w:r>
      <w:r w:rsidR="005C0E1D">
        <w:t>500,00</w:t>
      </w:r>
      <w:r w:rsidR="005C0E1D" w:rsidRPr="00A81768">
        <w:t> $</w:t>
      </w:r>
      <w:r w:rsidR="005C0E1D">
        <w:t>, compte tenu du maximum annuel assurable en vigueur à l’époque pertinente. La contestation du travailleur doit donc être accueillie</w:t>
      </w:r>
      <w:r w:rsidR="00A44348">
        <w:t>. Le</w:t>
      </w:r>
      <w:r w:rsidR="005C0E1D">
        <w:t xml:space="preserve"> dossier </w:t>
      </w:r>
      <w:r w:rsidR="00A44348">
        <w:t xml:space="preserve">est </w:t>
      </w:r>
      <w:r w:rsidR="005C0E1D">
        <w:t>retourné à la Commission pour qu’elle détermine l’</w:t>
      </w:r>
      <w:r w:rsidR="005C0E1D" w:rsidRPr="00A81768">
        <w:t>indemnité de remplacement du revenu</w:t>
      </w:r>
      <w:r w:rsidR="005C0E1D">
        <w:t xml:space="preserve"> en conséquence et procède aux ajustement</w:t>
      </w:r>
      <w:r w:rsidR="00A44348">
        <w:t>s</w:t>
      </w:r>
      <w:r w:rsidR="005C0E1D">
        <w:t xml:space="preserve"> requis.</w:t>
      </w:r>
    </w:p>
    <w:p w:rsidR="00082A97" w:rsidRDefault="00082A97" w:rsidP="00F10236">
      <w:pPr>
        <w:pStyle w:val="corpsdedcision"/>
        <w:numPr>
          <w:ilvl w:val="0"/>
          <w:numId w:val="0"/>
        </w:numPr>
        <w:rPr>
          <w:b/>
          <w:bCs/>
          <w:u w:val="single"/>
        </w:rPr>
      </w:pPr>
      <w:r w:rsidRPr="00B51F99">
        <w:rPr>
          <w:b/>
          <w:bCs/>
          <w:u w:val="single"/>
        </w:rPr>
        <w:t>L</w:t>
      </w:r>
      <w:r>
        <w:rPr>
          <w:b/>
          <w:bCs/>
          <w:u w:val="single"/>
        </w:rPr>
        <w:t>’ANALYSE</w:t>
      </w:r>
    </w:p>
    <w:p w:rsidR="004C2944" w:rsidRDefault="001631F3" w:rsidP="00C72911">
      <w:pPr>
        <w:pStyle w:val="corpsdedcision"/>
      </w:pPr>
      <w:r>
        <w:t>Le Tribunal doit déterminer le revenu annuel brut sur la base duquel l’</w:t>
      </w:r>
      <w:r w:rsidRPr="00A81768">
        <w:t>indemnité de remplacement du revenu</w:t>
      </w:r>
      <w:r>
        <w:t xml:space="preserve"> à laquelle le travailleur a droit doit être calculée.</w:t>
      </w:r>
    </w:p>
    <w:p w:rsidR="00A75D93" w:rsidRDefault="00A75D93" w:rsidP="00AE03F0">
      <w:pPr>
        <w:pStyle w:val="corpsdedcision"/>
        <w:keepNext/>
      </w:pPr>
      <w:r>
        <w:t>La Loi prévoit :</w:t>
      </w:r>
    </w:p>
    <w:p w:rsidR="00A75D93" w:rsidRDefault="00A75D93" w:rsidP="009D192D">
      <w:pPr>
        <w:pStyle w:val="corpsdedcision"/>
        <w:numPr>
          <w:ilvl w:val="0"/>
          <w:numId w:val="13"/>
        </w:numPr>
        <w:tabs>
          <w:tab w:val="clear" w:pos="720"/>
          <w:tab w:val="left" w:pos="1276"/>
        </w:tabs>
        <w:ind w:left="1276" w:hanging="567"/>
      </w:pPr>
      <w:r>
        <w:t>à l’article</w:t>
      </w:r>
      <w:r w:rsidR="00AE03F0">
        <w:t> </w:t>
      </w:r>
      <w:r>
        <w:t xml:space="preserve">44, que </w:t>
      </w:r>
      <w:r w:rsidRPr="00B4316F">
        <w:rPr>
          <w:rStyle w:val="Citationintgre"/>
          <w:i w:val="0"/>
        </w:rPr>
        <w:t>«</w:t>
      </w:r>
      <w:r w:rsidR="00AE03F0">
        <w:rPr>
          <w:rStyle w:val="Citationintgre"/>
        </w:rPr>
        <w:t> </w:t>
      </w:r>
      <w:r w:rsidRPr="00A75D93">
        <w:rPr>
          <w:rStyle w:val="Citationintgre"/>
        </w:rPr>
        <w:t>le travailleur victime d’une lésion professionnelle a droit à une indemnité de remplacement du revenu</w:t>
      </w:r>
      <w:r w:rsidR="00AE03F0">
        <w:rPr>
          <w:rStyle w:val="Citationintgre"/>
        </w:rPr>
        <w:t> </w:t>
      </w:r>
      <w:r w:rsidRPr="00B4316F">
        <w:rPr>
          <w:rStyle w:val="Citationintgre"/>
          <w:i w:val="0"/>
        </w:rPr>
        <w:t>»</w:t>
      </w:r>
      <w:r w:rsidR="00AE03F0">
        <w:rPr>
          <w:rStyle w:val="Citationintgre"/>
        </w:rPr>
        <w:t> </w:t>
      </w:r>
      <w:r>
        <w:t>;</w:t>
      </w:r>
    </w:p>
    <w:p w:rsidR="00A75D93" w:rsidRDefault="00A75D93" w:rsidP="009D192D">
      <w:pPr>
        <w:pStyle w:val="corpsdedcision"/>
        <w:numPr>
          <w:ilvl w:val="0"/>
          <w:numId w:val="13"/>
        </w:numPr>
        <w:tabs>
          <w:tab w:val="clear" w:pos="720"/>
          <w:tab w:val="left" w:pos="1276"/>
        </w:tabs>
        <w:ind w:left="1276" w:hanging="567"/>
      </w:pPr>
      <w:r>
        <w:t>à l’article</w:t>
      </w:r>
      <w:r w:rsidR="00AE03F0">
        <w:t> </w:t>
      </w:r>
      <w:r>
        <w:t xml:space="preserve">45, que telle indemnité </w:t>
      </w:r>
      <w:r w:rsidRPr="00B4316F">
        <w:rPr>
          <w:rStyle w:val="Citationintgre"/>
          <w:i w:val="0"/>
        </w:rPr>
        <w:t>«</w:t>
      </w:r>
      <w:r w:rsidR="00AE03F0">
        <w:rPr>
          <w:rStyle w:val="Citationintgre"/>
        </w:rPr>
        <w:t> </w:t>
      </w:r>
      <w:r w:rsidRPr="00A75D93">
        <w:rPr>
          <w:rStyle w:val="Citationintgre"/>
        </w:rPr>
        <w:t xml:space="preserve">est égale à 90 % du revenu net retenu que le travailleur tire </w:t>
      </w:r>
      <w:r w:rsidRPr="00A75D93">
        <w:rPr>
          <w:rStyle w:val="Citationintgre"/>
          <w:u w:val="single"/>
        </w:rPr>
        <w:t>annuellement</w:t>
      </w:r>
      <w:r w:rsidRPr="00A75D93">
        <w:rPr>
          <w:rStyle w:val="Citationintgre"/>
        </w:rPr>
        <w:t xml:space="preserve"> de son emploi</w:t>
      </w:r>
      <w:r w:rsidR="00AE03F0">
        <w:rPr>
          <w:rStyle w:val="Citationintgre"/>
        </w:rPr>
        <w:t> </w:t>
      </w:r>
      <w:r w:rsidRPr="00B4316F">
        <w:rPr>
          <w:rStyle w:val="Citationintgre"/>
          <w:i w:val="0"/>
        </w:rPr>
        <w:t>»</w:t>
      </w:r>
      <w:r w:rsidR="00021122">
        <w:rPr>
          <w:rStyle w:val="Citationintgre"/>
          <w:i w:val="0"/>
        </w:rPr>
        <w:t xml:space="preserve"> [Notre soulignement]</w:t>
      </w:r>
      <w:r w:rsidR="00AE03F0">
        <w:rPr>
          <w:rStyle w:val="Citationintgre"/>
        </w:rPr>
        <w:t> </w:t>
      </w:r>
      <w:r>
        <w:t>;</w:t>
      </w:r>
    </w:p>
    <w:p w:rsidR="00A75D93" w:rsidRDefault="00A75D93" w:rsidP="009D192D">
      <w:pPr>
        <w:pStyle w:val="corpsdedcision"/>
        <w:numPr>
          <w:ilvl w:val="0"/>
          <w:numId w:val="13"/>
        </w:numPr>
        <w:tabs>
          <w:tab w:val="clear" w:pos="720"/>
          <w:tab w:val="left" w:pos="1276"/>
        </w:tabs>
        <w:ind w:left="1276" w:hanging="567"/>
      </w:pPr>
      <w:r>
        <w:t>à l’article</w:t>
      </w:r>
      <w:r w:rsidR="00AE03F0">
        <w:t> </w:t>
      </w:r>
      <w:r>
        <w:t>63, que «</w:t>
      </w:r>
      <w:r w:rsidR="00AE03F0">
        <w:t> </w:t>
      </w:r>
      <w:r w:rsidRPr="00B4316F">
        <w:rPr>
          <w:rStyle w:val="Citationintgre"/>
        </w:rPr>
        <w:t>le revenu net que le travailleur tire annuellement de son emploi est égal à son revenu brut annuel d’emploi moins</w:t>
      </w:r>
      <w:r w:rsidR="00AE03F0" w:rsidRPr="00B4316F">
        <w:rPr>
          <w:rStyle w:val="Citationintgre"/>
        </w:rPr>
        <w:t> </w:t>
      </w:r>
      <w:r>
        <w:t>»</w:t>
      </w:r>
      <w:r w:rsidR="00BA4165">
        <w:t xml:space="preserve"> certaines déductions pondérées qui y sont énumérées</w:t>
      </w:r>
      <w:r w:rsidR="0050652A">
        <w:t>.</w:t>
      </w:r>
    </w:p>
    <w:p w:rsidR="00A75D93" w:rsidRDefault="0005034C" w:rsidP="0050652A">
      <w:pPr>
        <w:pStyle w:val="corpsdedcision"/>
      </w:pPr>
      <w:r>
        <w:t>Quel</w:t>
      </w:r>
      <w:r w:rsidR="0050652A">
        <w:t xml:space="preserve"> est </w:t>
      </w:r>
      <w:r>
        <w:t xml:space="preserve">donc </w:t>
      </w:r>
      <w:r w:rsidR="0050652A">
        <w:t>le revenu brut annuel du travailleur deva</w:t>
      </w:r>
      <w:r>
        <w:t>nt servir de base à ces calculs</w:t>
      </w:r>
      <w:r w:rsidR="00AE03F0">
        <w:t> </w:t>
      </w:r>
      <w:r w:rsidRPr="00BD7E66">
        <w:t>?</w:t>
      </w:r>
      <w:r w:rsidR="00CB43D3">
        <w:t xml:space="preserve"> </w:t>
      </w:r>
    </w:p>
    <w:p w:rsidR="001631F3" w:rsidRDefault="001631F3" w:rsidP="00C72911">
      <w:pPr>
        <w:pStyle w:val="corpsdedcision"/>
      </w:pPr>
      <w:r>
        <w:t>Tant la Commission que le travailleur s’entendent pour affirmer que la règle de droit applicable dans le présent cas est celle énoncée à l’article</w:t>
      </w:r>
      <w:r w:rsidR="00AE03F0">
        <w:t> </w:t>
      </w:r>
      <w:r>
        <w:t>67 de la Loi</w:t>
      </w:r>
      <w:r w:rsidR="00217DA9">
        <w:t xml:space="preserve">, </w:t>
      </w:r>
      <w:r w:rsidR="00A75D93">
        <w:t>à savoir</w:t>
      </w:r>
      <w:r w:rsidR="00217DA9">
        <w:t xml:space="preserve"> </w:t>
      </w:r>
      <w:r w:rsidR="00A75D93">
        <w:t xml:space="preserve">que </w:t>
      </w:r>
      <w:r w:rsidR="00A75D93" w:rsidRPr="00B4316F">
        <w:rPr>
          <w:rStyle w:val="Citationintgre"/>
          <w:i w:val="0"/>
        </w:rPr>
        <w:t>«</w:t>
      </w:r>
      <w:r w:rsidR="00AE03F0">
        <w:rPr>
          <w:rStyle w:val="Citationintgre"/>
        </w:rPr>
        <w:t> </w:t>
      </w:r>
      <w:r w:rsidR="00A75D93" w:rsidRPr="00A75D93">
        <w:rPr>
          <w:rStyle w:val="Citationintgre"/>
        </w:rPr>
        <w:t>le revenu brut d</w:t>
      </w:r>
      <w:r w:rsidR="00AE03F0">
        <w:rPr>
          <w:rStyle w:val="Citationintgre"/>
        </w:rPr>
        <w:t>’</w:t>
      </w:r>
      <w:r w:rsidR="00A75D93" w:rsidRPr="00A75D93">
        <w:rPr>
          <w:rStyle w:val="Citationintgre"/>
        </w:rPr>
        <w:t>un travailleur est déterminé sur la base du revenu brut prévu par son contrat de travail</w:t>
      </w:r>
      <w:r w:rsidR="00AE03F0">
        <w:rPr>
          <w:rStyle w:val="Citationintgre"/>
        </w:rPr>
        <w:t> </w:t>
      </w:r>
      <w:r w:rsidR="00A75D93" w:rsidRPr="00B4316F">
        <w:rPr>
          <w:rStyle w:val="Citationintgre"/>
          <w:i w:val="0"/>
        </w:rPr>
        <w:t>»</w:t>
      </w:r>
      <w:r w:rsidR="00A75D93" w:rsidRPr="00B4316F">
        <w:rPr>
          <w:i/>
        </w:rPr>
        <w:t>.</w:t>
      </w:r>
    </w:p>
    <w:p w:rsidR="0050652A" w:rsidRDefault="00A75D93" w:rsidP="00A75D93">
      <w:pPr>
        <w:pStyle w:val="corpsdedcision"/>
      </w:pPr>
      <w:r>
        <w:t>Là où il y a</w:t>
      </w:r>
      <w:r w:rsidR="0050652A">
        <w:t xml:space="preserve"> litige, c’est sur les données</w:t>
      </w:r>
      <w:r>
        <w:t xml:space="preserve"> devant servir à </w:t>
      </w:r>
      <w:r w:rsidR="000B108B">
        <w:t xml:space="preserve">une </w:t>
      </w:r>
      <w:r>
        <w:t>telle détermination.</w:t>
      </w:r>
    </w:p>
    <w:p w:rsidR="00C72911" w:rsidRDefault="0050652A" w:rsidP="00A75D93">
      <w:pPr>
        <w:pStyle w:val="corpsdedcision"/>
      </w:pPr>
      <w:r>
        <w:t>La Commission s’est appuyée sur l’information qu’elle a obtenue de l’</w:t>
      </w:r>
      <w:r w:rsidRPr="00A81768">
        <w:t>employeur</w:t>
      </w:r>
      <w:r>
        <w:t xml:space="preserve">, </w:t>
      </w:r>
      <w:r w:rsidR="00B4544A">
        <w:t>à savoir qu’au moment où il s’est blessé, le travailleur était assujetti à un</w:t>
      </w:r>
      <w:r>
        <w:t xml:space="preserve"> contrat de travail </w:t>
      </w:r>
      <w:r w:rsidR="00B4544A">
        <w:t>d’</w:t>
      </w:r>
      <w:r>
        <w:t>une durée de</w:t>
      </w:r>
      <w:r w:rsidR="00021122">
        <w:t xml:space="preserve"> neuf </w:t>
      </w:r>
      <w:r>
        <w:t>semaines</w:t>
      </w:r>
      <w:r w:rsidR="00B4544A">
        <w:t>,</w:t>
      </w:r>
      <w:r>
        <w:t xml:space="preserve"> </w:t>
      </w:r>
      <w:r w:rsidR="00B4544A">
        <w:t>à raison de 53</w:t>
      </w:r>
      <w:r w:rsidR="00AE03F0">
        <w:t> </w:t>
      </w:r>
      <w:r w:rsidR="00B4544A">
        <w:t>heures travaillées par semaine au taux horaire de 28,57</w:t>
      </w:r>
      <w:r w:rsidR="00B4544A" w:rsidRPr="00A81768">
        <w:t> $</w:t>
      </w:r>
      <w:r w:rsidR="00B4544A">
        <w:rPr>
          <w:rStyle w:val="Appelnotedebasdep"/>
        </w:rPr>
        <w:footnoteReference w:id="4"/>
      </w:r>
      <w:r w:rsidR="00B4544A">
        <w:t>.</w:t>
      </w:r>
    </w:p>
    <w:p w:rsidR="00C72911" w:rsidRDefault="00B4544A" w:rsidP="00B4544A">
      <w:pPr>
        <w:pStyle w:val="corpsdedcision"/>
      </w:pPr>
      <w:r>
        <w:t xml:space="preserve">Sur la foi de ces données, la Commission a fait le calcul suivant : </w:t>
      </w:r>
      <w:r w:rsidRPr="00B4316F">
        <w:rPr>
          <w:rStyle w:val="Citationintgre"/>
          <w:i w:val="0"/>
        </w:rPr>
        <w:t>«</w:t>
      </w:r>
      <w:r w:rsidR="00AE03F0">
        <w:rPr>
          <w:rStyle w:val="Citationintgre"/>
        </w:rPr>
        <w:t> </w:t>
      </w:r>
      <w:r w:rsidRPr="00541198">
        <w:rPr>
          <w:rStyle w:val="Citationintgre"/>
        </w:rPr>
        <w:t>28</w:t>
      </w:r>
      <w:r w:rsidR="00AE03F0">
        <w:rPr>
          <w:rStyle w:val="Citationintgre"/>
        </w:rPr>
        <w:t>,</w:t>
      </w:r>
      <w:r w:rsidRPr="00541198">
        <w:rPr>
          <w:rStyle w:val="Citationintgre"/>
        </w:rPr>
        <w:t>57 $/heure x 53</w:t>
      </w:r>
      <w:r w:rsidR="00AE03F0">
        <w:rPr>
          <w:rStyle w:val="Citationintgre"/>
        </w:rPr>
        <w:t> </w:t>
      </w:r>
      <w:r w:rsidRPr="00541198">
        <w:rPr>
          <w:rStyle w:val="Citationintgre"/>
        </w:rPr>
        <w:t>heures</w:t>
      </w:r>
      <w:r w:rsidR="00021122">
        <w:rPr>
          <w:rStyle w:val="Citationintgre"/>
        </w:rPr>
        <w:t>/</w:t>
      </w:r>
      <w:r w:rsidRPr="00541198">
        <w:rPr>
          <w:rStyle w:val="Citationintgre"/>
        </w:rPr>
        <w:t>semaine x 9</w:t>
      </w:r>
      <w:r w:rsidR="00AE03F0">
        <w:rPr>
          <w:rStyle w:val="Citationintgre"/>
        </w:rPr>
        <w:t> </w:t>
      </w:r>
      <w:r w:rsidR="00100BB0" w:rsidRPr="00541198">
        <w:rPr>
          <w:rStyle w:val="Citationintgre"/>
        </w:rPr>
        <w:t>semaines</w:t>
      </w:r>
      <w:r w:rsidRPr="00541198">
        <w:rPr>
          <w:rStyle w:val="Citationintgre"/>
        </w:rPr>
        <w:t xml:space="preserve"> = 13</w:t>
      </w:r>
      <w:r w:rsidR="00021122">
        <w:rPr>
          <w:rStyle w:val="Citationintgre"/>
        </w:rPr>
        <w:t>,627.</w:t>
      </w:r>
      <w:r w:rsidRPr="00541198">
        <w:rPr>
          <w:rStyle w:val="Citationintgre"/>
        </w:rPr>
        <w:t>89 $</w:t>
      </w:r>
      <w:r w:rsidR="00021122">
        <w:rPr>
          <w:rStyle w:val="Citationintgre"/>
        </w:rPr>
        <w:t>/</w:t>
      </w:r>
      <w:r w:rsidR="00541198" w:rsidRPr="00541198">
        <w:rPr>
          <w:rStyle w:val="Citationintgre"/>
        </w:rPr>
        <w:t>année</w:t>
      </w:r>
      <w:r w:rsidR="00AE03F0">
        <w:rPr>
          <w:rStyle w:val="Citationintgre"/>
        </w:rPr>
        <w:t> </w:t>
      </w:r>
      <w:r w:rsidR="00541198" w:rsidRPr="00B4316F">
        <w:rPr>
          <w:rStyle w:val="Citationintgre"/>
          <w:i w:val="0"/>
        </w:rPr>
        <w:t>»</w:t>
      </w:r>
      <w:r w:rsidR="00541198" w:rsidRPr="00B4316F">
        <w:rPr>
          <w:i/>
        </w:rPr>
        <w:t>.</w:t>
      </w:r>
      <w:r w:rsidR="00541198">
        <w:t xml:space="preserve"> Vérification faite auprès d’un représentant de </w:t>
      </w:r>
      <w:r w:rsidR="00541198" w:rsidRPr="00021122">
        <w:t>l’</w:t>
      </w:r>
      <w:r w:rsidR="00541198" w:rsidRPr="004A5B5B">
        <w:rPr>
          <w:i/>
        </w:rPr>
        <w:t>Alliance québécoise des techniciens et techniciennes de l’image et du son</w:t>
      </w:r>
      <w:r w:rsidR="00541198">
        <w:t>, l’AQTIS, il est apparu qu’au cours de</w:t>
      </w:r>
      <w:r w:rsidR="00021122">
        <w:t>s</w:t>
      </w:r>
      <w:r w:rsidR="00541198">
        <w:t xml:space="preserve"> 12</w:t>
      </w:r>
      <w:r w:rsidR="00AE03F0">
        <w:t> </w:t>
      </w:r>
      <w:r w:rsidR="00541198">
        <w:t>mois précédant l’</w:t>
      </w:r>
      <w:r w:rsidR="00541198" w:rsidRPr="00A81768">
        <w:t>accident</w:t>
      </w:r>
      <w:r w:rsidR="00541198">
        <w:t xml:space="preserve"> du travail, le travailleur avait gagné </w:t>
      </w:r>
      <w:r w:rsidR="00541198" w:rsidRPr="00B4316F">
        <w:rPr>
          <w:rStyle w:val="Citationintgre"/>
          <w:i w:val="0"/>
        </w:rPr>
        <w:t>«</w:t>
      </w:r>
      <w:r w:rsidR="00AE03F0" w:rsidRPr="00B4316F">
        <w:rPr>
          <w:rStyle w:val="Citationintgre"/>
          <w:i w:val="0"/>
        </w:rPr>
        <w:t> </w:t>
      </w:r>
      <w:r w:rsidR="00541198" w:rsidRPr="00541198">
        <w:rPr>
          <w:rStyle w:val="Citationintgre"/>
        </w:rPr>
        <w:t>17</w:t>
      </w:r>
      <w:r w:rsidR="00021122">
        <w:rPr>
          <w:rStyle w:val="Citationintgre"/>
        </w:rPr>
        <w:t>,492.</w:t>
      </w:r>
      <w:r w:rsidR="00541198" w:rsidRPr="00541198">
        <w:rPr>
          <w:rStyle w:val="Citationintgre"/>
        </w:rPr>
        <w:t>33 $</w:t>
      </w:r>
      <w:r w:rsidR="00AE03F0">
        <w:rPr>
          <w:rStyle w:val="Citationintgre"/>
        </w:rPr>
        <w:t> </w:t>
      </w:r>
      <w:r w:rsidR="00541198" w:rsidRPr="00B4316F">
        <w:rPr>
          <w:rStyle w:val="Citationintgre"/>
          <w:i w:val="0"/>
        </w:rPr>
        <w:t>»</w:t>
      </w:r>
      <w:r w:rsidR="00541198" w:rsidRPr="004A5B5B">
        <w:rPr>
          <w:rStyle w:val="Appelnotedebasdep"/>
          <w:szCs w:val="24"/>
        </w:rPr>
        <w:footnoteReference w:id="5"/>
      </w:r>
      <w:r w:rsidR="00541198">
        <w:t xml:space="preserve">. Ces deux approches donnant un résultant inférieur au minimum assurable </w:t>
      </w:r>
      <w:r w:rsidR="007D725D">
        <w:t xml:space="preserve">fixé pour cette année-là à </w:t>
      </w:r>
      <w:r w:rsidR="007D725D" w:rsidRPr="00B4316F">
        <w:rPr>
          <w:rStyle w:val="Citationintgre"/>
          <w:i w:val="0"/>
        </w:rPr>
        <w:t>«</w:t>
      </w:r>
      <w:r w:rsidR="00AE03F0" w:rsidRPr="00B4316F">
        <w:rPr>
          <w:rStyle w:val="Citationintgre"/>
          <w:i w:val="0"/>
        </w:rPr>
        <w:t> </w:t>
      </w:r>
      <w:r w:rsidR="007D725D" w:rsidRPr="007D725D">
        <w:rPr>
          <w:rStyle w:val="Citationintgre"/>
        </w:rPr>
        <w:t>26</w:t>
      </w:r>
      <w:r w:rsidR="00021122">
        <w:rPr>
          <w:rStyle w:val="Citationintgre"/>
        </w:rPr>
        <w:t>,070.</w:t>
      </w:r>
      <w:r w:rsidR="007D725D" w:rsidRPr="007D725D">
        <w:rPr>
          <w:rStyle w:val="Citationintgre"/>
        </w:rPr>
        <w:t>00 $</w:t>
      </w:r>
      <w:r w:rsidR="00AE03F0">
        <w:rPr>
          <w:rStyle w:val="Citationintgre"/>
        </w:rPr>
        <w:t> </w:t>
      </w:r>
      <w:r w:rsidR="007D725D" w:rsidRPr="00B4316F">
        <w:rPr>
          <w:rStyle w:val="Citationintgre"/>
          <w:i w:val="0"/>
        </w:rPr>
        <w:t>»</w:t>
      </w:r>
      <w:r w:rsidR="007D725D">
        <w:t>, la Commission a établi le revenu brut annuel du travailleur à ce dernier montant, conformément à l’article</w:t>
      </w:r>
      <w:r w:rsidR="00AE03F0">
        <w:t> </w:t>
      </w:r>
      <w:r w:rsidR="007D725D">
        <w:t>65 de la Loi</w:t>
      </w:r>
      <w:r w:rsidR="007D725D">
        <w:rPr>
          <w:rStyle w:val="Appelnotedebasdep"/>
        </w:rPr>
        <w:footnoteReference w:id="6"/>
      </w:r>
      <w:r w:rsidR="007D725D">
        <w:t>.</w:t>
      </w:r>
    </w:p>
    <w:p w:rsidR="00C50E99" w:rsidRDefault="00F51C9C" w:rsidP="007D725D">
      <w:pPr>
        <w:pStyle w:val="corpsdedcision"/>
      </w:pPr>
      <w:r>
        <w:t>La preuve offerte devant le Tribunal sur ce point fondamental</w:t>
      </w:r>
      <w:r w:rsidRPr="00F51C9C">
        <w:t xml:space="preserve"> </w:t>
      </w:r>
      <w:r>
        <w:t xml:space="preserve">est bien différente. En effet, le contrat de travail du travailleur en vigueur au moment de son </w:t>
      </w:r>
      <w:r w:rsidRPr="00A81768">
        <w:t>accident</w:t>
      </w:r>
      <w:r w:rsidR="00CE425B">
        <w:rPr>
          <w:rStyle w:val="Appelnotedebasdep"/>
        </w:rPr>
        <w:footnoteReference w:id="7"/>
      </w:r>
      <w:r w:rsidR="00021122">
        <w:t> :</w:t>
      </w:r>
    </w:p>
    <w:p w:rsidR="00C72911" w:rsidRDefault="00F51C9C" w:rsidP="00801209">
      <w:pPr>
        <w:pStyle w:val="Dispositif"/>
        <w:numPr>
          <w:ilvl w:val="0"/>
          <w:numId w:val="14"/>
        </w:numPr>
      </w:pPr>
      <w:r w:rsidRPr="00A81768">
        <w:t>n’</w:t>
      </w:r>
      <w:r>
        <w:t xml:space="preserve">était pas d’une durée de </w:t>
      </w:r>
      <w:r w:rsidR="00021122">
        <w:t xml:space="preserve">neuf </w:t>
      </w:r>
      <w:r>
        <w:t>semaines, mais bien plutôt de 39</w:t>
      </w:r>
      <w:r w:rsidR="00AE03F0">
        <w:t> </w:t>
      </w:r>
      <w:r>
        <w:t>semaines</w:t>
      </w:r>
      <w:r w:rsidR="00A07D0C">
        <w:t>, soit du 25</w:t>
      </w:r>
      <w:r w:rsidR="00AE03F0">
        <w:t> </w:t>
      </w:r>
      <w:r w:rsidR="00A07D0C">
        <w:t>juillet 2019 au 24</w:t>
      </w:r>
      <w:r w:rsidR="00AE03F0">
        <w:t> </w:t>
      </w:r>
      <w:r w:rsidR="00A07D0C">
        <w:t>avril 2020</w:t>
      </w:r>
      <w:r w:rsidR="00AE03F0">
        <w:t> </w:t>
      </w:r>
      <w:r w:rsidR="00C50E99">
        <w:t>;</w:t>
      </w:r>
    </w:p>
    <w:p w:rsidR="00C50E99" w:rsidRDefault="00C50E99" w:rsidP="00801209">
      <w:pPr>
        <w:pStyle w:val="Dispositif"/>
        <w:numPr>
          <w:ilvl w:val="0"/>
          <w:numId w:val="14"/>
        </w:numPr>
      </w:pPr>
      <w:r>
        <w:t>prévoyait, en outre d’un salaire horaire de base de 28,57</w:t>
      </w:r>
      <w:r w:rsidRPr="00A81768">
        <w:t> $</w:t>
      </w:r>
      <w:r>
        <w:t xml:space="preserve">, une garantie de </w:t>
      </w:r>
      <w:r w:rsidR="00580F47">
        <w:t>12</w:t>
      </w:r>
      <w:r w:rsidR="00801209">
        <w:t> </w:t>
      </w:r>
      <w:r w:rsidR="00580F47">
        <w:t>heures travaillées par jour</w:t>
      </w:r>
      <w:r w:rsidR="00580F47">
        <w:rPr>
          <w:rStyle w:val="Appelnotedebasdep"/>
        </w:rPr>
        <w:footnoteReference w:id="8"/>
      </w:r>
      <w:r w:rsidR="00580F47">
        <w:t xml:space="preserve"> dont les </w:t>
      </w:r>
      <w:r w:rsidR="00021122">
        <w:t xml:space="preserve">quatre </w:t>
      </w:r>
      <w:r w:rsidR="00580F47">
        <w:t>dernières à un taux horaire majoré de 50</w:t>
      </w:r>
      <w:r w:rsidR="00580F47" w:rsidRPr="00A81768">
        <w:t> %</w:t>
      </w:r>
      <w:r w:rsidR="00580F47">
        <w:t>, en application des dispositions de l’entente collective conclue entre l’AQTIS et l’</w:t>
      </w:r>
      <w:r w:rsidR="00580F47" w:rsidRPr="00580F47">
        <w:rPr>
          <w:i/>
        </w:rPr>
        <w:t>Association québécoise de la production médiatique</w:t>
      </w:r>
      <w:r w:rsidR="00580F47">
        <w:t>, l’AQPM</w:t>
      </w:r>
      <w:r w:rsidR="00801209">
        <w:t>, ainsi qu’une portion accumulée de vacances de 4</w:t>
      </w:r>
      <w:r w:rsidR="00801209" w:rsidRPr="00A81768">
        <w:t> %</w:t>
      </w:r>
      <w:r w:rsidR="00801209">
        <w:t xml:space="preserve"> à chaque paie.</w:t>
      </w:r>
    </w:p>
    <w:p w:rsidR="00801209" w:rsidRDefault="00801209" w:rsidP="00801209">
      <w:pPr>
        <w:pStyle w:val="corpsdedcision"/>
      </w:pPr>
      <w:r>
        <w:t xml:space="preserve">Le témoignage non contredit du travailleur à l’enquête confirme </w:t>
      </w:r>
      <w:r w:rsidR="00243B5C">
        <w:t>qu’avant son arrêt de travail dû à l’accident dont il a été victime</w:t>
      </w:r>
      <w:r>
        <w:t xml:space="preserve">, il a effectivement travaillé </w:t>
      </w:r>
      <w:r w:rsidR="00021122">
        <w:t xml:space="preserve">cinq </w:t>
      </w:r>
      <w:r>
        <w:t>jours par semaine, à raison de 10 à 11</w:t>
      </w:r>
      <w:r w:rsidR="00AE03F0">
        <w:t> </w:t>
      </w:r>
      <w:r>
        <w:t>heures par jour</w:t>
      </w:r>
      <w:r w:rsidR="00243B5C">
        <w:t>, selon les conditions prévues à son contrat de travail</w:t>
      </w:r>
      <w:r>
        <w:t>.</w:t>
      </w:r>
    </w:p>
    <w:p w:rsidR="00C50E99" w:rsidRDefault="00801209" w:rsidP="00801209">
      <w:pPr>
        <w:pStyle w:val="corpsdedcision"/>
      </w:pPr>
      <w:r>
        <w:t xml:space="preserve">Le </w:t>
      </w:r>
      <w:r w:rsidR="00F5761E">
        <w:t xml:space="preserve">dossier révèle qu’en exécution de son contrat, le travailleur a fourni sa prestation de travail du </w:t>
      </w:r>
      <w:r w:rsidR="00FA58CE">
        <w:t>28</w:t>
      </w:r>
      <w:r w:rsidR="00AE03F0">
        <w:t> </w:t>
      </w:r>
      <w:r w:rsidR="00FA58CE">
        <w:t>juillet au 24</w:t>
      </w:r>
      <w:r w:rsidR="00AE03F0">
        <w:t> </w:t>
      </w:r>
      <w:r w:rsidR="00FA58CE">
        <w:t>août 2019</w:t>
      </w:r>
      <w:r w:rsidR="00D62614">
        <w:rPr>
          <w:rStyle w:val="Appelnotedebasdep"/>
        </w:rPr>
        <w:footnoteReference w:id="9"/>
      </w:r>
      <w:r w:rsidR="00D62614">
        <w:t xml:space="preserve"> inclusivement, soit</w:t>
      </w:r>
      <w:r w:rsidR="00FA58CE">
        <w:t xml:space="preserve"> </w:t>
      </w:r>
      <w:r w:rsidR="00F5761E">
        <w:t>l’équivalent de 4</w:t>
      </w:r>
      <w:r w:rsidR="00243B5C">
        <w:t>,6</w:t>
      </w:r>
      <w:r w:rsidR="00D62614">
        <w:t> </w:t>
      </w:r>
      <w:r w:rsidR="00F5761E">
        <w:t>semaines travaillées</w:t>
      </w:r>
      <w:r w:rsidR="00F5761E">
        <w:rPr>
          <w:rStyle w:val="Appelnotedebasdep"/>
        </w:rPr>
        <w:footnoteReference w:id="10"/>
      </w:r>
      <w:r w:rsidR="00F5761E">
        <w:t>.</w:t>
      </w:r>
    </w:p>
    <w:p w:rsidR="00F5761E" w:rsidRDefault="00D62614" w:rsidP="00801209">
      <w:pPr>
        <w:pStyle w:val="corpsdedcision"/>
      </w:pPr>
      <w:r>
        <w:rPr>
          <w:rStyle w:val="Citationintgre"/>
          <w:i w:val="0"/>
        </w:rPr>
        <w:t xml:space="preserve">Le </w:t>
      </w:r>
      <w:r w:rsidR="00F5761E" w:rsidRPr="00021122">
        <w:rPr>
          <w:rStyle w:val="Citationintgre"/>
          <w:sz w:val="24"/>
          <w:szCs w:val="24"/>
        </w:rPr>
        <w:t>Rapport d’activités</w:t>
      </w:r>
      <w:r w:rsidR="00F5761E">
        <w:t xml:space="preserve"> émis par l’AQTIS et versé au dossier montre que le revenu brut du travailleur</w:t>
      </w:r>
      <w:r w:rsidR="00243B5C" w:rsidRPr="00243B5C">
        <w:t xml:space="preserve"> </w:t>
      </w:r>
      <w:r w:rsidR="00243B5C">
        <w:t>a été de 9</w:t>
      </w:r>
      <w:r w:rsidR="00AE03F0">
        <w:t> </w:t>
      </w:r>
      <w:r w:rsidR="00243B5C">
        <w:t>252,70</w:t>
      </w:r>
      <w:r w:rsidR="00243B5C" w:rsidRPr="00A81768">
        <w:t> $</w:t>
      </w:r>
      <w:r w:rsidR="00F5761E">
        <w:t xml:space="preserve">, </w:t>
      </w:r>
      <w:r w:rsidR="00243B5C">
        <w:t xml:space="preserve">pour </w:t>
      </w:r>
      <w:r>
        <w:t>cette période travaillée.</w:t>
      </w:r>
    </w:p>
    <w:p w:rsidR="00DD5AB1" w:rsidRDefault="0012305A" w:rsidP="00801209">
      <w:pPr>
        <w:pStyle w:val="corpsdedcision"/>
      </w:pPr>
      <w:r>
        <w:t xml:space="preserve">Ainsi, calculé </w:t>
      </w:r>
      <w:r w:rsidRPr="00243B5C">
        <w:rPr>
          <w:rStyle w:val="Citationintgre"/>
        </w:rPr>
        <w:t>«</w:t>
      </w:r>
      <w:r w:rsidR="00AE03F0">
        <w:rPr>
          <w:rStyle w:val="Citationintgre"/>
        </w:rPr>
        <w:t> </w:t>
      </w:r>
      <w:r w:rsidRPr="00243B5C">
        <w:rPr>
          <w:rStyle w:val="Citationintgre"/>
        </w:rPr>
        <w:t>sur la base du revenu brut prévu par son contrat de travail</w:t>
      </w:r>
      <w:r w:rsidR="00AE03F0">
        <w:rPr>
          <w:rStyle w:val="Citationintgre"/>
        </w:rPr>
        <w:t> </w:t>
      </w:r>
      <w:r w:rsidRPr="00243B5C">
        <w:rPr>
          <w:rStyle w:val="Citationintgre"/>
        </w:rPr>
        <w:t>»</w:t>
      </w:r>
      <w:r>
        <w:t>, le revenu brut du travailleur</w:t>
      </w:r>
      <w:r w:rsidR="00243B5C">
        <w:t xml:space="preserve"> doit</w:t>
      </w:r>
      <w:r>
        <w:t xml:space="preserve"> s’établir comme suit : 9</w:t>
      </w:r>
      <w:r w:rsidR="00AE03F0">
        <w:t> </w:t>
      </w:r>
      <w:r>
        <w:t xml:space="preserve">252,70 </w:t>
      </w:r>
      <w:r>
        <w:rPr>
          <w:rFonts w:cs="Arial"/>
        </w:rPr>
        <w:t>÷</w:t>
      </w:r>
      <w:r w:rsidR="00021122">
        <w:rPr>
          <w:rFonts w:cs="Arial"/>
        </w:rPr>
        <w:t xml:space="preserve"> </w:t>
      </w:r>
      <w:r>
        <w:t>4,6 x 39 = 78</w:t>
      </w:r>
      <w:r w:rsidR="00AE03F0">
        <w:t> </w:t>
      </w:r>
      <w:r>
        <w:t>446,80</w:t>
      </w:r>
      <w:r w:rsidRPr="00A81768">
        <w:t> $</w:t>
      </w:r>
      <w:r>
        <w:t>.</w:t>
      </w:r>
    </w:p>
    <w:p w:rsidR="00E773DE" w:rsidRDefault="00E773DE" w:rsidP="00801209">
      <w:pPr>
        <w:pStyle w:val="corpsdedcision"/>
      </w:pPr>
      <w:r>
        <w:t xml:space="preserve">En plus d’appliquer les termes mêmes du contrat de travail, cette approche reflète la capacité de gain </w:t>
      </w:r>
      <w:r w:rsidR="00CE425B">
        <w:t xml:space="preserve">réelle </w:t>
      </w:r>
      <w:r>
        <w:t>du travailleur</w:t>
      </w:r>
      <w:r w:rsidR="00A90633">
        <w:t>,</w:t>
      </w:r>
      <w:r>
        <w:t xml:space="preserve"> </w:t>
      </w:r>
      <w:r w:rsidR="00A90633">
        <w:t xml:space="preserve">ce dernier ayant déclaré </w:t>
      </w:r>
      <w:r w:rsidR="00CE425B">
        <w:t xml:space="preserve">sous serment que la demande pour des </w:t>
      </w:r>
      <w:r w:rsidR="00854143" w:rsidRPr="004A5B5B">
        <w:rPr>
          <w:rStyle w:val="Citationintgre"/>
          <w:i w:val="0"/>
        </w:rPr>
        <w:t>«</w:t>
      </w:r>
      <w:r w:rsidR="00854143" w:rsidRPr="004A5B5B">
        <w:rPr>
          <w:rStyle w:val="Citationintgre"/>
        </w:rPr>
        <w:t> </w:t>
      </w:r>
      <w:r w:rsidR="00CE425B" w:rsidRPr="004A5B5B">
        <w:rPr>
          <w:rStyle w:val="Citationintgre"/>
        </w:rPr>
        <w:t>preneurs de son</w:t>
      </w:r>
      <w:r w:rsidR="00854143" w:rsidRPr="004A5B5B">
        <w:rPr>
          <w:rStyle w:val="Citationintgre"/>
          <w:i w:val="0"/>
        </w:rPr>
        <w:t> »</w:t>
      </w:r>
      <w:r w:rsidR="00CE425B">
        <w:t xml:space="preserve"> était forte dans l’industrie tout au long de l’année, sauf pour une période d’accalmie</w:t>
      </w:r>
      <w:r w:rsidR="00AE03F0">
        <w:t>,</w:t>
      </w:r>
      <w:r w:rsidR="00CE425B">
        <w:t xml:space="preserve"> en hiver.</w:t>
      </w:r>
      <w:r w:rsidR="003219E5">
        <w:t xml:space="preserve"> On comprend que la production de séries télévisées répond à des impératifs d’échéancier serré faisant en sorte que les heures travaillées sont concentrées sur une </w:t>
      </w:r>
      <w:r w:rsidR="00854143">
        <w:t xml:space="preserve">période </w:t>
      </w:r>
      <w:r w:rsidR="003219E5">
        <w:t xml:space="preserve">de calendrier </w:t>
      </w:r>
      <w:r w:rsidR="00854143">
        <w:t xml:space="preserve">relativement courte et surtout </w:t>
      </w:r>
      <w:r w:rsidR="003219E5">
        <w:t>immuable</w:t>
      </w:r>
      <w:r w:rsidR="00C16D8B">
        <w:t>, puisque la date de livraison doit être respectée à tout prix</w:t>
      </w:r>
      <w:r w:rsidR="003219E5">
        <w:t>.</w:t>
      </w:r>
    </w:p>
    <w:p w:rsidR="00E934BF" w:rsidRPr="00E934BF" w:rsidRDefault="003219E5" w:rsidP="00801209">
      <w:pPr>
        <w:pStyle w:val="corpsdedcision"/>
      </w:pPr>
      <w:r>
        <w:t xml:space="preserve">Les principes élaborés </w:t>
      </w:r>
      <w:r w:rsidR="006B5AD6">
        <w:t xml:space="preserve">par la Cour d’appel </w:t>
      </w:r>
      <w:r>
        <w:t xml:space="preserve">dans les arrêts </w:t>
      </w:r>
      <w:r w:rsidRPr="006B5AD6">
        <w:rPr>
          <w:i/>
        </w:rPr>
        <w:t>Héroux</w:t>
      </w:r>
      <w:r>
        <w:t xml:space="preserve"> c. </w:t>
      </w:r>
      <w:r w:rsidRPr="006B5AD6">
        <w:rPr>
          <w:i/>
        </w:rPr>
        <w:t>Groupe Forage Major</w:t>
      </w:r>
      <w:r>
        <w:rPr>
          <w:rStyle w:val="Appelnotedebasdep"/>
        </w:rPr>
        <w:footnoteReference w:id="11"/>
      </w:r>
      <w:r w:rsidR="006B5AD6">
        <w:t xml:space="preserve"> et </w:t>
      </w:r>
      <w:r w:rsidR="006B5AD6" w:rsidRPr="00CC7B03">
        <w:rPr>
          <w:rFonts w:cs="Arial"/>
          <w:i/>
        </w:rPr>
        <w:t>Simon</w:t>
      </w:r>
      <w:r w:rsidR="006B5AD6">
        <w:rPr>
          <w:rFonts w:cs="Arial"/>
        </w:rPr>
        <w:t xml:space="preserve"> c. </w:t>
      </w:r>
      <w:r w:rsidR="006B5AD6" w:rsidRPr="00CC7B03">
        <w:rPr>
          <w:rFonts w:cs="Arial"/>
          <w:i/>
        </w:rPr>
        <w:t>Commission scolaire de l</w:t>
      </w:r>
      <w:r w:rsidR="00AE03F0">
        <w:rPr>
          <w:rFonts w:cs="Arial"/>
          <w:i/>
        </w:rPr>
        <w:t>’</w:t>
      </w:r>
      <w:r w:rsidR="006B5AD6" w:rsidRPr="00CC7B03">
        <w:rPr>
          <w:rFonts w:cs="Arial"/>
          <w:i/>
        </w:rPr>
        <w:t>Or-et-des-bois</w:t>
      </w:r>
      <w:r w:rsidR="006B5AD6">
        <w:rPr>
          <w:rStyle w:val="Appelnotedebasdep"/>
          <w:rFonts w:cs="Arial"/>
        </w:rPr>
        <w:footnoteReference w:id="12"/>
      </w:r>
      <w:r w:rsidR="00E934BF">
        <w:rPr>
          <w:rFonts w:cs="Arial"/>
        </w:rPr>
        <w:t xml:space="preserve">, </w:t>
      </w:r>
      <w:r w:rsidR="00CC7B03">
        <w:rPr>
          <w:rFonts w:cs="Arial"/>
        </w:rPr>
        <w:t xml:space="preserve">repris par la suite notamment dans </w:t>
      </w:r>
      <w:r w:rsidR="00CC7B03" w:rsidRPr="00CC7B03">
        <w:rPr>
          <w:rFonts w:cs="Arial"/>
          <w:i/>
        </w:rPr>
        <w:t>Toit et imperméabilisation Trans-Canada ltée</w:t>
      </w:r>
      <w:r w:rsidR="00CC7B03">
        <w:rPr>
          <w:rFonts w:cs="Arial"/>
        </w:rPr>
        <w:t xml:space="preserve"> et </w:t>
      </w:r>
      <w:r w:rsidR="00CC7B03" w:rsidRPr="00CC7B03">
        <w:rPr>
          <w:rFonts w:cs="Arial"/>
          <w:i/>
        </w:rPr>
        <w:t>Guzzi</w:t>
      </w:r>
      <w:r w:rsidR="00CC7B03">
        <w:rPr>
          <w:rStyle w:val="Appelnotedebasdep"/>
          <w:rFonts w:cs="Arial"/>
        </w:rPr>
        <w:footnoteReference w:id="13"/>
      </w:r>
      <w:r w:rsidR="00E934BF">
        <w:rPr>
          <w:rFonts w:cs="Arial"/>
        </w:rPr>
        <w:t>,</w:t>
      </w:r>
      <w:r w:rsidR="00CC7B03">
        <w:rPr>
          <w:rFonts w:cs="Arial"/>
        </w:rPr>
        <w:t xml:space="preserve"> trouvent application ici</w:t>
      </w:r>
      <w:r w:rsidR="00E934BF">
        <w:rPr>
          <w:rFonts w:cs="Arial"/>
        </w:rPr>
        <w:t>, à savoir que :</w:t>
      </w:r>
    </w:p>
    <w:p w:rsidR="00E934BF" w:rsidRDefault="00E934BF" w:rsidP="004A5B5B">
      <w:pPr>
        <w:pStyle w:val="citation"/>
        <w:spacing w:after="360"/>
      </w:pPr>
      <w:r w:rsidRPr="00E934BF">
        <w:t>[53]</w:t>
      </w:r>
      <w:r w:rsidRPr="00E934BF">
        <w:tab/>
        <w:t>Selon les enseignements de la Cour d’appel, la détermination du revenu annuel brut doit avoir une corrélation avec la réalité de l’emploi du travailleur dont la capacité de gains futurs doit être préservée. La détermination de son revenu annuel brut doit être basée sur une projection défendable de la situation. Le tribunal estime que la preuve présentée par le travailleur répond à ces critères.</w:t>
      </w:r>
    </w:p>
    <w:p w:rsidR="003219E5" w:rsidRDefault="0005034C" w:rsidP="00801209">
      <w:pPr>
        <w:pStyle w:val="corpsdedcision"/>
      </w:pPr>
      <w:r>
        <w:t>Cependant, selon la preuve offerte,</w:t>
      </w:r>
      <w:r w:rsidR="00A429D9">
        <w:t xml:space="preserve"> le maximum annuel assurable en vigueur à l’époque pertinente </w:t>
      </w:r>
      <w:r w:rsidR="005D5CE6">
        <w:t>était</w:t>
      </w:r>
      <w:r w:rsidR="00A429D9">
        <w:t xml:space="preserve"> de</w:t>
      </w:r>
      <w:r w:rsidR="004E754D">
        <w:t xml:space="preserve"> 76</w:t>
      </w:r>
      <w:r w:rsidR="00AE03F0">
        <w:t> </w:t>
      </w:r>
      <w:r w:rsidR="004E754D">
        <w:t>500,00</w:t>
      </w:r>
      <w:r w:rsidR="004E754D" w:rsidRPr="00A81768">
        <w:t> $</w:t>
      </w:r>
      <w:r w:rsidR="00A429D9">
        <w:t>. Dès lors, en application des dispositions de l’article</w:t>
      </w:r>
      <w:r w:rsidR="00AE03F0">
        <w:t> </w:t>
      </w:r>
      <w:r w:rsidR="00A429D9">
        <w:t>65 de la Loi, l’</w:t>
      </w:r>
      <w:r w:rsidR="00A429D9" w:rsidRPr="00A81768">
        <w:t>indemnité de remplacement du revenu</w:t>
      </w:r>
      <w:r w:rsidR="00A429D9">
        <w:t xml:space="preserve"> à laquelle le travailleur a droit doit être calculée sur la base de ce </w:t>
      </w:r>
      <w:r w:rsidR="005D5CE6">
        <w:t xml:space="preserve">dernier </w:t>
      </w:r>
      <w:r w:rsidR="00A429D9">
        <w:t>montant.</w:t>
      </w:r>
    </w:p>
    <w:p w:rsidR="00A429D9" w:rsidRDefault="006410AF" w:rsidP="00801209">
      <w:pPr>
        <w:pStyle w:val="corpsdedcision"/>
      </w:pPr>
      <w:r>
        <w:t>La contestation du travailleur est bien fondée et doit donc être accueillie.</w:t>
      </w:r>
    </w:p>
    <w:p w:rsidR="006410AF" w:rsidRDefault="006410AF" w:rsidP="00801209">
      <w:pPr>
        <w:pStyle w:val="corpsdedcision"/>
      </w:pPr>
      <w:r>
        <w:t>Le dossier est retourné à la Commission pour qu’elle calcule l’</w:t>
      </w:r>
      <w:r w:rsidRPr="00A81768">
        <w:t>indemnité de remplacement du revenu</w:t>
      </w:r>
      <w:r>
        <w:t xml:space="preserve"> </w:t>
      </w:r>
      <w:r w:rsidR="00CF353D">
        <w:t>à laquelle le</w:t>
      </w:r>
      <w:r>
        <w:t xml:space="preserve"> travailleur </w:t>
      </w:r>
      <w:r w:rsidR="00CF353D">
        <w:t xml:space="preserve">a droit </w:t>
      </w:r>
      <w:r>
        <w:t xml:space="preserve">sur cette nouvelle base et </w:t>
      </w:r>
      <w:r w:rsidR="00CF353D">
        <w:t>qu’elle procède aux ajustements requis afin de lui verser les sommes qui lui sont dues.</w:t>
      </w:r>
    </w:p>
    <w:p w:rsidR="00C72911" w:rsidRPr="00B51F99" w:rsidRDefault="00C72911" w:rsidP="00C72911">
      <w:pPr>
        <w:pStyle w:val="corpsdedcision"/>
        <w:numPr>
          <w:ilvl w:val="0"/>
          <w:numId w:val="0"/>
        </w:numPr>
      </w:pPr>
    </w:p>
    <w:p w:rsidR="00C74B6F" w:rsidRDefault="00C74B6F">
      <w:pPr>
        <w:pStyle w:val="Dispositif"/>
      </w:pPr>
      <w:r>
        <w:rPr>
          <w:b/>
        </w:rPr>
        <w:t>P</w:t>
      </w:r>
      <w:r w:rsidR="00D07FA6">
        <w:rPr>
          <w:b/>
        </w:rPr>
        <w:t>AR CES MOTIFS, LE TRIBUNAL ADMINISTRATIF DU TRAVAIL</w:t>
      </w:r>
      <w:r>
        <w:rPr>
          <w:b/>
        </w:rPr>
        <w:t> :</w:t>
      </w:r>
    </w:p>
    <w:p w:rsidR="00C74B6F" w:rsidRDefault="004E754D">
      <w:pPr>
        <w:pStyle w:val="Dispositif"/>
      </w:pPr>
      <w:r>
        <w:rPr>
          <w:b/>
        </w:rPr>
        <w:t>ACCUEILLE</w:t>
      </w:r>
      <w:r>
        <w:t xml:space="preserve"> la contestation de monsieur Paskal Perreault-Saule, le travailleur</w:t>
      </w:r>
      <w:r w:rsidR="00AE03F0">
        <w:t> </w:t>
      </w:r>
      <w:r>
        <w:t>;</w:t>
      </w:r>
    </w:p>
    <w:p w:rsidR="004E754D" w:rsidRDefault="00F85BDC">
      <w:pPr>
        <w:pStyle w:val="Dispositif"/>
      </w:pPr>
      <w:r w:rsidRPr="00F85BDC">
        <w:rPr>
          <w:b/>
        </w:rPr>
        <w:t>INFIRME</w:t>
      </w:r>
      <w:r w:rsidR="004E754D">
        <w:t xml:space="preserve"> la </w:t>
      </w:r>
      <w:r w:rsidR="004E754D" w:rsidRPr="00A81768">
        <w:t xml:space="preserve">décision </w:t>
      </w:r>
      <w:r>
        <w:t xml:space="preserve">de </w:t>
      </w:r>
      <w:r w:rsidR="004E754D">
        <w:t xml:space="preserve">la </w:t>
      </w:r>
      <w:r w:rsidR="004E754D" w:rsidRPr="00425111">
        <w:rPr>
          <w:rFonts w:cs="Arial"/>
          <w:szCs w:val="24"/>
        </w:rPr>
        <w:t>Commission des normes, de l’équité, de la santé et de la sécurité du travail</w:t>
      </w:r>
      <w:r>
        <w:t xml:space="preserve"> </w:t>
      </w:r>
      <w:r w:rsidRPr="00A81768">
        <w:t>rendue</w:t>
      </w:r>
      <w:r>
        <w:t>, le 22</w:t>
      </w:r>
      <w:r w:rsidR="00AE03F0">
        <w:t> </w:t>
      </w:r>
      <w:r>
        <w:t xml:space="preserve">septembre 2020, à la suite d’une </w:t>
      </w:r>
      <w:r w:rsidR="004E754D" w:rsidRPr="00A81768">
        <w:t>révision administrative</w:t>
      </w:r>
      <w:r w:rsidR="00AE03F0">
        <w:t> </w:t>
      </w:r>
      <w:r w:rsidR="004E754D">
        <w:t>;</w:t>
      </w:r>
    </w:p>
    <w:p w:rsidR="004E754D" w:rsidRDefault="004E754D">
      <w:pPr>
        <w:pStyle w:val="Dispositif"/>
      </w:pPr>
      <w:r>
        <w:rPr>
          <w:b/>
        </w:rPr>
        <w:t>DÉCLARE</w:t>
      </w:r>
      <w:r>
        <w:t xml:space="preserve"> que l’</w:t>
      </w:r>
      <w:r w:rsidRPr="00A81768">
        <w:t>indemnité de remplacement du revenu</w:t>
      </w:r>
      <w:r>
        <w:t xml:space="preserve"> à laquelle le travailleur a droit à la suite de sa </w:t>
      </w:r>
      <w:r w:rsidRPr="00A81768">
        <w:t>lésion professionnelle</w:t>
      </w:r>
      <w:r>
        <w:t xml:space="preserve"> subie le 8</w:t>
      </w:r>
      <w:r w:rsidR="00AE03F0">
        <w:t> </w:t>
      </w:r>
      <w:r>
        <w:t>août 2019 doit être calculée sur la base d’un revenu annuel brut de 76</w:t>
      </w:r>
      <w:r w:rsidR="00AE03F0">
        <w:t> </w:t>
      </w:r>
      <w:r>
        <w:t>500,00</w:t>
      </w:r>
      <w:r w:rsidRPr="00A81768">
        <w:t> $</w:t>
      </w:r>
      <w:r w:rsidR="00AE03F0">
        <w:t> </w:t>
      </w:r>
      <w:r>
        <w:t>;</w:t>
      </w:r>
    </w:p>
    <w:p w:rsidR="004E754D" w:rsidRDefault="004E754D" w:rsidP="004A5B5B">
      <w:pPr>
        <w:pStyle w:val="Dispositif"/>
        <w:keepNext/>
      </w:pPr>
      <w:r>
        <w:rPr>
          <w:b/>
        </w:rPr>
        <w:t>RETOURNE</w:t>
      </w:r>
      <w:r>
        <w:t xml:space="preserve"> le dossier à la Commissio</w:t>
      </w:r>
      <w:r w:rsidR="0005034C">
        <w:t>n pour qu’elle détermine l’</w:t>
      </w:r>
      <w:r w:rsidRPr="00A81768">
        <w:t>indemnité de remplacement du revenu</w:t>
      </w:r>
      <w:r>
        <w:t xml:space="preserve"> </w:t>
      </w:r>
      <w:r w:rsidR="0005034C">
        <w:t xml:space="preserve">payable au travailleur </w:t>
      </w:r>
      <w:r>
        <w:t xml:space="preserve">sur </w:t>
      </w:r>
      <w:r w:rsidR="0005034C">
        <w:t>la</w:t>
      </w:r>
      <w:r>
        <w:t xml:space="preserve"> </w:t>
      </w:r>
      <w:r w:rsidR="0005034C">
        <w:t xml:space="preserve">susdite </w:t>
      </w:r>
      <w:r>
        <w:t xml:space="preserve">base et qu’elle procède aux ajustements requis </w:t>
      </w:r>
      <w:r w:rsidR="0005034C">
        <w:t>afin de lui</w:t>
      </w:r>
      <w:r>
        <w:t xml:space="preserve"> verser les sommes qui lui sont dues.</w:t>
      </w:r>
    </w:p>
    <w:p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8" w:name="signature"/>
            <w:bookmarkEnd w:id="8"/>
            <w:r>
              <w:t>__________________________________</w:t>
            </w:r>
          </w:p>
        </w:tc>
      </w:tr>
      <w:tr w:rsidR="00C74B6F">
        <w:tc>
          <w:tcPr>
            <w:tcW w:w="4795" w:type="dxa"/>
          </w:tcPr>
          <w:p w:rsidR="00C74B6F" w:rsidRDefault="00C74B6F"/>
        </w:tc>
        <w:tc>
          <w:tcPr>
            <w:tcW w:w="4795" w:type="dxa"/>
          </w:tcPr>
          <w:p w:rsidR="00C74B6F" w:rsidRDefault="0005034C">
            <w:r>
              <w:t>Jean-François Martel</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05034C">
            <w:pPr>
              <w:pStyle w:val="zSoquijdatNomProcureurDem"/>
            </w:pPr>
            <w:r>
              <w:t>M</w:t>
            </w:r>
            <w:r w:rsidRPr="00AE03F0">
              <w:rPr>
                <w:vertAlign w:val="superscript"/>
              </w:rPr>
              <w:t>e</w:t>
            </w:r>
            <w:r>
              <w:t xml:space="preserve"> Alexandre Sigouin</w:t>
            </w:r>
          </w:p>
        </w:tc>
      </w:tr>
      <w:tr w:rsidR="00C74B6F">
        <w:trPr>
          <w:cantSplit/>
        </w:trPr>
        <w:tc>
          <w:tcPr>
            <w:tcW w:w="9590" w:type="dxa"/>
            <w:gridSpan w:val="2"/>
          </w:tcPr>
          <w:p w:rsidR="00C74B6F" w:rsidRDefault="0005034C">
            <w:pPr>
              <w:pStyle w:val="zSoquijdatCabinetProcureurDem"/>
            </w:pPr>
            <w:r>
              <w:t>DESROCHES, MONGEON AVOCATS, INC.</w:t>
            </w:r>
          </w:p>
        </w:tc>
      </w:tr>
      <w:tr w:rsidR="00C74B6F">
        <w:trPr>
          <w:cantSplit/>
        </w:trPr>
        <w:tc>
          <w:tcPr>
            <w:tcW w:w="9590" w:type="dxa"/>
            <w:gridSpan w:val="2"/>
          </w:tcPr>
          <w:p w:rsidR="00C74B6F" w:rsidRDefault="00CB05A7">
            <w:pPr>
              <w:pStyle w:val="zSoquijlblProcureurDem"/>
            </w:pPr>
            <w:r>
              <w:t>Pour la partie demanderesse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05034C">
            <w:pPr>
              <w:pStyle w:val="zSoquijdatNomProcureurDef"/>
            </w:pPr>
            <w:r>
              <w:t>M. Michel Trudeau</w:t>
            </w:r>
          </w:p>
        </w:tc>
      </w:tr>
      <w:tr w:rsidR="00C74B6F">
        <w:trPr>
          <w:cantSplit/>
        </w:trPr>
        <w:tc>
          <w:tcPr>
            <w:tcW w:w="9590" w:type="dxa"/>
            <w:gridSpan w:val="2"/>
          </w:tcPr>
          <w:p w:rsidR="00C74B6F" w:rsidRDefault="00CB05A7" w:rsidP="0005034C">
            <w:pPr>
              <w:pStyle w:val="zSoquijlblProcureurDef"/>
            </w:pPr>
            <w:r>
              <w:t xml:space="preserve">Pour la partie </w:t>
            </w:r>
            <w:r w:rsidR="0005034C">
              <w:t>mise en cause</w:t>
            </w:r>
          </w:p>
        </w:tc>
      </w:tr>
      <w:tr w:rsidR="00C15A3F">
        <w:trPr>
          <w:cantSplit/>
        </w:trPr>
        <w:tc>
          <w:tcPr>
            <w:tcW w:w="9590" w:type="dxa"/>
            <w:gridSpan w:val="2"/>
          </w:tcPr>
          <w:p w:rsidR="00C15A3F" w:rsidRDefault="00C15A3F">
            <w:pPr>
              <w:pStyle w:val="zSoquijlblProcureurInt"/>
            </w:pPr>
          </w:p>
        </w:tc>
      </w:tr>
      <w:tr w:rsidR="00C15A3F">
        <w:trPr>
          <w:cantSplit/>
        </w:trPr>
        <w:tc>
          <w:tcPr>
            <w:tcW w:w="9590" w:type="dxa"/>
            <w:gridSpan w:val="2"/>
          </w:tcPr>
          <w:p w:rsidR="00C15A3F" w:rsidRDefault="00C15A3F" w:rsidP="0005034C">
            <w:pPr>
              <w:pStyle w:val="zSoquijdatDateAudience"/>
            </w:pPr>
            <w:bookmarkStart w:id="9" w:name="Date_derniere_audience"/>
            <w:bookmarkEnd w:id="9"/>
            <w:r>
              <w:t xml:space="preserve">Date de la </w:t>
            </w:r>
            <w:r w:rsidR="00CC6338">
              <w:t>mise en délibéré</w:t>
            </w:r>
            <w:r>
              <w:t> :</w:t>
            </w:r>
            <w:r w:rsidR="00597016">
              <w:tab/>
            </w:r>
            <w:r w:rsidR="0005034C">
              <w:t>22</w:t>
            </w:r>
            <w:r w:rsidR="00AE03F0">
              <w:t> </w:t>
            </w:r>
            <w:r w:rsidR="0005034C">
              <w:t>février 2022</w:t>
            </w:r>
          </w:p>
        </w:tc>
      </w:tr>
    </w:tbl>
    <w:p w:rsidR="00F510B7" w:rsidRDefault="00F510B7" w:rsidP="00F73D1C"/>
    <w:p w:rsidR="00A770C0" w:rsidRPr="00F73D1C" w:rsidRDefault="00A770C0" w:rsidP="008145AD"/>
    <w:sectPr w:rsidR="00A770C0" w:rsidRPr="00F73D1C">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2D9C" w:rsidRDefault="00372D9C">
      <w:r>
        <w:separator/>
      </w:r>
    </w:p>
  </w:endnote>
  <w:endnote w:type="continuationSeparator" w:id="0">
    <w:p w:rsidR="00372D9C" w:rsidRDefault="00372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2D9C" w:rsidRDefault="00372D9C">
      <w:r>
        <w:separator/>
      </w:r>
    </w:p>
  </w:footnote>
  <w:footnote w:type="continuationSeparator" w:id="0">
    <w:p w:rsidR="00372D9C" w:rsidRDefault="00372D9C">
      <w:r>
        <w:continuationSeparator/>
      </w:r>
    </w:p>
  </w:footnote>
  <w:footnote w:id="1">
    <w:p w:rsidR="004E754D" w:rsidRPr="00243B5C" w:rsidRDefault="004E754D" w:rsidP="00243B5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Dans les faits, l’«</w:t>
      </w:r>
      <w:r w:rsidR="00AE03F0">
        <w:rPr>
          <w:rFonts w:cs="Arial"/>
          <w:sz w:val="20"/>
        </w:rPr>
        <w:t> </w:t>
      </w:r>
      <w:r>
        <w:rPr>
          <w:rFonts w:cs="Arial"/>
          <w:sz w:val="20"/>
        </w:rPr>
        <w:t>accident</w:t>
      </w:r>
      <w:r w:rsidR="00AE03F0">
        <w:rPr>
          <w:rFonts w:cs="Arial"/>
          <w:sz w:val="20"/>
        </w:rPr>
        <w:t> </w:t>
      </w:r>
      <w:r>
        <w:rPr>
          <w:rFonts w:cs="Arial"/>
          <w:sz w:val="20"/>
        </w:rPr>
        <w:t>» s’est produit en deux étapes : d’abord un traumatisme au tibia droit, lequel a ensuite causé une chute dans un escalier. L’arrêt de travail fut prescrit pour permettre au travailleur de recevoir les traitements requis.</w:t>
      </w:r>
    </w:p>
  </w:footnote>
  <w:footnote w:id="2">
    <w:p w:rsidR="004E754D" w:rsidRPr="00055A53" w:rsidRDefault="004E754D" w:rsidP="004E754D">
      <w:pPr>
        <w:pStyle w:val="Notedebasdepage"/>
        <w:tabs>
          <w:tab w:val="left" w:pos="720"/>
        </w:tabs>
        <w:ind w:left="720" w:hanging="720"/>
        <w:jc w:val="both"/>
        <w:rPr>
          <w:rFonts w:cs="Arial"/>
          <w:sz w:val="20"/>
        </w:rPr>
      </w:pPr>
      <w:r>
        <w:rPr>
          <w:rStyle w:val="Appelnotedebasdep"/>
        </w:rPr>
        <w:footnoteRef/>
      </w:r>
      <w:r>
        <w:t xml:space="preserve"> </w:t>
      </w:r>
      <w:r>
        <w:tab/>
      </w:r>
      <w:r>
        <w:rPr>
          <w:sz w:val="20"/>
        </w:rPr>
        <w:t>R</w:t>
      </w:r>
      <w:r>
        <w:rPr>
          <w:rFonts w:cs="Arial"/>
          <w:sz w:val="20"/>
        </w:rPr>
        <w:t>LRQ, c. A</w:t>
      </w:r>
      <w:r w:rsidR="00AE03F0">
        <w:rPr>
          <w:rFonts w:cs="Arial"/>
          <w:sz w:val="20"/>
        </w:rPr>
        <w:t> </w:t>
      </w:r>
      <w:r>
        <w:rPr>
          <w:rFonts w:cs="Arial"/>
          <w:sz w:val="20"/>
        </w:rPr>
        <w:t>-3</w:t>
      </w:r>
      <w:r w:rsidR="00AE03F0">
        <w:rPr>
          <w:rFonts w:cs="Arial"/>
          <w:sz w:val="20"/>
        </w:rPr>
        <w:t> </w:t>
      </w:r>
      <w:r>
        <w:rPr>
          <w:rFonts w:cs="Arial"/>
          <w:sz w:val="20"/>
        </w:rPr>
        <w:t>001</w:t>
      </w:r>
    </w:p>
  </w:footnote>
  <w:footnote w:id="3">
    <w:p w:rsidR="004E754D" w:rsidRPr="0042172C" w:rsidRDefault="004E754D" w:rsidP="004E754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sz w:val="20"/>
        </w:rPr>
        <w:t>R</w:t>
      </w:r>
      <w:r>
        <w:rPr>
          <w:rFonts w:cs="Arial"/>
          <w:sz w:val="20"/>
        </w:rPr>
        <w:t>LRQ, c. T</w:t>
      </w:r>
      <w:r w:rsidR="00AE03F0">
        <w:rPr>
          <w:rFonts w:cs="Arial"/>
          <w:sz w:val="20"/>
        </w:rPr>
        <w:t> </w:t>
      </w:r>
      <w:r>
        <w:rPr>
          <w:rFonts w:cs="Arial"/>
          <w:sz w:val="20"/>
        </w:rPr>
        <w:t>-15.1</w:t>
      </w:r>
    </w:p>
  </w:footnote>
  <w:footnote w:id="4">
    <w:p w:rsidR="004E754D" w:rsidRPr="00B4544A" w:rsidRDefault="004E754D" w:rsidP="00B4544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Échanges téléphoniques entre l’agent d’indemnisation et une représentante de l’</w:t>
      </w:r>
      <w:r w:rsidRPr="00B4544A">
        <w:rPr>
          <w:rFonts w:cs="Arial"/>
          <w:sz w:val="20"/>
        </w:rPr>
        <w:t>employeur</w:t>
      </w:r>
      <w:r>
        <w:rPr>
          <w:rFonts w:cs="Arial"/>
          <w:sz w:val="20"/>
        </w:rPr>
        <w:t xml:space="preserve"> consignés dans la note évolutive du 19</w:t>
      </w:r>
      <w:r w:rsidR="00AE03F0">
        <w:rPr>
          <w:rFonts w:cs="Arial"/>
          <w:sz w:val="20"/>
        </w:rPr>
        <w:t> </w:t>
      </w:r>
      <w:r>
        <w:rPr>
          <w:rFonts w:cs="Arial"/>
          <w:sz w:val="20"/>
        </w:rPr>
        <w:t>novembre 2019.</w:t>
      </w:r>
    </w:p>
  </w:footnote>
  <w:footnote w:id="5">
    <w:p w:rsidR="004E754D" w:rsidRPr="00541198" w:rsidRDefault="004E754D" w:rsidP="0054119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Méthode alternative de calcul du revenu brut annuel prévue à l’article</w:t>
      </w:r>
      <w:r w:rsidR="00AE03F0">
        <w:rPr>
          <w:rFonts w:cs="Arial"/>
          <w:sz w:val="20"/>
        </w:rPr>
        <w:t> </w:t>
      </w:r>
      <w:r>
        <w:rPr>
          <w:rFonts w:cs="Arial"/>
          <w:sz w:val="20"/>
        </w:rPr>
        <w:t>67 de la Loi si elle s’avère plus avantageuse pour le travailleur concerné.</w:t>
      </w:r>
    </w:p>
  </w:footnote>
  <w:footnote w:id="6">
    <w:p w:rsidR="004E754D" w:rsidRPr="007D725D" w:rsidRDefault="004E754D" w:rsidP="007D725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l’</w:t>
      </w:r>
      <w:r w:rsidRPr="007D725D">
        <w:rPr>
          <w:rFonts w:cs="Arial"/>
          <w:i/>
          <w:sz w:val="20"/>
        </w:rPr>
        <w:t>«</w:t>
      </w:r>
      <w:r w:rsidR="00AE03F0">
        <w:rPr>
          <w:rFonts w:cs="Arial"/>
          <w:i/>
          <w:sz w:val="20"/>
        </w:rPr>
        <w:t> </w:t>
      </w:r>
      <w:r w:rsidRPr="007D725D">
        <w:rPr>
          <w:rFonts w:cs="Arial"/>
          <w:i/>
          <w:sz w:val="20"/>
        </w:rPr>
        <w:t>Analyse de la base salariale et de la situation familiale</w:t>
      </w:r>
      <w:r w:rsidR="00AE03F0">
        <w:rPr>
          <w:rFonts w:cs="Arial"/>
          <w:i/>
          <w:sz w:val="20"/>
        </w:rPr>
        <w:t> </w:t>
      </w:r>
      <w:r w:rsidRPr="007D725D">
        <w:rPr>
          <w:rFonts w:cs="Arial"/>
          <w:i/>
          <w:sz w:val="20"/>
        </w:rPr>
        <w:t>»</w:t>
      </w:r>
      <w:r>
        <w:rPr>
          <w:rFonts w:cs="Arial"/>
          <w:sz w:val="20"/>
        </w:rPr>
        <w:t xml:space="preserve"> apparaissant à la note évolutive du 19</w:t>
      </w:r>
      <w:r w:rsidR="00AE03F0">
        <w:rPr>
          <w:rFonts w:cs="Arial"/>
          <w:sz w:val="20"/>
        </w:rPr>
        <w:t> </w:t>
      </w:r>
      <w:r>
        <w:rPr>
          <w:rFonts w:cs="Arial"/>
          <w:sz w:val="20"/>
        </w:rPr>
        <w:t>novembre 2019 à 12:06:04.</w:t>
      </w:r>
    </w:p>
  </w:footnote>
  <w:footnote w:id="7">
    <w:p w:rsidR="004E754D" w:rsidRPr="00CE425B" w:rsidRDefault="004E754D" w:rsidP="00CE425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Contrat d’engagement numéro</w:t>
      </w:r>
      <w:r w:rsidR="00AE03F0">
        <w:rPr>
          <w:rFonts w:cs="Arial"/>
          <w:sz w:val="20"/>
        </w:rPr>
        <w:t> </w:t>
      </w:r>
      <w:r>
        <w:rPr>
          <w:rFonts w:cs="Arial"/>
          <w:sz w:val="20"/>
        </w:rPr>
        <w:t>108481.</w:t>
      </w:r>
    </w:p>
  </w:footnote>
  <w:footnote w:id="8">
    <w:p w:rsidR="004E754D" w:rsidRPr="00580F47" w:rsidRDefault="004E754D" w:rsidP="00580F4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Voir la lettre de l’AQTIS du 14</w:t>
      </w:r>
      <w:r w:rsidR="00AE03F0">
        <w:rPr>
          <w:rFonts w:cs="Arial"/>
          <w:sz w:val="20"/>
        </w:rPr>
        <w:t> </w:t>
      </w:r>
      <w:r>
        <w:rPr>
          <w:rFonts w:cs="Arial"/>
          <w:sz w:val="20"/>
        </w:rPr>
        <w:t>novembre 2019.</w:t>
      </w:r>
    </w:p>
  </w:footnote>
  <w:footnote w:id="9">
    <w:p w:rsidR="004E754D" w:rsidRPr="00FA58CE" w:rsidRDefault="004E754D" w:rsidP="00D626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Dernier jour travaillé selon les formulaires de </w:t>
      </w:r>
      <w:r w:rsidRPr="00FA58CE">
        <w:rPr>
          <w:rFonts w:cs="Arial"/>
          <w:i/>
          <w:sz w:val="20"/>
        </w:rPr>
        <w:t xml:space="preserve">Réclamation du travailleur </w:t>
      </w:r>
      <w:r>
        <w:rPr>
          <w:rFonts w:cs="Arial"/>
          <w:sz w:val="20"/>
        </w:rPr>
        <w:t>et d’</w:t>
      </w:r>
      <w:r w:rsidRPr="00FA58CE">
        <w:rPr>
          <w:rFonts w:cs="Arial"/>
          <w:i/>
          <w:sz w:val="20"/>
        </w:rPr>
        <w:t>Avis de l’employeur et demande de remboursement.</w:t>
      </w:r>
    </w:p>
  </w:footnote>
  <w:footnote w:id="10">
    <w:p w:rsidR="004E754D" w:rsidRPr="00F5761E" w:rsidRDefault="004E754D" w:rsidP="00F576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À savoir : </w:t>
      </w:r>
      <w:r w:rsidR="009D192D">
        <w:rPr>
          <w:rFonts w:cs="Arial"/>
          <w:sz w:val="20"/>
        </w:rPr>
        <w:t xml:space="preserve">deux </w:t>
      </w:r>
      <w:r>
        <w:rPr>
          <w:rFonts w:cs="Arial"/>
          <w:sz w:val="20"/>
        </w:rPr>
        <w:t>jours travaillés le jeudi 25</w:t>
      </w:r>
      <w:r w:rsidR="00AE03F0">
        <w:rPr>
          <w:rFonts w:cs="Arial"/>
          <w:sz w:val="20"/>
        </w:rPr>
        <w:t> </w:t>
      </w:r>
      <w:r>
        <w:rPr>
          <w:rFonts w:cs="Arial"/>
          <w:sz w:val="20"/>
        </w:rPr>
        <w:t>juillet et le vendredi 26 + quatre semaines complètes (</w:t>
      </w:r>
      <w:r w:rsidR="009D192D">
        <w:rPr>
          <w:rFonts w:cs="Arial"/>
          <w:sz w:val="20"/>
        </w:rPr>
        <w:t xml:space="preserve">cinq </w:t>
      </w:r>
      <w:r>
        <w:rPr>
          <w:rFonts w:cs="Arial"/>
          <w:sz w:val="20"/>
        </w:rPr>
        <w:t>jours chacune) du lundi 29</w:t>
      </w:r>
      <w:r w:rsidR="00AE03F0">
        <w:rPr>
          <w:rFonts w:cs="Arial"/>
          <w:sz w:val="20"/>
        </w:rPr>
        <w:t> </w:t>
      </w:r>
      <w:r>
        <w:rPr>
          <w:rFonts w:cs="Arial"/>
          <w:sz w:val="20"/>
        </w:rPr>
        <w:t>juillet au vendredi 23</w:t>
      </w:r>
      <w:r w:rsidR="00AE03F0">
        <w:rPr>
          <w:rFonts w:cs="Arial"/>
          <w:sz w:val="20"/>
        </w:rPr>
        <w:t> </w:t>
      </w:r>
      <w:r>
        <w:rPr>
          <w:rFonts w:cs="Arial"/>
          <w:sz w:val="20"/>
        </w:rPr>
        <w:t xml:space="preserve">août + </w:t>
      </w:r>
      <w:r w:rsidR="009D192D">
        <w:rPr>
          <w:rFonts w:cs="Arial"/>
          <w:sz w:val="20"/>
        </w:rPr>
        <w:t xml:space="preserve">une </w:t>
      </w:r>
      <w:r>
        <w:rPr>
          <w:rFonts w:cs="Arial"/>
          <w:sz w:val="20"/>
        </w:rPr>
        <w:t>journée, le samedi 24</w:t>
      </w:r>
      <w:r w:rsidR="00AE03F0">
        <w:rPr>
          <w:rFonts w:cs="Arial"/>
          <w:sz w:val="20"/>
        </w:rPr>
        <w:t> </w:t>
      </w:r>
      <w:r>
        <w:rPr>
          <w:rFonts w:cs="Arial"/>
          <w:sz w:val="20"/>
        </w:rPr>
        <w:t xml:space="preserve">août 2019, pour un total de </w:t>
      </w:r>
      <w:r w:rsidR="009D192D">
        <w:rPr>
          <w:rFonts w:cs="Arial"/>
          <w:sz w:val="20"/>
        </w:rPr>
        <w:t xml:space="preserve">quatre </w:t>
      </w:r>
      <w:r>
        <w:rPr>
          <w:rFonts w:cs="Arial"/>
          <w:sz w:val="20"/>
        </w:rPr>
        <w:t>semaines et 3/5 = 4,6 semaines.</w:t>
      </w:r>
    </w:p>
  </w:footnote>
  <w:footnote w:id="11">
    <w:p w:rsidR="004E754D" w:rsidRPr="003219E5" w:rsidRDefault="004E754D" w:rsidP="003219E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[2001] C.L.P.</w:t>
      </w:r>
      <w:r w:rsidR="00AE03F0">
        <w:rPr>
          <w:rFonts w:cs="Arial"/>
          <w:sz w:val="20"/>
        </w:rPr>
        <w:t> </w:t>
      </w:r>
      <w:r>
        <w:rPr>
          <w:rFonts w:cs="Arial"/>
          <w:sz w:val="20"/>
        </w:rPr>
        <w:t>317</w:t>
      </w:r>
      <w:r w:rsidR="009D192D">
        <w:rPr>
          <w:rFonts w:cs="Arial"/>
          <w:sz w:val="20"/>
        </w:rPr>
        <w:t xml:space="preserve"> (C.A.)</w:t>
      </w:r>
      <w:r>
        <w:rPr>
          <w:rFonts w:cs="Arial"/>
          <w:sz w:val="20"/>
        </w:rPr>
        <w:t xml:space="preserve">. Voir les </w:t>
      </w:r>
      <w:r w:rsidRPr="004C20A4">
        <w:rPr>
          <w:rFonts w:cs="Arial"/>
          <w:sz w:val="20"/>
        </w:rPr>
        <w:t>paragraphe</w:t>
      </w:r>
      <w:r>
        <w:rPr>
          <w:rFonts w:cs="Arial"/>
          <w:sz w:val="20"/>
        </w:rPr>
        <w:t>s</w:t>
      </w:r>
      <w:r w:rsidR="00AE03F0">
        <w:rPr>
          <w:rFonts w:cs="Arial"/>
          <w:sz w:val="20"/>
        </w:rPr>
        <w:t> </w:t>
      </w:r>
      <w:r>
        <w:rPr>
          <w:rFonts w:cs="Arial"/>
          <w:sz w:val="20"/>
        </w:rPr>
        <w:t>16, 18, 19 et 20.</w:t>
      </w:r>
    </w:p>
  </w:footnote>
  <w:footnote w:id="12">
    <w:p w:rsidR="004E754D" w:rsidRPr="006B5AD6" w:rsidRDefault="004E754D" w:rsidP="006B5AD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2006 QCCA</w:t>
      </w:r>
      <w:r w:rsidR="00AE03F0">
        <w:rPr>
          <w:rFonts w:cs="Arial"/>
          <w:sz w:val="20"/>
        </w:rPr>
        <w:t> </w:t>
      </w:r>
      <w:r>
        <w:rPr>
          <w:rFonts w:cs="Arial"/>
          <w:sz w:val="20"/>
        </w:rPr>
        <w:t xml:space="preserve">507. Voir les </w:t>
      </w:r>
      <w:r w:rsidRPr="004C20A4">
        <w:rPr>
          <w:rFonts w:cs="Arial"/>
          <w:sz w:val="20"/>
        </w:rPr>
        <w:t>paragraphe</w:t>
      </w:r>
      <w:r>
        <w:rPr>
          <w:rFonts w:cs="Arial"/>
          <w:sz w:val="20"/>
        </w:rPr>
        <w:t>s</w:t>
      </w:r>
      <w:r w:rsidR="00AE03F0">
        <w:rPr>
          <w:rFonts w:cs="Arial"/>
          <w:sz w:val="20"/>
        </w:rPr>
        <w:t> </w:t>
      </w:r>
      <w:r>
        <w:rPr>
          <w:rFonts w:cs="Arial"/>
          <w:sz w:val="20"/>
        </w:rPr>
        <w:t>46, 52 et 55.</w:t>
      </w:r>
    </w:p>
  </w:footnote>
  <w:footnote w:id="13">
    <w:p w:rsidR="004E754D" w:rsidRPr="00CC7B03" w:rsidRDefault="004E754D" w:rsidP="00CC7B0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C7B03">
        <w:rPr>
          <w:rFonts w:cs="Arial"/>
          <w:sz w:val="20"/>
        </w:rPr>
        <w:t>2014 QCCLP</w:t>
      </w:r>
      <w:r w:rsidR="00AE03F0">
        <w:rPr>
          <w:rFonts w:cs="Arial"/>
          <w:sz w:val="20"/>
        </w:rPr>
        <w:t> </w:t>
      </w:r>
      <w:r w:rsidRPr="00CC7B03">
        <w:rPr>
          <w:rFonts w:cs="Arial"/>
          <w:sz w:val="20"/>
        </w:rPr>
        <w:t>4026.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4E754D" w:rsidTr="008C49CE">
      <w:tc>
        <w:tcPr>
          <w:tcW w:w="8730" w:type="dxa"/>
        </w:tcPr>
        <w:p w:rsidR="004E754D" w:rsidRDefault="004E754D">
          <w:pPr>
            <w:pStyle w:val="En-tte"/>
            <w:ind w:left="-90"/>
          </w:pPr>
        </w:p>
      </w:tc>
      <w:tc>
        <w:tcPr>
          <w:tcW w:w="860" w:type="dxa"/>
        </w:tcPr>
        <w:p w:rsidR="004E754D" w:rsidRDefault="004E754D">
          <w:pPr>
            <w:pStyle w:val="En-tte"/>
            <w:ind w:left="-90"/>
          </w:pPr>
        </w:p>
      </w:tc>
    </w:tr>
    <w:tr w:rsidR="00AE03F0" w:rsidTr="008C49CE">
      <w:tc>
        <w:tcPr>
          <w:tcW w:w="8730" w:type="dxa"/>
        </w:tcPr>
        <w:p w:rsidR="00AE03F0" w:rsidRDefault="00AE03F0" w:rsidP="00AE03F0">
          <w:pPr>
            <w:pStyle w:val="zSoquijdatNoDossier"/>
          </w:pPr>
          <w:r>
            <w:t>746513-71-2010</w:t>
          </w:r>
        </w:p>
      </w:tc>
      <w:tc>
        <w:tcPr>
          <w:tcW w:w="860" w:type="dxa"/>
        </w:tcPr>
        <w:p w:rsidR="00AE03F0" w:rsidRDefault="00AE03F0" w:rsidP="00AE03F0">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891A89">
            <w:rPr>
              <w:rStyle w:val="Numrodepage"/>
              <w:noProof/>
            </w:rPr>
            <w:t>4</w:t>
          </w:r>
          <w:r>
            <w:rPr>
              <w:rStyle w:val="Numrodepage"/>
            </w:rPr>
            <w:fldChar w:fldCharType="end"/>
          </w:r>
        </w:p>
      </w:tc>
    </w:tr>
    <w:tr w:rsidR="00AE03F0" w:rsidTr="008C49CE">
      <w:tc>
        <w:tcPr>
          <w:tcW w:w="8730" w:type="dxa"/>
        </w:tcPr>
        <w:p w:rsidR="00AE03F0" w:rsidRDefault="00AE03F0" w:rsidP="00AE03F0"/>
      </w:tc>
      <w:tc>
        <w:tcPr>
          <w:tcW w:w="860" w:type="dxa"/>
        </w:tcPr>
        <w:p w:rsidR="00AE03F0" w:rsidRDefault="00AE03F0" w:rsidP="00AE03F0">
          <w:pPr>
            <w:pStyle w:val="En-tte"/>
            <w:ind w:left="-90"/>
            <w:jc w:val="right"/>
          </w:pPr>
        </w:p>
      </w:tc>
    </w:tr>
  </w:tbl>
  <w:p w:rsidR="004E754D" w:rsidRDefault="004E754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396647BE"/>
    <w:multiLevelType w:val="hybridMultilevel"/>
    <w:tmpl w:val="15DE23E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51BA092F"/>
    <w:multiLevelType w:val="hybridMultilevel"/>
    <w:tmpl w:val="FBFA4FF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539E2C34"/>
    <w:multiLevelType w:val="hybridMultilevel"/>
    <w:tmpl w:val="E50EC9F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6"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8"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0"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1"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2"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10"/>
  </w:num>
  <w:num w:numId="2">
    <w:abstractNumId w:val="9"/>
  </w:num>
  <w:num w:numId="3">
    <w:abstractNumId w:val="8"/>
  </w:num>
  <w:num w:numId="4">
    <w:abstractNumId w:val="6"/>
  </w:num>
  <w:num w:numId="5">
    <w:abstractNumId w:val="12"/>
  </w:num>
  <w:num w:numId="6">
    <w:abstractNumId w:val="12"/>
  </w:num>
  <w:num w:numId="7">
    <w:abstractNumId w:val="0"/>
  </w:num>
  <w:num w:numId="8">
    <w:abstractNumId w:val="5"/>
  </w:num>
  <w:num w:numId="9">
    <w:abstractNumId w:val="1"/>
  </w:num>
  <w:num w:numId="10">
    <w:abstractNumId w:val="11"/>
  </w:num>
  <w:num w:numId="11">
    <w:abstractNumId w:val="7"/>
  </w:num>
  <w:num w:numId="12">
    <w:abstractNumId w:val="3"/>
  </w:num>
  <w:num w:numId="13">
    <w:abstractNumId w:val="4"/>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9CE"/>
    <w:rsid w:val="000034B0"/>
    <w:rsid w:val="000041A1"/>
    <w:rsid w:val="0001305E"/>
    <w:rsid w:val="00021122"/>
    <w:rsid w:val="00021B30"/>
    <w:rsid w:val="00021E4C"/>
    <w:rsid w:val="00022556"/>
    <w:rsid w:val="00023858"/>
    <w:rsid w:val="000352CA"/>
    <w:rsid w:val="000366EC"/>
    <w:rsid w:val="00043E4D"/>
    <w:rsid w:val="0005034C"/>
    <w:rsid w:val="00056393"/>
    <w:rsid w:val="0007225E"/>
    <w:rsid w:val="00074EAE"/>
    <w:rsid w:val="00076D81"/>
    <w:rsid w:val="00080885"/>
    <w:rsid w:val="00082A97"/>
    <w:rsid w:val="0008378A"/>
    <w:rsid w:val="0008784D"/>
    <w:rsid w:val="00090018"/>
    <w:rsid w:val="00090306"/>
    <w:rsid w:val="00093ACD"/>
    <w:rsid w:val="00095814"/>
    <w:rsid w:val="00097D81"/>
    <w:rsid w:val="00097FCE"/>
    <w:rsid w:val="000A1724"/>
    <w:rsid w:val="000A4AD0"/>
    <w:rsid w:val="000A5AD1"/>
    <w:rsid w:val="000A77C5"/>
    <w:rsid w:val="000B108B"/>
    <w:rsid w:val="000B7F1B"/>
    <w:rsid w:val="000C710F"/>
    <w:rsid w:val="000D3948"/>
    <w:rsid w:val="000E0C28"/>
    <w:rsid w:val="000E1320"/>
    <w:rsid w:val="000E3FF6"/>
    <w:rsid w:val="000E56A6"/>
    <w:rsid w:val="000F3423"/>
    <w:rsid w:val="000F5F81"/>
    <w:rsid w:val="00100BB0"/>
    <w:rsid w:val="00104550"/>
    <w:rsid w:val="00104C3D"/>
    <w:rsid w:val="001050B4"/>
    <w:rsid w:val="001144AB"/>
    <w:rsid w:val="0012224D"/>
    <w:rsid w:val="001225BC"/>
    <w:rsid w:val="00122A9E"/>
    <w:rsid w:val="00122F94"/>
    <w:rsid w:val="0012305A"/>
    <w:rsid w:val="0012326A"/>
    <w:rsid w:val="00124EC6"/>
    <w:rsid w:val="00137E7E"/>
    <w:rsid w:val="001407FC"/>
    <w:rsid w:val="00144572"/>
    <w:rsid w:val="00147A49"/>
    <w:rsid w:val="00147B8B"/>
    <w:rsid w:val="0015125A"/>
    <w:rsid w:val="00152464"/>
    <w:rsid w:val="0015539F"/>
    <w:rsid w:val="00160597"/>
    <w:rsid w:val="001631F3"/>
    <w:rsid w:val="001664C8"/>
    <w:rsid w:val="00167AD0"/>
    <w:rsid w:val="00167E9D"/>
    <w:rsid w:val="00173184"/>
    <w:rsid w:val="00175079"/>
    <w:rsid w:val="00183515"/>
    <w:rsid w:val="00196320"/>
    <w:rsid w:val="001A03BE"/>
    <w:rsid w:val="001A067E"/>
    <w:rsid w:val="001A2900"/>
    <w:rsid w:val="001A4081"/>
    <w:rsid w:val="001A65F1"/>
    <w:rsid w:val="001B2B40"/>
    <w:rsid w:val="001B3E9D"/>
    <w:rsid w:val="001B4A40"/>
    <w:rsid w:val="001B5524"/>
    <w:rsid w:val="001C19D4"/>
    <w:rsid w:val="001C2B0B"/>
    <w:rsid w:val="001C436D"/>
    <w:rsid w:val="001D65D8"/>
    <w:rsid w:val="001E42F0"/>
    <w:rsid w:val="00217DA9"/>
    <w:rsid w:val="00226493"/>
    <w:rsid w:val="00227040"/>
    <w:rsid w:val="00230CFC"/>
    <w:rsid w:val="00231C1D"/>
    <w:rsid w:val="00241CED"/>
    <w:rsid w:val="00242FB4"/>
    <w:rsid w:val="00243B5C"/>
    <w:rsid w:val="00245605"/>
    <w:rsid w:val="002563F0"/>
    <w:rsid w:val="00256DBB"/>
    <w:rsid w:val="00266064"/>
    <w:rsid w:val="00267C8D"/>
    <w:rsid w:val="002701DD"/>
    <w:rsid w:val="00273F49"/>
    <w:rsid w:val="002769B5"/>
    <w:rsid w:val="00276B59"/>
    <w:rsid w:val="00281319"/>
    <w:rsid w:val="00286149"/>
    <w:rsid w:val="0028668D"/>
    <w:rsid w:val="00290289"/>
    <w:rsid w:val="00292188"/>
    <w:rsid w:val="00296645"/>
    <w:rsid w:val="00296A4B"/>
    <w:rsid w:val="00297284"/>
    <w:rsid w:val="002A0077"/>
    <w:rsid w:val="002A07DC"/>
    <w:rsid w:val="002A3573"/>
    <w:rsid w:val="002A374B"/>
    <w:rsid w:val="002A73E9"/>
    <w:rsid w:val="002B2FC3"/>
    <w:rsid w:val="002B35F0"/>
    <w:rsid w:val="002B58AF"/>
    <w:rsid w:val="002C3748"/>
    <w:rsid w:val="002C5E89"/>
    <w:rsid w:val="002D42BC"/>
    <w:rsid w:val="002D71A9"/>
    <w:rsid w:val="002D7846"/>
    <w:rsid w:val="002D7FCB"/>
    <w:rsid w:val="002E05AE"/>
    <w:rsid w:val="002F7507"/>
    <w:rsid w:val="00302FB4"/>
    <w:rsid w:val="00305273"/>
    <w:rsid w:val="003057FC"/>
    <w:rsid w:val="00307C85"/>
    <w:rsid w:val="00312983"/>
    <w:rsid w:val="003219E5"/>
    <w:rsid w:val="003248CB"/>
    <w:rsid w:val="00331EA7"/>
    <w:rsid w:val="003332B8"/>
    <w:rsid w:val="00337555"/>
    <w:rsid w:val="00344465"/>
    <w:rsid w:val="0034740A"/>
    <w:rsid w:val="0035375B"/>
    <w:rsid w:val="00362D74"/>
    <w:rsid w:val="003664E9"/>
    <w:rsid w:val="00366D1E"/>
    <w:rsid w:val="0037112C"/>
    <w:rsid w:val="00372D9C"/>
    <w:rsid w:val="00373EE5"/>
    <w:rsid w:val="003817E7"/>
    <w:rsid w:val="00382E55"/>
    <w:rsid w:val="00390B55"/>
    <w:rsid w:val="003961B2"/>
    <w:rsid w:val="003A41AD"/>
    <w:rsid w:val="003B152B"/>
    <w:rsid w:val="003B1734"/>
    <w:rsid w:val="003B1735"/>
    <w:rsid w:val="003B6CBF"/>
    <w:rsid w:val="003C47A7"/>
    <w:rsid w:val="003D0826"/>
    <w:rsid w:val="003D18FC"/>
    <w:rsid w:val="003D3C93"/>
    <w:rsid w:val="003E00D5"/>
    <w:rsid w:val="003E02BA"/>
    <w:rsid w:val="003E056E"/>
    <w:rsid w:val="003F0578"/>
    <w:rsid w:val="003F7F38"/>
    <w:rsid w:val="0040399B"/>
    <w:rsid w:val="00406F0C"/>
    <w:rsid w:val="00411251"/>
    <w:rsid w:val="00412585"/>
    <w:rsid w:val="0041363B"/>
    <w:rsid w:val="00415D5D"/>
    <w:rsid w:val="004232E9"/>
    <w:rsid w:val="0042650F"/>
    <w:rsid w:val="0042684F"/>
    <w:rsid w:val="00427D5D"/>
    <w:rsid w:val="00431E0B"/>
    <w:rsid w:val="004337FE"/>
    <w:rsid w:val="00433E98"/>
    <w:rsid w:val="00435738"/>
    <w:rsid w:val="00437137"/>
    <w:rsid w:val="004403B8"/>
    <w:rsid w:val="00441ADA"/>
    <w:rsid w:val="004422CA"/>
    <w:rsid w:val="0044371C"/>
    <w:rsid w:val="0044627E"/>
    <w:rsid w:val="0045114F"/>
    <w:rsid w:val="004529D3"/>
    <w:rsid w:val="00453F31"/>
    <w:rsid w:val="00456B0C"/>
    <w:rsid w:val="0046538B"/>
    <w:rsid w:val="00471C92"/>
    <w:rsid w:val="004739AC"/>
    <w:rsid w:val="00474489"/>
    <w:rsid w:val="00475FEF"/>
    <w:rsid w:val="0047776F"/>
    <w:rsid w:val="00482D5B"/>
    <w:rsid w:val="004870EA"/>
    <w:rsid w:val="00487F13"/>
    <w:rsid w:val="0049595F"/>
    <w:rsid w:val="00496193"/>
    <w:rsid w:val="004A02AF"/>
    <w:rsid w:val="004A4449"/>
    <w:rsid w:val="004A5B5B"/>
    <w:rsid w:val="004A679B"/>
    <w:rsid w:val="004C0FB4"/>
    <w:rsid w:val="004C1811"/>
    <w:rsid w:val="004C20A4"/>
    <w:rsid w:val="004C2944"/>
    <w:rsid w:val="004C4555"/>
    <w:rsid w:val="004D16D6"/>
    <w:rsid w:val="004D6CEA"/>
    <w:rsid w:val="004E1301"/>
    <w:rsid w:val="004E3564"/>
    <w:rsid w:val="004E51C0"/>
    <w:rsid w:val="004E64BE"/>
    <w:rsid w:val="004E754D"/>
    <w:rsid w:val="004F6293"/>
    <w:rsid w:val="00503B8D"/>
    <w:rsid w:val="00503EE3"/>
    <w:rsid w:val="00505811"/>
    <w:rsid w:val="0050652A"/>
    <w:rsid w:val="0051261C"/>
    <w:rsid w:val="00515DE7"/>
    <w:rsid w:val="00517EB0"/>
    <w:rsid w:val="005205CB"/>
    <w:rsid w:val="005348E4"/>
    <w:rsid w:val="005352F1"/>
    <w:rsid w:val="00540094"/>
    <w:rsid w:val="00541198"/>
    <w:rsid w:val="00545CFF"/>
    <w:rsid w:val="0055291B"/>
    <w:rsid w:val="00555800"/>
    <w:rsid w:val="00556DBB"/>
    <w:rsid w:val="00557238"/>
    <w:rsid w:val="00557A13"/>
    <w:rsid w:val="00560781"/>
    <w:rsid w:val="0056268F"/>
    <w:rsid w:val="005662E9"/>
    <w:rsid w:val="005700F8"/>
    <w:rsid w:val="00572AAF"/>
    <w:rsid w:val="005801AE"/>
    <w:rsid w:val="00580F47"/>
    <w:rsid w:val="00582868"/>
    <w:rsid w:val="00582ECC"/>
    <w:rsid w:val="0058399B"/>
    <w:rsid w:val="0058692F"/>
    <w:rsid w:val="00587045"/>
    <w:rsid w:val="00587C22"/>
    <w:rsid w:val="005907BE"/>
    <w:rsid w:val="0059436D"/>
    <w:rsid w:val="005945C0"/>
    <w:rsid w:val="00597016"/>
    <w:rsid w:val="005974B7"/>
    <w:rsid w:val="005A0D51"/>
    <w:rsid w:val="005A181B"/>
    <w:rsid w:val="005A1CB3"/>
    <w:rsid w:val="005A3073"/>
    <w:rsid w:val="005A33A5"/>
    <w:rsid w:val="005A70A0"/>
    <w:rsid w:val="005B0612"/>
    <w:rsid w:val="005B13F0"/>
    <w:rsid w:val="005B2E0C"/>
    <w:rsid w:val="005B30F6"/>
    <w:rsid w:val="005B45BA"/>
    <w:rsid w:val="005B5689"/>
    <w:rsid w:val="005B6680"/>
    <w:rsid w:val="005B6774"/>
    <w:rsid w:val="005C0A89"/>
    <w:rsid w:val="005C0E1D"/>
    <w:rsid w:val="005C3BC4"/>
    <w:rsid w:val="005D26CC"/>
    <w:rsid w:val="005D59B1"/>
    <w:rsid w:val="005D5CE6"/>
    <w:rsid w:val="005D764B"/>
    <w:rsid w:val="005E046D"/>
    <w:rsid w:val="005E2367"/>
    <w:rsid w:val="005E5E90"/>
    <w:rsid w:val="005E654C"/>
    <w:rsid w:val="005F05F6"/>
    <w:rsid w:val="00605734"/>
    <w:rsid w:val="00605861"/>
    <w:rsid w:val="0061488E"/>
    <w:rsid w:val="0061574B"/>
    <w:rsid w:val="00621B97"/>
    <w:rsid w:val="00622670"/>
    <w:rsid w:val="00623A1A"/>
    <w:rsid w:val="00626E8D"/>
    <w:rsid w:val="0063156B"/>
    <w:rsid w:val="006326A9"/>
    <w:rsid w:val="00632DA8"/>
    <w:rsid w:val="00634E6E"/>
    <w:rsid w:val="006410AF"/>
    <w:rsid w:val="0064342A"/>
    <w:rsid w:val="00643A28"/>
    <w:rsid w:val="006452DE"/>
    <w:rsid w:val="006452FA"/>
    <w:rsid w:val="0065093D"/>
    <w:rsid w:val="00652A16"/>
    <w:rsid w:val="00655193"/>
    <w:rsid w:val="00655459"/>
    <w:rsid w:val="00656FB2"/>
    <w:rsid w:val="00657A70"/>
    <w:rsid w:val="00661454"/>
    <w:rsid w:val="006620AA"/>
    <w:rsid w:val="0066642D"/>
    <w:rsid w:val="00675E85"/>
    <w:rsid w:val="0067750F"/>
    <w:rsid w:val="00681396"/>
    <w:rsid w:val="0068171F"/>
    <w:rsid w:val="0068401E"/>
    <w:rsid w:val="006841A4"/>
    <w:rsid w:val="0068643F"/>
    <w:rsid w:val="006877A1"/>
    <w:rsid w:val="00692150"/>
    <w:rsid w:val="00692F0C"/>
    <w:rsid w:val="00696E7C"/>
    <w:rsid w:val="006A0C54"/>
    <w:rsid w:val="006A7C53"/>
    <w:rsid w:val="006B140A"/>
    <w:rsid w:val="006B309C"/>
    <w:rsid w:val="006B5AD6"/>
    <w:rsid w:val="006B727F"/>
    <w:rsid w:val="006C6D3A"/>
    <w:rsid w:val="006C7B36"/>
    <w:rsid w:val="006C7B7F"/>
    <w:rsid w:val="006D19E8"/>
    <w:rsid w:val="006E04B5"/>
    <w:rsid w:val="006E330C"/>
    <w:rsid w:val="006E3DD8"/>
    <w:rsid w:val="006E793F"/>
    <w:rsid w:val="006F0154"/>
    <w:rsid w:val="006F4D65"/>
    <w:rsid w:val="006F608D"/>
    <w:rsid w:val="006F7944"/>
    <w:rsid w:val="00704121"/>
    <w:rsid w:val="00705BB5"/>
    <w:rsid w:val="0071326F"/>
    <w:rsid w:val="007153D7"/>
    <w:rsid w:val="00720ED4"/>
    <w:rsid w:val="0074488F"/>
    <w:rsid w:val="00745AA8"/>
    <w:rsid w:val="007503E0"/>
    <w:rsid w:val="007510EC"/>
    <w:rsid w:val="0075233C"/>
    <w:rsid w:val="0075256A"/>
    <w:rsid w:val="00752DCD"/>
    <w:rsid w:val="007569DE"/>
    <w:rsid w:val="0075723C"/>
    <w:rsid w:val="007634F5"/>
    <w:rsid w:val="00775BDF"/>
    <w:rsid w:val="0077614D"/>
    <w:rsid w:val="00782C8F"/>
    <w:rsid w:val="00785F78"/>
    <w:rsid w:val="0078659D"/>
    <w:rsid w:val="007869EC"/>
    <w:rsid w:val="007A1E58"/>
    <w:rsid w:val="007A5C7E"/>
    <w:rsid w:val="007A6E2F"/>
    <w:rsid w:val="007B0DF2"/>
    <w:rsid w:val="007B3BC5"/>
    <w:rsid w:val="007D03DF"/>
    <w:rsid w:val="007D4953"/>
    <w:rsid w:val="007D50F4"/>
    <w:rsid w:val="007D7173"/>
    <w:rsid w:val="007D725D"/>
    <w:rsid w:val="007E1216"/>
    <w:rsid w:val="007E4CD4"/>
    <w:rsid w:val="007E530C"/>
    <w:rsid w:val="007F0E8E"/>
    <w:rsid w:val="007F2149"/>
    <w:rsid w:val="007F4E00"/>
    <w:rsid w:val="00801209"/>
    <w:rsid w:val="008048CF"/>
    <w:rsid w:val="008079DD"/>
    <w:rsid w:val="0081130F"/>
    <w:rsid w:val="00813095"/>
    <w:rsid w:val="008145AD"/>
    <w:rsid w:val="008146B2"/>
    <w:rsid w:val="00824430"/>
    <w:rsid w:val="00825B1F"/>
    <w:rsid w:val="00827D55"/>
    <w:rsid w:val="00840EDD"/>
    <w:rsid w:val="0084255F"/>
    <w:rsid w:val="00854143"/>
    <w:rsid w:val="00854FB3"/>
    <w:rsid w:val="00860F13"/>
    <w:rsid w:val="00861F8B"/>
    <w:rsid w:val="0086224E"/>
    <w:rsid w:val="0086561F"/>
    <w:rsid w:val="00865A7A"/>
    <w:rsid w:val="00865FE1"/>
    <w:rsid w:val="0087069B"/>
    <w:rsid w:val="008748C7"/>
    <w:rsid w:val="0087521A"/>
    <w:rsid w:val="008808C0"/>
    <w:rsid w:val="00890BDE"/>
    <w:rsid w:val="00891A89"/>
    <w:rsid w:val="00892AD3"/>
    <w:rsid w:val="008962E7"/>
    <w:rsid w:val="008A1118"/>
    <w:rsid w:val="008A281F"/>
    <w:rsid w:val="008A48D2"/>
    <w:rsid w:val="008A4AF6"/>
    <w:rsid w:val="008A4FF8"/>
    <w:rsid w:val="008A5ED1"/>
    <w:rsid w:val="008A73CE"/>
    <w:rsid w:val="008A7FD1"/>
    <w:rsid w:val="008B042E"/>
    <w:rsid w:val="008B211E"/>
    <w:rsid w:val="008B6D48"/>
    <w:rsid w:val="008C49CE"/>
    <w:rsid w:val="008C7660"/>
    <w:rsid w:val="008C79A7"/>
    <w:rsid w:val="008D5521"/>
    <w:rsid w:val="008D555F"/>
    <w:rsid w:val="008D625D"/>
    <w:rsid w:val="008D650E"/>
    <w:rsid w:val="008E6A41"/>
    <w:rsid w:val="008F15D5"/>
    <w:rsid w:val="00903990"/>
    <w:rsid w:val="009042A8"/>
    <w:rsid w:val="00904950"/>
    <w:rsid w:val="00915E5E"/>
    <w:rsid w:val="009166B8"/>
    <w:rsid w:val="00917915"/>
    <w:rsid w:val="00920684"/>
    <w:rsid w:val="009216E6"/>
    <w:rsid w:val="00922DB7"/>
    <w:rsid w:val="0092684A"/>
    <w:rsid w:val="00937FAB"/>
    <w:rsid w:val="0094094D"/>
    <w:rsid w:val="00942AB8"/>
    <w:rsid w:val="0094548C"/>
    <w:rsid w:val="00945CAF"/>
    <w:rsid w:val="00946AC9"/>
    <w:rsid w:val="00947448"/>
    <w:rsid w:val="00952B38"/>
    <w:rsid w:val="00952C99"/>
    <w:rsid w:val="00965333"/>
    <w:rsid w:val="009712EF"/>
    <w:rsid w:val="009727BF"/>
    <w:rsid w:val="00973321"/>
    <w:rsid w:val="00975C2E"/>
    <w:rsid w:val="00977270"/>
    <w:rsid w:val="009824F2"/>
    <w:rsid w:val="00983080"/>
    <w:rsid w:val="00986AA3"/>
    <w:rsid w:val="00993B24"/>
    <w:rsid w:val="0099611F"/>
    <w:rsid w:val="009A083F"/>
    <w:rsid w:val="009A135C"/>
    <w:rsid w:val="009A67E7"/>
    <w:rsid w:val="009C603A"/>
    <w:rsid w:val="009C74CD"/>
    <w:rsid w:val="009D048F"/>
    <w:rsid w:val="009D162F"/>
    <w:rsid w:val="009D192D"/>
    <w:rsid w:val="009D401F"/>
    <w:rsid w:val="009D68FA"/>
    <w:rsid w:val="009E32CF"/>
    <w:rsid w:val="009E4FC2"/>
    <w:rsid w:val="009F44AE"/>
    <w:rsid w:val="00A02529"/>
    <w:rsid w:val="00A02EF2"/>
    <w:rsid w:val="00A04D5E"/>
    <w:rsid w:val="00A07D0C"/>
    <w:rsid w:val="00A10DDF"/>
    <w:rsid w:val="00A11172"/>
    <w:rsid w:val="00A1219E"/>
    <w:rsid w:val="00A12E55"/>
    <w:rsid w:val="00A2411A"/>
    <w:rsid w:val="00A242E4"/>
    <w:rsid w:val="00A24437"/>
    <w:rsid w:val="00A24CA0"/>
    <w:rsid w:val="00A33601"/>
    <w:rsid w:val="00A3362A"/>
    <w:rsid w:val="00A37B70"/>
    <w:rsid w:val="00A40967"/>
    <w:rsid w:val="00A40AC7"/>
    <w:rsid w:val="00A429D9"/>
    <w:rsid w:val="00A435C7"/>
    <w:rsid w:val="00A44348"/>
    <w:rsid w:val="00A569B2"/>
    <w:rsid w:val="00A60064"/>
    <w:rsid w:val="00A611A4"/>
    <w:rsid w:val="00A61F09"/>
    <w:rsid w:val="00A63B81"/>
    <w:rsid w:val="00A6695B"/>
    <w:rsid w:val="00A72703"/>
    <w:rsid w:val="00A727F6"/>
    <w:rsid w:val="00A72E71"/>
    <w:rsid w:val="00A75D93"/>
    <w:rsid w:val="00A76432"/>
    <w:rsid w:val="00A770C0"/>
    <w:rsid w:val="00A84FC6"/>
    <w:rsid w:val="00A8528E"/>
    <w:rsid w:val="00A90633"/>
    <w:rsid w:val="00A90BD9"/>
    <w:rsid w:val="00A94A49"/>
    <w:rsid w:val="00A95C5E"/>
    <w:rsid w:val="00AA1815"/>
    <w:rsid w:val="00AA1D3E"/>
    <w:rsid w:val="00AA39F9"/>
    <w:rsid w:val="00AA79D3"/>
    <w:rsid w:val="00AB0931"/>
    <w:rsid w:val="00AB5C9B"/>
    <w:rsid w:val="00AC0276"/>
    <w:rsid w:val="00AC0312"/>
    <w:rsid w:val="00AC0449"/>
    <w:rsid w:val="00AC0DC3"/>
    <w:rsid w:val="00AD2497"/>
    <w:rsid w:val="00AD5EB4"/>
    <w:rsid w:val="00AD667B"/>
    <w:rsid w:val="00AE03F0"/>
    <w:rsid w:val="00AE63E2"/>
    <w:rsid w:val="00AF04C9"/>
    <w:rsid w:val="00AF1DC4"/>
    <w:rsid w:val="00AF26B6"/>
    <w:rsid w:val="00AF2979"/>
    <w:rsid w:val="00AF3189"/>
    <w:rsid w:val="00B0375C"/>
    <w:rsid w:val="00B052CB"/>
    <w:rsid w:val="00B156C3"/>
    <w:rsid w:val="00B15F67"/>
    <w:rsid w:val="00B1624F"/>
    <w:rsid w:val="00B20F5D"/>
    <w:rsid w:val="00B21184"/>
    <w:rsid w:val="00B224C5"/>
    <w:rsid w:val="00B325CD"/>
    <w:rsid w:val="00B4316F"/>
    <w:rsid w:val="00B4544A"/>
    <w:rsid w:val="00B4561E"/>
    <w:rsid w:val="00B4768D"/>
    <w:rsid w:val="00B518E5"/>
    <w:rsid w:val="00B51E1F"/>
    <w:rsid w:val="00B57032"/>
    <w:rsid w:val="00B60222"/>
    <w:rsid w:val="00B62CFB"/>
    <w:rsid w:val="00B662F5"/>
    <w:rsid w:val="00B7000C"/>
    <w:rsid w:val="00B760D5"/>
    <w:rsid w:val="00B83B2C"/>
    <w:rsid w:val="00B92049"/>
    <w:rsid w:val="00B94740"/>
    <w:rsid w:val="00B95002"/>
    <w:rsid w:val="00B97F75"/>
    <w:rsid w:val="00BA0A4F"/>
    <w:rsid w:val="00BA1CAE"/>
    <w:rsid w:val="00BA33BB"/>
    <w:rsid w:val="00BA4165"/>
    <w:rsid w:val="00BA4830"/>
    <w:rsid w:val="00BA6E22"/>
    <w:rsid w:val="00BB362C"/>
    <w:rsid w:val="00BB5942"/>
    <w:rsid w:val="00BC0A03"/>
    <w:rsid w:val="00BC5BB4"/>
    <w:rsid w:val="00BD4139"/>
    <w:rsid w:val="00BE059A"/>
    <w:rsid w:val="00BE1981"/>
    <w:rsid w:val="00BE2DA6"/>
    <w:rsid w:val="00BE320B"/>
    <w:rsid w:val="00BE56E9"/>
    <w:rsid w:val="00BE63CF"/>
    <w:rsid w:val="00BE7014"/>
    <w:rsid w:val="00BE7991"/>
    <w:rsid w:val="00BF25C7"/>
    <w:rsid w:val="00C009B7"/>
    <w:rsid w:val="00C04E32"/>
    <w:rsid w:val="00C116B1"/>
    <w:rsid w:val="00C15A3F"/>
    <w:rsid w:val="00C16D8B"/>
    <w:rsid w:val="00C17AF8"/>
    <w:rsid w:val="00C20630"/>
    <w:rsid w:val="00C224A4"/>
    <w:rsid w:val="00C22F7A"/>
    <w:rsid w:val="00C25081"/>
    <w:rsid w:val="00C2666F"/>
    <w:rsid w:val="00C32020"/>
    <w:rsid w:val="00C32D02"/>
    <w:rsid w:val="00C3408C"/>
    <w:rsid w:val="00C3484D"/>
    <w:rsid w:val="00C351CC"/>
    <w:rsid w:val="00C35435"/>
    <w:rsid w:val="00C432FD"/>
    <w:rsid w:val="00C43CDF"/>
    <w:rsid w:val="00C50E99"/>
    <w:rsid w:val="00C512B2"/>
    <w:rsid w:val="00C61D56"/>
    <w:rsid w:val="00C62B69"/>
    <w:rsid w:val="00C644B7"/>
    <w:rsid w:val="00C64564"/>
    <w:rsid w:val="00C72911"/>
    <w:rsid w:val="00C73C87"/>
    <w:rsid w:val="00C74B6F"/>
    <w:rsid w:val="00C87EF3"/>
    <w:rsid w:val="00C9015F"/>
    <w:rsid w:val="00C912F9"/>
    <w:rsid w:val="00C9241B"/>
    <w:rsid w:val="00C96DDF"/>
    <w:rsid w:val="00C97569"/>
    <w:rsid w:val="00CA199D"/>
    <w:rsid w:val="00CA4D9C"/>
    <w:rsid w:val="00CB05A7"/>
    <w:rsid w:val="00CB06A4"/>
    <w:rsid w:val="00CB325B"/>
    <w:rsid w:val="00CB43D3"/>
    <w:rsid w:val="00CB64FF"/>
    <w:rsid w:val="00CB7078"/>
    <w:rsid w:val="00CC014B"/>
    <w:rsid w:val="00CC21D8"/>
    <w:rsid w:val="00CC3369"/>
    <w:rsid w:val="00CC5343"/>
    <w:rsid w:val="00CC6338"/>
    <w:rsid w:val="00CC78DE"/>
    <w:rsid w:val="00CC7B03"/>
    <w:rsid w:val="00CD04D9"/>
    <w:rsid w:val="00CD0F93"/>
    <w:rsid w:val="00CD6D6E"/>
    <w:rsid w:val="00CD6F23"/>
    <w:rsid w:val="00CE425B"/>
    <w:rsid w:val="00CF353D"/>
    <w:rsid w:val="00CF640B"/>
    <w:rsid w:val="00CF6B5A"/>
    <w:rsid w:val="00D027AF"/>
    <w:rsid w:val="00D0323E"/>
    <w:rsid w:val="00D06652"/>
    <w:rsid w:val="00D07FA6"/>
    <w:rsid w:val="00D16ADF"/>
    <w:rsid w:val="00D17C53"/>
    <w:rsid w:val="00D17D57"/>
    <w:rsid w:val="00D2341D"/>
    <w:rsid w:val="00D25E0E"/>
    <w:rsid w:val="00D302EB"/>
    <w:rsid w:val="00D31679"/>
    <w:rsid w:val="00D320C8"/>
    <w:rsid w:val="00D3672F"/>
    <w:rsid w:val="00D40ABA"/>
    <w:rsid w:val="00D40FE2"/>
    <w:rsid w:val="00D440FA"/>
    <w:rsid w:val="00D44BCF"/>
    <w:rsid w:val="00D46E73"/>
    <w:rsid w:val="00D5548D"/>
    <w:rsid w:val="00D60F81"/>
    <w:rsid w:val="00D62614"/>
    <w:rsid w:val="00D63951"/>
    <w:rsid w:val="00D63BF2"/>
    <w:rsid w:val="00D67348"/>
    <w:rsid w:val="00D70A26"/>
    <w:rsid w:val="00D73BB4"/>
    <w:rsid w:val="00D75FEC"/>
    <w:rsid w:val="00D76B98"/>
    <w:rsid w:val="00D835A0"/>
    <w:rsid w:val="00D86F2C"/>
    <w:rsid w:val="00DA0680"/>
    <w:rsid w:val="00DA36F6"/>
    <w:rsid w:val="00DB0C8D"/>
    <w:rsid w:val="00DC02A3"/>
    <w:rsid w:val="00DC1611"/>
    <w:rsid w:val="00DD3C53"/>
    <w:rsid w:val="00DD5AB1"/>
    <w:rsid w:val="00DE745D"/>
    <w:rsid w:val="00DF0774"/>
    <w:rsid w:val="00DF1036"/>
    <w:rsid w:val="00DF4644"/>
    <w:rsid w:val="00E012B4"/>
    <w:rsid w:val="00E05451"/>
    <w:rsid w:val="00E05651"/>
    <w:rsid w:val="00E11BA5"/>
    <w:rsid w:val="00E20425"/>
    <w:rsid w:val="00E25DCB"/>
    <w:rsid w:val="00E4156E"/>
    <w:rsid w:val="00E44D61"/>
    <w:rsid w:val="00E453F2"/>
    <w:rsid w:val="00E460AD"/>
    <w:rsid w:val="00E56E84"/>
    <w:rsid w:val="00E61925"/>
    <w:rsid w:val="00E65C0E"/>
    <w:rsid w:val="00E730FC"/>
    <w:rsid w:val="00E746F0"/>
    <w:rsid w:val="00E773DE"/>
    <w:rsid w:val="00E809B9"/>
    <w:rsid w:val="00E82A15"/>
    <w:rsid w:val="00E85445"/>
    <w:rsid w:val="00E87589"/>
    <w:rsid w:val="00E91B8C"/>
    <w:rsid w:val="00E934BF"/>
    <w:rsid w:val="00E938FF"/>
    <w:rsid w:val="00E93DFE"/>
    <w:rsid w:val="00EA2124"/>
    <w:rsid w:val="00EA2B12"/>
    <w:rsid w:val="00EA34DC"/>
    <w:rsid w:val="00EA4A2B"/>
    <w:rsid w:val="00EA5017"/>
    <w:rsid w:val="00EA6BED"/>
    <w:rsid w:val="00EB14F0"/>
    <w:rsid w:val="00EB3844"/>
    <w:rsid w:val="00EB5A9F"/>
    <w:rsid w:val="00EC573F"/>
    <w:rsid w:val="00EC5C8D"/>
    <w:rsid w:val="00ED106C"/>
    <w:rsid w:val="00ED2D34"/>
    <w:rsid w:val="00ED4805"/>
    <w:rsid w:val="00ED57F6"/>
    <w:rsid w:val="00ED6C51"/>
    <w:rsid w:val="00ED6DA1"/>
    <w:rsid w:val="00EF207D"/>
    <w:rsid w:val="00EF4258"/>
    <w:rsid w:val="00EF6D31"/>
    <w:rsid w:val="00F02237"/>
    <w:rsid w:val="00F079A6"/>
    <w:rsid w:val="00F10236"/>
    <w:rsid w:val="00F15811"/>
    <w:rsid w:val="00F22423"/>
    <w:rsid w:val="00F24C72"/>
    <w:rsid w:val="00F31D22"/>
    <w:rsid w:val="00F348B2"/>
    <w:rsid w:val="00F34BF0"/>
    <w:rsid w:val="00F34ED8"/>
    <w:rsid w:val="00F4095A"/>
    <w:rsid w:val="00F45845"/>
    <w:rsid w:val="00F50189"/>
    <w:rsid w:val="00F508FC"/>
    <w:rsid w:val="00F510B7"/>
    <w:rsid w:val="00F51C9C"/>
    <w:rsid w:val="00F53571"/>
    <w:rsid w:val="00F54044"/>
    <w:rsid w:val="00F5761E"/>
    <w:rsid w:val="00F576E7"/>
    <w:rsid w:val="00F73D1C"/>
    <w:rsid w:val="00F763FC"/>
    <w:rsid w:val="00F772C1"/>
    <w:rsid w:val="00F8026D"/>
    <w:rsid w:val="00F8245F"/>
    <w:rsid w:val="00F82E40"/>
    <w:rsid w:val="00F85BDC"/>
    <w:rsid w:val="00F91629"/>
    <w:rsid w:val="00F91E2A"/>
    <w:rsid w:val="00F96C39"/>
    <w:rsid w:val="00F96E41"/>
    <w:rsid w:val="00FA153F"/>
    <w:rsid w:val="00FA1D78"/>
    <w:rsid w:val="00FA1F7E"/>
    <w:rsid w:val="00FA280F"/>
    <w:rsid w:val="00FA58CE"/>
    <w:rsid w:val="00FB2186"/>
    <w:rsid w:val="00FD0133"/>
    <w:rsid w:val="00FD25FE"/>
    <w:rsid w:val="00FD6206"/>
    <w:rsid w:val="00FE1318"/>
    <w:rsid w:val="00FE1678"/>
    <w:rsid w:val="00FE208F"/>
    <w:rsid w:val="00FF32C3"/>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8F15D5"/>
    <w:pPr>
      <w:keepNext/>
      <w:spacing w:before="240" w:after="240"/>
      <w:outlineLvl w:val="2"/>
    </w:pPr>
    <w:rPr>
      <w:rFonts w:cs="Arial"/>
      <w:b/>
      <w:bCs/>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w:basedOn w:val="Policepardfaut"/>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paragraph" w:styleId="Textedebulles">
    <w:name w:val="Balloon Text"/>
    <w:basedOn w:val="Normal"/>
    <w:link w:val="TextedebullesCar"/>
    <w:rsid w:val="00A40967"/>
    <w:rPr>
      <w:rFonts w:ascii="Segoe UI" w:hAnsi="Segoe UI" w:cs="Segoe UI"/>
      <w:sz w:val="18"/>
      <w:szCs w:val="18"/>
    </w:rPr>
  </w:style>
  <w:style w:type="character" w:customStyle="1" w:styleId="TextedebullesCar">
    <w:name w:val="Texte de bulles Car"/>
    <w:basedOn w:val="Policepardfaut"/>
    <w:link w:val="Textedebulles"/>
    <w:rsid w:val="00A40967"/>
    <w:rPr>
      <w:rFonts w:ascii="Segoe UI" w:hAnsi="Segoe UI" w:cs="Segoe UI"/>
      <w:sz w:val="18"/>
      <w:szCs w:val="18"/>
    </w:rPr>
  </w:style>
  <w:style w:type="paragraph" w:styleId="Rvision">
    <w:name w:val="Revision"/>
    <w:hidden/>
    <w:uiPriority w:val="99"/>
    <w:semiHidden/>
    <w:rsid w:val="00021122"/>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1398</Words>
  <Characters>7694</Characters>
  <Application>Microsoft Office Word</Application>
  <DocSecurity>0</DocSecurity>
  <Lines>64</Lines>
  <Paragraphs>18</Paragraphs>
  <ScaleCrop>false</ScaleCrop>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2022-03-21T13:54:00Z</dcterms:created>
  <dcterms:modified xsi:type="dcterms:W3CDTF">2022-03-21T13:54:00Z</dcterms:modified>
</cp:coreProperties>
</file>