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6B6636">
        <w:trPr>
          <w:cantSplit/>
        </w:trPr>
        <w:tc>
          <w:tcPr>
            <w:tcW w:w="4795" w:type="dxa"/>
          </w:tcPr>
          <w:p w:rsidR="008A7FD1" w:rsidRPr="007B3E17" w:rsidRDefault="007B3E17" w:rsidP="007B3E17">
            <w:pPr>
              <w:pStyle w:val="zSoquijdatRepertorie"/>
              <w:rPr>
                <w:rFonts w:cs="Arial"/>
              </w:rPr>
            </w:pPr>
            <w:bookmarkStart w:id="0" w:name="_GoBack"/>
            <w:bookmarkEnd w:id="0"/>
            <w:r>
              <w:rPr>
                <w:rFonts w:cs="Arial"/>
              </w:rPr>
              <w:t>Valiquette et Fondations André Lemaire 2012 inc.</w:t>
            </w:r>
          </w:p>
        </w:tc>
        <w:tc>
          <w:tcPr>
            <w:tcW w:w="2477" w:type="dxa"/>
          </w:tcPr>
          <w:p w:rsidR="008A7FD1" w:rsidRPr="007C5EB3" w:rsidRDefault="007C5EB3" w:rsidP="007C5EB3">
            <w:pPr>
              <w:pStyle w:val="zSoquijdatRefNeutre"/>
              <w:rPr>
                <w:rFonts w:cs="Arial"/>
              </w:rPr>
            </w:pPr>
            <w:r w:rsidRPr="007C5EB3">
              <w:rPr>
                <w:rFonts w:cs="Arial"/>
              </w:rPr>
              <w:t>2016 QCTAT 2942</w:t>
            </w:r>
          </w:p>
        </w:tc>
      </w:tr>
    </w:tbl>
    <w:p w:rsidR="008A7FD1" w:rsidRPr="006B6636" w:rsidRDefault="008A7FD1">
      <w:pPr>
        <w:rPr>
          <w:sz w:val="22"/>
          <w:szCs w:val="22"/>
        </w:rPr>
      </w:pPr>
    </w:p>
    <w:tbl>
      <w:tblPr>
        <w:tblW w:w="9568" w:type="dxa"/>
        <w:tblLayout w:type="fixed"/>
        <w:tblCellMar>
          <w:left w:w="70" w:type="dxa"/>
          <w:right w:w="70" w:type="dxa"/>
        </w:tblCellMar>
        <w:tblLook w:val="0000" w:firstRow="0" w:lastRow="0" w:firstColumn="0" w:lastColumn="0" w:noHBand="0" w:noVBand="0"/>
      </w:tblPr>
      <w:tblGrid>
        <w:gridCol w:w="3614"/>
        <w:gridCol w:w="1134"/>
        <w:gridCol w:w="709"/>
        <w:gridCol w:w="4111"/>
      </w:tblGrid>
      <w:tr w:rsidR="00C74B6F" w:rsidRPr="006B6636" w:rsidTr="002A374B">
        <w:trPr>
          <w:cantSplit/>
        </w:trPr>
        <w:tc>
          <w:tcPr>
            <w:tcW w:w="9568" w:type="dxa"/>
            <w:gridSpan w:val="4"/>
          </w:tcPr>
          <w:p w:rsidR="00C74B6F" w:rsidRPr="006B6636" w:rsidRDefault="00C74B6F">
            <w:pPr>
              <w:rPr>
                <w:sz w:val="20"/>
              </w:rPr>
            </w:pPr>
          </w:p>
        </w:tc>
      </w:tr>
      <w:tr w:rsidR="00C74B6F" w:rsidTr="002A374B">
        <w:trPr>
          <w:cantSplit/>
        </w:trPr>
        <w:tc>
          <w:tcPr>
            <w:tcW w:w="9568" w:type="dxa"/>
            <w:gridSpan w:val="4"/>
            <w:vAlign w:val="center"/>
          </w:tcPr>
          <w:p w:rsidR="00C74B6F" w:rsidRPr="000E1320" w:rsidRDefault="000E1320">
            <w:pPr>
              <w:jc w:val="center"/>
              <w:rPr>
                <w:sz w:val="36"/>
                <w:szCs w:val="36"/>
              </w:rPr>
            </w:pPr>
            <w:r w:rsidRPr="000E1320">
              <w:rPr>
                <w:b/>
                <w:sz w:val="36"/>
                <w:szCs w:val="36"/>
              </w:rPr>
              <w:t>TRIBUNAL ADMINISTRATIF DU TRAVAIL</w:t>
            </w:r>
          </w:p>
        </w:tc>
      </w:tr>
      <w:tr w:rsidR="00C74B6F" w:rsidTr="002A374B">
        <w:trPr>
          <w:cantSplit/>
        </w:trPr>
        <w:tc>
          <w:tcPr>
            <w:tcW w:w="9568" w:type="dxa"/>
            <w:gridSpan w:val="4"/>
          </w:tcPr>
          <w:p w:rsidR="00C74B6F" w:rsidRPr="00BE7014" w:rsidRDefault="006F0154" w:rsidP="009A67E7">
            <w:pPr>
              <w:pStyle w:val="zSoquijdatDivision"/>
            </w:pPr>
            <w:r w:rsidRPr="00BE7014">
              <w:t>(</w:t>
            </w:r>
            <w:r w:rsidR="00252568" w:rsidRPr="00441ADA">
              <w:t>Division de la santé et de la sécurité du travail</w:t>
            </w:r>
            <w:r w:rsidRPr="00BE7014">
              <w:t>)</w:t>
            </w:r>
          </w:p>
        </w:tc>
      </w:tr>
      <w:tr w:rsidR="00C74B6F" w:rsidRPr="006B6636" w:rsidTr="002A374B">
        <w:trPr>
          <w:cantSplit/>
        </w:trPr>
        <w:tc>
          <w:tcPr>
            <w:tcW w:w="9568" w:type="dxa"/>
            <w:gridSpan w:val="4"/>
          </w:tcPr>
          <w:p w:rsidR="002B2FC3" w:rsidRPr="006B6636" w:rsidRDefault="002B2FC3" w:rsidP="002B2FC3">
            <w:pPr>
              <w:rPr>
                <w:sz w:val="20"/>
              </w:rPr>
            </w:pPr>
          </w:p>
        </w:tc>
      </w:tr>
      <w:tr w:rsidR="00A84FC6" w:rsidRPr="006B6636" w:rsidTr="002A374B">
        <w:trPr>
          <w:cantSplit/>
        </w:trPr>
        <w:tc>
          <w:tcPr>
            <w:tcW w:w="9568" w:type="dxa"/>
            <w:gridSpan w:val="4"/>
          </w:tcPr>
          <w:p w:rsidR="00A84FC6" w:rsidRPr="006B6636" w:rsidRDefault="00A84FC6" w:rsidP="002B2FC3">
            <w:pPr>
              <w:rPr>
                <w:sz w:val="20"/>
              </w:rPr>
            </w:pPr>
          </w:p>
        </w:tc>
      </w:tr>
      <w:tr w:rsidR="00C74B6F" w:rsidTr="005E654C">
        <w:tc>
          <w:tcPr>
            <w:tcW w:w="3614" w:type="dxa"/>
          </w:tcPr>
          <w:p w:rsidR="00C74B6F" w:rsidRDefault="0084255F">
            <w:bookmarkStart w:id="1" w:name="region" w:colFirst="1" w:colLast="1"/>
            <w:r>
              <w:t>Région :</w:t>
            </w:r>
          </w:p>
        </w:tc>
        <w:tc>
          <w:tcPr>
            <w:tcW w:w="5954" w:type="dxa"/>
            <w:gridSpan w:val="3"/>
          </w:tcPr>
          <w:p w:rsidR="00C74B6F" w:rsidRDefault="00252568" w:rsidP="00F4095A">
            <w:pPr>
              <w:pStyle w:val="zSoquijdatGreffe"/>
            </w:pPr>
            <w:r>
              <w:t>Lanaudière</w:t>
            </w:r>
          </w:p>
        </w:tc>
      </w:tr>
      <w:bookmarkEnd w:id="1"/>
      <w:tr w:rsidR="00C74B6F" w:rsidRPr="006B6636" w:rsidTr="002A374B">
        <w:trPr>
          <w:cantSplit/>
        </w:trPr>
        <w:tc>
          <w:tcPr>
            <w:tcW w:w="9568" w:type="dxa"/>
            <w:gridSpan w:val="4"/>
          </w:tcPr>
          <w:p w:rsidR="00C74B6F" w:rsidRPr="006B6636" w:rsidRDefault="00C74B6F">
            <w:pPr>
              <w:rPr>
                <w:sz w:val="20"/>
              </w:rPr>
            </w:pPr>
          </w:p>
        </w:tc>
      </w:tr>
      <w:tr w:rsidR="00C74B6F" w:rsidTr="005E654C">
        <w:tc>
          <w:tcPr>
            <w:tcW w:w="3614" w:type="dxa"/>
          </w:tcPr>
          <w:p w:rsidR="00C74B6F" w:rsidRDefault="0084255F">
            <w:bookmarkStart w:id="2" w:name="ref_dossier" w:colFirst="1" w:colLast="1"/>
            <w:r>
              <w:t>Dossier</w:t>
            </w:r>
            <w:bookmarkStart w:id="3" w:name="dossiers"/>
            <w:bookmarkEnd w:id="3"/>
            <w:r>
              <w:t> :</w:t>
            </w:r>
          </w:p>
        </w:tc>
        <w:tc>
          <w:tcPr>
            <w:tcW w:w="5954" w:type="dxa"/>
            <w:gridSpan w:val="3"/>
          </w:tcPr>
          <w:p w:rsidR="00C74B6F" w:rsidRDefault="00252568" w:rsidP="00F4095A">
            <w:pPr>
              <w:pStyle w:val="zSoquijdatNoDossier"/>
            </w:pPr>
            <w:r>
              <w:t>565016-63-1502</w:t>
            </w:r>
          </w:p>
        </w:tc>
      </w:tr>
      <w:bookmarkEnd w:id="2"/>
      <w:tr w:rsidR="00C74B6F" w:rsidRPr="006B6636" w:rsidTr="002A374B">
        <w:trPr>
          <w:cantSplit/>
        </w:trPr>
        <w:tc>
          <w:tcPr>
            <w:tcW w:w="9568" w:type="dxa"/>
            <w:gridSpan w:val="4"/>
          </w:tcPr>
          <w:p w:rsidR="00C74B6F" w:rsidRPr="006B6636" w:rsidRDefault="00C74B6F">
            <w:pPr>
              <w:rPr>
                <w:sz w:val="20"/>
              </w:rPr>
            </w:pPr>
          </w:p>
        </w:tc>
      </w:tr>
      <w:tr w:rsidR="00C74B6F" w:rsidTr="005E654C">
        <w:tc>
          <w:tcPr>
            <w:tcW w:w="3614" w:type="dxa"/>
          </w:tcPr>
          <w:p w:rsidR="00C74B6F" w:rsidRDefault="008C79A7" w:rsidP="00252568">
            <w:pPr>
              <w:ind w:right="46"/>
            </w:pPr>
            <w:r>
              <w:t xml:space="preserve">Dossier </w:t>
            </w:r>
            <w:r w:rsidR="00252568">
              <w:rPr>
                <w:szCs w:val="24"/>
              </w:rPr>
              <w:t>CNESST</w:t>
            </w:r>
            <w:r w:rsidRPr="008C79A7">
              <w:rPr>
                <w:szCs w:val="24"/>
              </w:rPr>
              <w:t xml:space="preserve"> :</w:t>
            </w:r>
          </w:p>
        </w:tc>
        <w:tc>
          <w:tcPr>
            <w:tcW w:w="5954" w:type="dxa"/>
            <w:gridSpan w:val="3"/>
          </w:tcPr>
          <w:p w:rsidR="00C74B6F" w:rsidRDefault="00252568" w:rsidP="004D6CEA">
            <w:pPr>
              <w:pStyle w:val="zSoquijdatNCSST"/>
            </w:pPr>
            <w:r>
              <w:t>142898139</w:t>
            </w:r>
          </w:p>
        </w:tc>
      </w:tr>
      <w:tr w:rsidR="00C74B6F" w:rsidRPr="006B6636" w:rsidTr="002A374B">
        <w:trPr>
          <w:cantSplit/>
        </w:trPr>
        <w:tc>
          <w:tcPr>
            <w:tcW w:w="9568" w:type="dxa"/>
            <w:gridSpan w:val="4"/>
          </w:tcPr>
          <w:p w:rsidR="00C74B6F" w:rsidRPr="006B6636" w:rsidRDefault="00C74B6F">
            <w:pPr>
              <w:rPr>
                <w:sz w:val="20"/>
              </w:rPr>
            </w:pPr>
          </w:p>
        </w:tc>
      </w:tr>
      <w:tr w:rsidR="006E3DD8" w:rsidTr="005E654C">
        <w:trPr>
          <w:cantSplit/>
        </w:trPr>
        <w:tc>
          <w:tcPr>
            <w:tcW w:w="3614" w:type="dxa"/>
          </w:tcPr>
          <w:p w:rsidR="006E3DD8" w:rsidRDefault="00252568" w:rsidP="006E3DD8">
            <w:pPr>
              <w:tabs>
                <w:tab w:val="left" w:pos="2672"/>
              </w:tabs>
            </w:pPr>
            <w:r>
              <w:t>Joliette</w:t>
            </w:r>
            <w:r w:rsidR="00C04E32">
              <w:t>,</w:t>
            </w:r>
          </w:p>
        </w:tc>
        <w:tc>
          <w:tcPr>
            <w:tcW w:w="5954" w:type="dxa"/>
            <w:gridSpan w:val="3"/>
          </w:tcPr>
          <w:p w:rsidR="006E3DD8" w:rsidRDefault="00C04E32" w:rsidP="00C072DE">
            <w:pPr>
              <w:pStyle w:val="zSoquijdatDateJugement"/>
            </w:pPr>
            <w:r>
              <w:t xml:space="preserve">le </w:t>
            </w:r>
            <w:r w:rsidR="00C072DE">
              <w:t>13</w:t>
            </w:r>
            <w:r w:rsidR="00252568">
              <w:t xml:space="preserve"> mai 2016</w:t>
            </w:r>
          </w:p>
        </w:tc>
      </w:tr>
      <w:tr w:rsidR="00942AB8" w:rsidTr="002A374B">
        <w:trPr>
          <w:cantSplit/>
        </w:trPr>
        <w:tc>
          <w:tcPr>
            <w:tcW w:w="9568" w:type="dxa"/>
            <w:gridSpan w:val="4"/>
          </w:tcPr>
          <w:p w:rsidR="00942AB8" w:rsidRDefault="00942AB8" w:rsidP="00FA153F">
            <w:r>
              <w:t>______________________________________________________________________</w:t>
            </w:r>
          </w:p>
        </w:tc>
      </w:tr>
      <w:tr w:rsidR="00942AB8" w:rsidTr="002A374B">
        <w:trPr>
          <w:cantSplit/>
          <w:trHeight w:val="148"/>
        </w:trPr>
        <w:tc>
          <w:tcPr>
            <w:tcW w:w="9568" w:type="dxa"/>
            <w:gridSpan w:val="4"/>
          </w:tcPr>
          <w:p w:rsidR="00942AB8" w:rsidRDefault="00942AB8" w:rsidP="00FA153F"/>
        </w:tc>
      </w:tr>
      <w:tr w:rsidR="0035375B" w:rsidTr="00A12E55">
        <w:trPr>
          <w:cantSplit/>
          <w:trHeight w:val="148"/>
        </w:trPr>
        <w:tc>
          <w:tcPr>
            <w:tcW w:w="5457" w:type="dxa"/>
            <w:gridSpan w:val="3"/>
          </w:tcPr>
          <w:p w:rsidR="0035375B" w:rsidRPr="00942AB8" w:rsidRDefault="0035375B" w:rsidP="00252568">
            <w:pPr>
              <w:rPr>
                <w:b/>
                <w:bCs/>
              </w:rPr>
            </w:pPr>
            <w:bookmarkStart w:id="4" w:name="ref_commissaire" w:colFirst="1" w:colLast="1"/>
            <w:r w:rsidRPr="00942AB8">
              <w:rPr>
                <w:b/>
                <w:bCs/>
              </w:rPr>
              <w:t>DEVANT L</w:t>
            </w:r>
            <w:r w:rsidR="00252568">
              <w:rPr>
                <w:b/>
                <w:bCs/>
              </w:rPr>
              <w:t>E</w:t>
            </w:r>
            <w:r w:rsidRPr="00942AB8">
              <w:rPr>
                <w:b/>
                <w:bCs/>
              </w:rPr>
              <w:t xml:space="preserve"> JUGE ADMINISTRATI</w:t>
            </w:r>
            <w:r w:rsidR="00252568">
              <w:rPr>
                <w:b/>
                <w:bCs/>
              </w:rPr>
              <w:t>F</w:t>
            </w:r>
            <w:r w:rsidRPr="00942AB8">
              <w:rPr>
                <w:b/>
                <w:bCs/>
              </w:rPr>
              <w:t> :</w:t>
            </w:r>
          </w:p>
        </w:tc>
        <w:tc>
          <w:tcPr>
            <w:tcW w:w="4111" w:type="dxa"/>
          </w:tcPr>
          <w:p w:rsidR="0035375B" w:rsidRPr="00942AB8" w:rsidRDefault="00252568" w:rsidP="005B5689">
            <w:pPr>
              <w:pStyle w:val="zSoquijdatJuge"/>
              <w:rPr>
                <w:bCs/>
              </w:rPr>
            </w:pPr>
            <w:r>
              <w:t>Denys Beaulieu</w:t>
            </w:r>
          </w:p>
        </w:tc>
      </w:tr>
      <w:bookmarkEnd w:id="4"/>
      <w:tr w:rsidR="00942AB8" w:rsidTr="002A374B">
        <w:trPr>
          <w:cantSplit/>
          <w:trHeight w:val="148"/>
        </w:trPr>
        <w:tc>
          <w:tcPr>
            <w:tcW w:w="9568" w:type="dxa"/>
            <w:gridSpan w:val="4"/>
          </w:tcPr>
          <w:p w:rsidR="00942AB8" w:rsidRDefault="00942AB8" w:rsidP="00FA153F">
            <w:r>
              <w:t>______________________________________________________________________</w:t>
            </w:r>
          </w:p>
        </w:tc>
      </w:tr>
      <w:tr w:rsidR="00942AB8" w:rsidRPr="006B6636" w:rsidTr="002A374B">
        <w:tc>
          <w:tcPr>
            <w:tcW w:w="9568" w:type="dxa"/>
            <w:gridSpan w:val="4"/>
          </w:tcPr>
          <w:p w:rsidR="00942AB8" w:rsidRPr="006B6636" w:rsidRDefault="00942AB8">
            <w:pPr>
              <w:rPr>
                <w:sz w:val="20"/>
              </w:rPr>
            </w:pPr>
          </w:p>
        </w:tc>
      </w:tr>
      <w:tr w:rsidR="00942AB8" w:rsidRPr="006B6636" w:rsidTr="00D40ABA">
        <w:tc>
          <w:tcPr>
            <w:tcW w:w="4748" w:type="dxa"/>
            <w:gridSpan w:val="2"/>
          </w:tcPr>
          <w:p w:rsidR="00942AB8" w:rsidRPr="006B6636" w:rsidRDefault="00942AB8">
            <w:pPr>
              <w:rPr>
                <w:sz w:val="20"/>
              </w:rPr>
            </w:pPr>
            <w:bookmarkStart w:id="5" w:name="bloc_parties_gauche"/>
            <w:bookmarkEnd w:id="5"/>
          </w:p>
        </w:tc>
        <w:tc>
          <w:tcPr>
            <w:tcW w:w="4820" w:type="dxa"/>
            <w:gridSpan w:val="2"/>
          </w:tcPr>
          <w:p w:rsidR="00942AB8" w:rsidRPr="006B6636" w:rsidRDefault="00942AB8">
            <w:pPr>
              <w:rPr>
                <w:sz w:val="20"/>
              </w:rPr>
            </w:pPr>
          </w:p>
        </w:tc>
      </w:tr>
      <w:tr w:rsidR="00942AB8" w:rsidTr="00D40ABA">
        <w:tc>
          <w:tcPr>
            <w:tcW w:w="4748" w:type="dxa"/>
            <w:gridSpan w:val="2"/>
          </w:tcPr>
          <w:p w:rsidR="00942AB8" w:rsidRDefault="00252568">
            <w:pPr>
              <w:pStyle w:val="zSoquijdatNomPartieDem"/>
              <w:rPr>
                <w:b/>
              </w:rPr>
            </w:pPr>
            <w:r>
              <w:rPr>
                <w:b/>
              </w:rPr>
              <w:t>Stéphane Valiquette</w:t>
            </w:r>
          </w:p>
        </w:tc>
        <w:tc>
          <w:tcPr>
            <w:tcW w:w="4820" w:type="dxa"/>
            <w:gridSpan w:val="2"/>
          </w:tcPr>
          <w:p w:rsidR="00942AB8" w:rsidRDefault="00942AB8"/>
        </w:tc>
      </w:tr>
      <w:tr w:rsidR="00942AB8" w:rsidTr="00D40ABA">
        <w:tc>
          <w:tcPr>
            <w:tcW w:w="4748" w:type="dxa"/>
            <w:gridSpan w:val="2"/>
          </w:tcPr>
          <w:p w:rsidR="00942AB8" w:rsidRDefault="00252568">
            <w:pPr>
              <w:pStyle w:val="zSoquijdatQtePartieDem"/>
              <w:ind w:left="708"/>
            </w:pPr>
            <w:r>
              <w:t>Partie demanderesse</w:t>
            </w:r>
          </w:p>
        </w:tc>
        <w:tc>
          <w:tcPr>
            <w:tcW w:w="4820" w:type="dxa"/>
            <w:gridSpan w:val="2"/>
          </w:tcPr>
          <w:p w:rsidR="00942AB8" w:rsidRDefault="00942AB8"/>
        </w:tc>
      </w:tr>
      <w:tr w:rsidR="00942AB8" w:rsidRPr="006B6636" w:rsidTr="00D40ABA">
        <w:tc>
          <w:tcPr>
            <w:tcW w:w="4748" w:type="dxa"/>
            <w:gridSpan w:val="2"/>
          </w:tcPr>
          <w:p w:rsidR="00942AB8" w:rsidRPr="006B6636" w:rsidRDefault="00942AB8">
            <w:pPr>
              <w:rPr>
                <w:sz w:val="20"/>
              </w:rPr>
            </w:pPr>
          </w:p>
        </w:tc>
        <w:tc>
          <w:tcPr>
            <w:tcW w:w="4820" w:type="dxa"/>
            <w:gridSpan w:val="2"/>
          </w:tcPr>
          <w:p w:rsidR="00942AB8" w:rsidRPr="006B6636" w:rsidRDefault="00942AB8">
            <w:pPr>
              <w:rPr>
                <w:sz w:val="20"/>
              </w:rPr>
            </w:pPr>
          </w:p>
        </w:tc>
      </w:tr>
      <w:tr w:rsidR="00942AB8" w:rsidTr="00D40ABA">
        <w:tc>
          <w:tcPr>
            <w:tcW w:w="4748" w:type="dxa"/>
            <w:gridSpan w:val="2"/>
          </w:tcPr>
          <w:p w:rsidR="00942AB8" w:rsidRDefault="00252568" w:rsidP="00D06652">
            <w:pPr>
              <w:pStyle w:val="zSoquijlblLienParties"/>
            </w:pPr>
            <w:r>
              <w:t>et</w:t>
            </w:r>
          </w:p>
        </w:tc>
        <w:tc>
          <w:tcPr>
            <w:tcW w:w="4820" w:type="dxa"/>
            <w:gridSpan w:val="2"/>
          </w:tcPr>
          <w:p w:rsidR="00942AB8" w:rsidRDefault="00942AB8"/>
        </w:tc>
      </w:tr>
      <w:tr w:rsidR="00942AB8" w:rsidRPr="006B6636" w:rsidTr="00D40ABA">
        <w:tc>
          <w:tcPr>
            <w:tcW w:w="4748" w:type="dxa"/>
            <w:gridSpan w:val="2"/>
          </w:tcPr>
          <w:p w:rsidR="00942AB8" w:rsidRPr="006B6636" w:rsidRDefault="00942AB8">
            <w:pPr>
              <w:rPr>
                <w:sz w:val="20"/>
              </w:rPr>
            </w:pPr>
          </w:p>
        </w:tc>
        <w:tc>
          <w:tcPr>
            <w:tcW w:w="4820" w:type="dxa"/>
            <w:gridSpan w:val="2"/>
          </w:tcPr>
          <w:p w:rsidR="00942AB8" w:rsidRPr="006B6636" w:rsidRDefault="00942AB8">
            <w:pPr>
              <w:rPr>
                <w:sz w:val="20"/>
              </w:rPr>
            </w:pPr>
          </w:p>
        </w:tc>
      </w:tr>
      <w:tr w:rsidR="00942AB8" w:rsidTr="00D40ABA">
        <w:tc>
          <w:tcPr>
            <w:tcW w:w="4748" w:type="dxa"/>
            <w:gridSpan w:val="2"/>
          </w:tcPr>
          <w:p w:rsidR="00942AB8" w:rsidRDefault="00252568" w:rsidP="00252568">
            <w:pPr>
              <w:pStyle w:val="zSoquijdatNomPartieDef"/>
              <w:rPr>
                <w:b/>
              </w:rPr>
            </w:pPr>
            <w:r>
              <w:rPr>
                <w:b/>
              </w:rPr>
              <w:t>Les fondations André Lemaire 2012 inc.</w:t>
            </w:r>
          </w:p>
        </w:tc>
        <w:tc>
          <w:tcPr>
            <w:tcW w:w="4820" w:type="dxa"/>
            <w:gridSpan w:val="2"/>
          </w:tcPr>
          <w:p w:rsidR="00942AB8" w:rsidRDefault="00942AB8"/>
        </w:tc>
      </w:tr>
      <w:tr w:rsidR="00942AB8" w:rsidTr="00D40ABA">
        <w:tc>
          <w:tcPr>
            <w:tcW w:w="4748" w:type="dxa"/>
            <w:gridSpan w:val="2"/>
          </w:tcPr>
          <w:p w:rsidR="00942AB8" w:rsidRDefault="00252568">
            <w:pPr>
              <w:pStyle w:val="zSoquijdatQtePartieDef"/>
              <w:ind w:left="708"/>
            </w:pPr>
            <w:r>
              <w:t>Partie mise en cause</w:t>
            </w:r>
          </w:p>
        </w:tc>
        <w:tc>
          <w:tcPr>
            <w:tcW w:w="4820" w:type="dxa"/>
            <w:gridSpan w:val="2"/>
          </w:tcPr>
          <w:p w:rsidR="00942AB8" w:rsidRDefault="00942AB8"/>
        </w:tc>
      </w:tr>
      <w:tr w:rsidR="0065093D" w:rsidRPr="006B6636" w:rsidTr="00D40ABA">
        <w:tc>
          <w:tcPr>
            <w:tcW w:w="4748" w:type="dxa"/>
            <w:gridSpan w:val="2"/>
          </w:tcPr>
          <w:p w:rsidR="0065093D" w:rsidRPr="006B6636" w:rsidRDefault="0065093D">
            <w:pPr>
              <w:rPr>
                <w:sz w:val="20"/>
              </w:rPr>
            </w:pPr>
          </w:p>
        </w:tc>
        <w:tc>
          <w:tcPr>
            <w:tcW w:w="4820" w:type="dxa"/>
            <w:gridSpan w:val="2"/>
          </w:tcPr>
          <w:p w:rsidR="0065093D" w:rsidRPr="006B6636" w:rsidRDefault="0065093D">
            <w:pPr>
              <w:rPr>
                <w:sz w:val="20"/>
              </w:rPr>
            </w:pPr>
          </w:p>
        </w:tc>
      </w:tr>
    </w:tbl>
    <w:p w:rsidR="00C74B6F" w:rsidRDefault="00C74B6F">
      <w:r>
        <w:t>______________________________________________________________________</w:t>
      </w:r>
    </w:p>
    <w:p w:rsidR="00C74B6F" w:rsidRPr="006B6636" w:rsidRDefault="00C74B6F">
      <w:pPr>
        <w:rPr>
          <w:sz w:val="20"/>
        </w:rPr>
      </w:pPr>
    </w:p>
    <w:p w:rsidR="00C74B6F" w:rsidRPr="005B0612" w:rsidRDefault="00C74B6F" w:rsidP="008B042E">
      <w:pPr>
        <w:jc w:val="center"/>
        <w:rPr>
          <w:b/>
          <w:bCs/>
        </w:rPr>
      </w:pPr>
      <w:bookmarkStart w:id="6" w:name="decision"/>
      <w:r w:rsidRPr="005B0612">
        <w:rPr>
          <w:b/>
          <w:bCs/>
        </w:rPr>
        <w:t>DÉCISION</w:t>
      </w:r>
      <w:bookmarkEnd w:id="6"/>
    </w:p>
    <w:p w:rsidR="00C74B6F" w:rsidRDefault="00C74B6F">
      <w:pPr>
        <w:jc w:val="center"/>
      </w:pPr>
      <w:r>
        <w:t>______________________________________________________________________</w:t>
      </w:r>
    </w:p>
    <w:p w:rsidR="00C74B6F" w:rsidRPr="006B6636" w:rsidRDefault="00C74B6F">
      <w:pPr>
        <w:rPr>
          <w:sz w:val="20"/>
        </w:rPr>
      </w:pPr>
    </w:p>
    <w:p w:rsidR="00C74B6F" w:rsidRPr="006B6636" w:rsidRDefault="00C74B6F">
      <w:pPr>
        <w:rPr>
          <w:sz w:val="20"/>
        </w:rPr>
      </w:pPr>
    </w:p>
    <w:p w:rsidR="00C74B6F" w:rsidRPr="009F5D2D" w:rsidRDefault="009F5D2D" w:rsidP="006B6636">
      <w:pPr>
        <w:pStyle w:val="corpsdedcision"/>
        <w:tabs>
          <w:tab w:val="clear" w:pos="360"/>
          <w:tab w:val="num" w:pos="720"/>
        </w:tabs>
      </w:pPr>
      <w:r>
        <w:t xml:space="preserve">Le 9 février 2015, monsieur Stéphane Valiquette (le travailleur) dépose à la Commission des lésions professionnelles une requête par laquelle il conteste une décision de la </w:t>
      </w:r>
      <w:r>
        <w:rPr>
          <w:rFonts w:cs="Arial"/>
        </w:rPr>
        <w:t xml:space="preserve">Commission de la santé et de la sécurité du travail (la CSST) rendue le 21 janvier 2015, à la suite d’une </w:t>
      </w:r>
      <w:r w:rsidRPr="009F5D2D">
        <w:rPr>
          <w:rFonts w:cs="Arial"/>
        </w:rPr>
        <w:t>révision administrative</w:t>
      </w:r>
      <w:r>
        <w:rPr>
          <w:rFonts w:cs="Arial"/>
        </w:rPr>
        <w:t>.</w:t>
      </w:r>
    </w:p>
    <w:p w:rsidR="009F5D2D" w:rsidRPr="009F5D2D" w:rsidRDefault="009F5D2D" w:rsidP="006B6636">
      <w:pPr>
        <w:pStyle w:val="corpsdedcision"/>
        <w:tabs>
          <w:tab w:val="clear" w:pos="360"/>
          <w:tab w:val="num" w:pos="720"/>
        </w:tabs>
      </w:pPr>
      <w:r>
        <w:t xml:space="preserve">Par cette décision, la CSST confirme la décision qu’elle a initialement rendue le 13 novembre 2014 et déclare que le montant de l’indemnité de remplacement du revenu auquel le </w:t>
      </w:r>
      <w:r w:rsidRPr="009F5D2D">
        <w:t>travailleur</w:t>
      </w:r>
      <w:r>
        <w:t xml:space="preserve"> a droit doit être établi sur la base du revenu brut annuel assurable de 21 585,96 $, soit le salaire minimum alors en vigueur.</w:t>
      </w:r>
    </w:p>
    <w:p w:rsidR="006B6636" w:rsidRDefault="006B6636" w:rsidP="006B6636">
      <w:pPr>
        <w:pStyle w:val="corpsdedcision"/>
        <w:tabs>
          <w:tab w:val="clear" w:pos="360"/>
          <w:tab w:val="num" w:pos="720"/>
        </w:tabs>
      </w:pPr>
      <w:r w:rsidRPr="007B673D">
        <w:t>Le 1</w:t>
      </w:r>
      <w:r w:rsidRPr="007B673D">
        <w:rPr>
          <w:vertAlign w:val="superscript"/>
        </w:rPr>
        <w:t>er</w:t>
      </w:r>
      <w:r w:rsidRPr="007B673D">
        <w:t xml:space="preserve"> janvier 2016, la </w:t>
      </w:r>
      <w:r w:rsidRPr="007B673D">
        <w:rPr>
          <w:i/>
          <w:iCs/>
        </w:rPr>
        <w:t>Loi instituant le Tribunal administratif du travail</w:t>
      </w:r>
      <w:r w:rsidRPr="007B673D">
        <w:rPr>
          <w:rStyle w:val="Appelnotedebasdep"/>
        </w:rPr>
        <w:footnoteReference w:id="1"/>
      </w:r>
      <w:r w:rsidRPr="007B673D">
        <w:t xml:space="preserve"> (l</w:t>
      </w:r>
      <w:r>
        <w:t>a LITAT) est entrée en vigueur.</w:t>
      </w:r>
    </w:p>
    <w:p w:rsidR="006B6636" w:rsidRPr="007B673D" w:rsidRDefault="006B6636" w:rsidP="006B6636">
      <w:pPr>
        <w:pStyle w:val="corpsdedcision"/>
        <w:tabs>
          <w:tab w:val="clear" w:pos="360"/>
          <w:tab w:val="num" w:pos="720"/>
        </w:tabs>
        <w:spacing w:after="300"/>
      </w:pPr>
      <w:r w:rsidRPr="007B673D">
        <w:lastRenderedPageBreak/>
        <w:t>Cette loi crée le Tribunal administratif du travail qui assume les compétences de la Commission des relations du travail et de la Commission des lésions professionnelles.</w:t>
      </w:r>
    </w:p>
    <w:p w:rsidR="006B6636" w:rsidRPr="007B673D" w:rsidRDefault="006B6636" w:rsidP="006B6636">
      <w:pPr>
        <w:pStyle w:val="corpsdedcision"/>
        <w:tabs>
          <w:tab w:val="clear" w:pos="360"/>
          <w:tab w:val="num" w:pos="720"/>
        </w:tabs>
        <w:spacing w:after="300"/>
      </w:pPr>
      <w:r w:rsidRPr="007B673D">
        <w:t>En vertu de l’article 261 de cette loi, toute affaire pendante devant la Commission des relations du travail ou devant la Commission des lésions professionnelles est continuée devant la division compétente du Tribunal administratif du travail.</w:t>
      </w:r>
    </w:p>
    <w:p w:rsidR="006B6636" w:rsidRPr="007B673D" w:rsidRDefault="006B6636" w:rsidP="006B6636">
      <w:pPr>
        <w:pStyle w:val="corpsdedcision"/>
        <w:tabs>
          <w:tab w:val="clear" w:pos="360"/>
          <w:tab w:val="num" w:pos="720"/>
        </w:tabs>
        <w:spacing w:after="300"/>
      </w:pPr>
      <w:r w:rsidRPr="007B673D">
        <w:t>De plus, depuis le 1</w:t>
      </w:r>
      <w:r w:rsidRPr="007B673D">
        <w:rPr>
          <w:vertAlign w:val="superscript"/>
        </w:rPr>
        <w:t>er</w:t>
      </w:r>
      <w:r w:rsidRPr="007B673D">
        <w:t xml:space="preserve"> janvier 2016, la Commission des normes, de l’équité, de la santé et de la sécurité du travail (la Commission) assume les compétences autrefois dévolues à la CSST.</w:t>
      </w:r>
    </w:p>
    <w:p w:rsidR="006B6636" w:rsidRDefault="006B6636" w:rsidP="006B6636">
      <w:pPr>
        <w:pStyle w:val="corpsdedcision"/>
        <w:tabs>
          <w:tab w:val="clear" w:pos="360"/>
        </w:tabs>
        <w:spacing w:after="300"/>
      </w:pPr>
      <w:r w:rsidRPr="007B673D">
        <w:t>Dans le présent dossier,</w:t>
      </w:r>
      <w:r>
        <w:t xml:space="preserve"> une première a</w:t>
      </w:r>
      <w:r w:rsidRPr="007B673D">
        <w:t xml:space="preserve">udience s’est tenue le </w:t>
      </w:r>
      <w:r>
        <w:t>13 mai</w:t>
      </w:r>
      <w:r w:rsidRPr="007B673D">
        <w:t xml:space="preserve"> 2015 à </w:t>
      </w:r>
      <w:r>
        <w:t>Joliett</w:t>
      </w:r>
      <w:r w:rsidRPr="007B673D">
        <w:t xml:space="preserve">e devant le commissaire Denys Beaulieu, juge administratif à la Commission des lésions professionnelles, qui était accompagné de madame </w:t>
      </w:r>
      <w:r>
        <w:t>Francine Melanson</w:t>
      </w:r>
      <w:r w:rsidRPr="007B673D">
        <w:t>, membre issu des associations d’employeurs et de m</w:t>
      </w:r>
      <w:r>
        <w:t>onsieur Raphaël Tarasco</w:t>
      </w:r>
      <w:r w:rsidRPr="007B673D">
        <w:t>, membre issu des associations syndicales.</w:t>
      </w:r>
    </w:p>
    <w:p w:rsidR="006B6636" w:rsidRPr="007B673D" w:rsidRDefault="006B6636" w:rsidP="006B6636">
      <w:pPr>
        <w:pStyle w:val="corpsdedcision"/>
        <w:tabs>
          <w:tab w:val="clear" w:pos="360"/>
        </w:tabs>
        <w:spacing w:after="300"/>
      </w:pPr>
      <w:r w:rsidRPr="007B673D">
        <w:t>L’article 260 de la LITAT prévoit que le mandat des membres autres que les commissaires prend fin le 31 décembre 2015 et que ces membres ne terminent pas les affaires qu’ils avaient commencées. Comme l’affaire n’était pas terminée en date du 31</w:t>
      </w:r>
      <w:r>
        <w:t> </w:t>
      </w:r>
      <w:r w:rsidRPr="007B673D">
        <w:t>décembre</w:t>
      </w:r>
      <w:r>
        <w:t xml:space="preserve"> 2015, l</w:t>
      </w:r>
      <w:r w:rsidRPr="007B673D">
        <w:t>es membres</w:t>
      </w:r>
      <w:r>
        <w:t xml:space="preserve"> n’ont pas exprimé d’avis</w:t>
      </w:r>
      <w:r w:rsidRPr="007B673D">
        <w:t>.</w:t>
      </w:r>
    </w:p>
    <w:p w:rsidR="006B6636" w:rsidRPr="007B673D" w:rsidRDefault="006B6636" w:rsidP="006B6636">
      <w:pPr>
        <w:pStyle w:val="corpsdedcision"/>
        <w:tabs>
          <w:tab w:val="clear" w:pos="360"/>
          <w:tab w:val="num" w:pos="720"/>
        </w:tabs>
        <w:spacing w:after="300"/>
      </w:pPr>
      <w:r w:rsidRPr="007B673D">
        <w:t>La présente décision est donc rendue par le juge administratif soussigné en sa qualité de membre du Tribunal administratif du travail (le Tribunal).</w:t>
      </w:r>
    </w:p>
    <w:p w:rsidR="009F5D2D" w:rsidRPr="006D1680" w:rsidRDefault="009F5D2D" w:rsidP="006B6636">
      <w:pPr>
        <w:pStyle w:val="corpsdedcision"/>
        <w:numPr>
          <w:ilvl w:val="0"/>
          <w:numId w:val="0"/>
        </w:numPr>
        <w:spacing w:after="300"/>
        <w:rPr>
          <w:b/>
        </w:rPr>
      </w:pPr>
      <w:r w:rsidRPr="006D1680">
        <w:rPr>
          <w:rFonts w:cs="Arial"/>
          <w:b/>
        </w:rPr>
        <w:t>L’AUDIENCE</w:t>
      </w:r>
    </w:p>
    <w:p w:rsidR="009F5D2D" w:rsidRDefault="009F5D2D" w:rsidP="006B6636">
      <w:pPr>
        <w:pStyle w:val="corpsdedcision"/>
        <w:tabs>
          <w:tab w:val="clear" w:pos="360"/>
          <w:tab w:val="num" w:pos="720"/>
        </w:tabs>
        <w:spacing w:after="300"/>
      </w:pPr>
      <w:r>
        <w:t>Le travailleur est présent à l’audience tenue à Joliette le 13 mai 2015 et il est accompagné de son procureur. L’employeur, Les fondations André Lemaire 2012 inc.</w:t>
      </w:r>
      <w:r w:rsidR="00CB07A5">
        <w:t>,</w:t>
      </w:r>
      <w:r>
        <w:t xml:space="preserve"> est présent en la personne de monsieur André Lemaire.</w:t>
      </w:r>
    </w:p>
    <w:p w:rsidR="009F5D2D" w:rsidRDefault="009F5D2D" w:rsidP="006B6636">
      <w:pPr>
        <w:pStyle w:val="corpsdedcision"/>
        <w:tabs>
          <w:tab w:val="clear" w:pos="360"/>
          <w:tab w:val="num" w:pos="720"/>
        </w:tabs>
        <w:spacing w:after="300"/>
      </w:pPr>
      <w:r>
        <w:t>À cette date, l’audience a été ajournée à une date ultérieure pour le complément de la preuve et l’argumentation des parties.</w:t>
      </w:r>
    </w:p>
    <w:p w:rsidR="009F5D2D" w:rsidRDefault="009F5D2D" w:rsidP="006B6636">
      <w:pPr>
        <w:pStyle w:val="corpsdedcision"/>
        <w:tabs>
          <w:tab w:val="clear" w:pos="360"/>
          <w:tab w:val="num" w:pos="720"/>
        </w:tabs>
        <w:spacing w:after="300"/>
      </w:pPr>
      <w:r>
        <w:t xml:space="preserve">Une seconde audience a donc été tenue le 2 mai 2016, date à laquelle </w:t>
      </w:r>
      <w:r w:rsidR="006B6636">
        <w:t xml:space="preserve">le dossier </w:t>
      </w:r>
      <w:r>
        <w:t>a été mis en d</w:t>
      </w:r>
      <w:r w:rsidR="006D1680">
        <w:t>élibéré.</w:t>
      </w:r>
    </w:p>
    <w:p w:rsidR="006D1680" w:rsidRDefault="006D1680" w:rsidP="006B6636">
      <w:pPr>
        <w:pStyle w:val="corpsdedcision"/>
        <w:numPr>
          <w:ilvl w:val="0"/>
          <w:numId w:val="0"/>
        </w:numPr>
        <w:spacing w:after="300"/>
      </w:pPr>
      <w:r>
        <w:rPr>
          <w:b/>
        </w:rPr>
        <w:t>L’OBJET DE LA REQUÊTE</w:t>
      </w:r>
    </w:p>
    <w:p w:rsidR="006D1680" w:rsidRDefault="006D1680" w:rsidP="00E346FE">
      <w:pPr>
        <w:pStyle w:val="corpsdedcision"/>
        <w:tabs>
          <w:tab w:val="clear" w:pos="360"/>
          <w:tab w:val="num" w:pos="720"/>
        </w:tabs>
      </w:pPr>
      <w:r>
        <w:t xml:space="preserve">Le travailleur demande au Tribunal d’accueillir sa requête, d’infirmer la décision rendue par la CSST le 21 janvier 2015, à la suite d’une </w:t>
      </w:r>
      <w:r>
        <w:rPr>
          <w:rFonts w:cs="Arial"/>
        </w:rPr>
        <w:t>révision administrative</w:t>
      </w:r>
      <w:r>
        <w:t xml:space="preserve"> et de déclarer que le revenu brut annuel devant servir au calcul de l’indemnité de remplacement du revenu doit être fixé à 85 516,80 $.</w:t>
      </w:r>
    </w:p>
    <w:p w:rsidR="006D1680" w:rsidRDefault="006D1680">
      <w:pPr>
        <w:pStyle w:val="corpsdedcision"/>
        <w:numPr>
          <w:ilvl w:val="0"/>
          <w:numId w:val="0"/>
        </w:numPr>
      </w:pPr>
      <w:r>
        <w:rPr>
          <w:b/>
        </w:rPr>
        <w:lastRenderedPageBreak/>
        <w:t>LA PREUVE</w:t>
      </w:r>
    </w:p>
    <w:p w:rsidR="006D1680" w:rsidRDefault="006D1680" w:rsidP="00E346FE">
      <w:pPr>
        <w:pStyle w:val="corpsdedcision"/>
        <w:tabs>
          <w:tab w:val="clear" w:pos="360"/>
          <w:tab w:val="num" w:pos="720"/>
        </w:tabs>
      </w:pPr>
      <w:r>
        <w:t>En raison du caractère très spécifique de la présente contestation, le Tribunal se limite à ne rapporter que les éléments essentiels à la compréhension du litige et à la motivation de la présente décision.</w:t>
      </w:r>
    </w:p>
    <w:p w:rsidR="006D1680" w:rsidRDefault="006D1680" w:rsidP="00E346FE">
      <w:pPr>
        <w:pStyle w:val="corpsdedcision"/>
        <w:tabs>
          <w:tab w:val="clear" w:pos="360"/>
          <w:tab w:val="num" w:pos="720"/>
        </w:tabs>
      </w:pPr>
      <w:r>
        <w:t>Ainsi, le travailleur est âgé de 49 ans à la date de l’événement à l’origine de la présente contestation et il occupe un emploi de coffreur chez l’employeur depuis le mois de juin 2014.</w:t>
      </w:r>
      <w:r w:rsidR="0085291F" w:rsidRPr="0085291F">
        <w:t xml:space="preserve"> </w:t>
      </w:r>
      <w:r w:rsidR="0085291F">
        <w:t>Il travaillait alors sur le chantier « Syscomax » à Mirabel</w:t>
      </w:r>
    </w:p>
    <w:p w:rsidR="00552ED5" w:rsidRDefault="0085291F" w:rsidP="00552ED5">
      <w:pPr>
        <w:pStyle w:val="corpsdedcision"/>
        <w:tabs>
          <w:tab w:val="clear" w:pos="360"/>
        </w:tabs>
      </w:pPr>
      <w:r>
        <w:t>Le 18 juin 2014, le travailleur se blesse en effectuant</w:t>
      </w:r>
      <w:r w:rsidR="00552ED5">
        <w:t xml:space="preserve"> une chute au sol.</w:t>
      </w:r>
    </w:p>
    <w:p w:rsidR="00E346FE" w:rsidRDefault="00E346FE" w:rsidP="00E346FE">
      <w:pPr>
        <w:pStyle w:val="corpsdedcision"/>
        <w:tabs>
          <w:tab w:val="clear" w:pos="360"/>
          <w:tab w:val="num" w:pos="720"/>
        </w:tabs>
      </w:pPr>
      <w:r>
        <w:t xml:space="preserve">Le travailleur consulte le docteur Roseline Miron Pichet le 9 juillet 2014 qui remplit un </w:t>
      </w:r>
      <w:r w:rsidRPr="00323CD6">
        <w:rPr>
          <w:i/>
        </w:rPr>
        <w:t>Rapport médical sommaire de prise en charge</w:t>
      </w:r>
      <w:r>
        <w:t xml:space="preserve">, dans lequel elle pose le </w:t>
      </w:r>
      <w:r>
        <w:rPr>
          <w:rFonts w:cs="Arial"/>
        </w:rPr>
        <w:t>diagnostic de « TVP MID</w:t>
      </w:r>
      <w:r>
        <w:rPr>
          <w:rStyle w:val="Appelnotedebasdep"/>
          <w:rFonts w:cs="Arial"/>
        </w:rPr>
        <w:footnoteReference w:id="2"/>
      </w:r>
      <w:r>
        <w:rPr>
          <w:rFonts w:cs="Arial"/>
        </w:rPr>
        <w:t xml:space="preserve"> → 3</w:t>
      </w:r>
      <w:r w:rsidRPr="00E346FE">
        <w:rPr>
          <w:rFonts w:cs="Arial"/>
          <w:vertAlign w:val="superscript"/>
        </w:rPr>
        <w:t>e</w:t>
      </w:r>
      <w:r>
        <w:rPr>
          <w:rFonts w:cs="Arial"/>
        </w:rPr>
        <w:t xml:space="preserve"> épisode ».</w:t>
      </w:r>
    </w:p>
    <w:p w:rsidR="006D1680" w:rsidRDefault="006D1680" w:rsidP="009F5D2D">
      <w:pPr>
        <w:pStyle w:val="corpsdedcision"/>
      </w:pPr>
      <w:r>
        <w:t xml:space="preserve">Le 28 août 2014, l’employeur remplit un formulaire </w:t>
      </w:r>
      <w:r w:rsidRPr="00323CD6">
        <w:rPr>
          <w:i/>
        </w:rPr>
        <w:t>Avis de l’employeur et demande de remboursement</w:t>
      </w:r>
      <w:r>
        <w:t xml:space="preserve"> à l’égard d’un </w:t>
      </w:r>
      <w:r>
        <w:rPr>
          <w:rFonts w:cs="Arial"/>
        </w:rPr>
        <w:t>accident du travail</w:t>
      </w:r>
      <w:r>
        <w:t xml:space="preserve"> dont le travailleur aurait été victime le 18 juin précédent.</w:t>
      </w:r>
    </w:p>
    <w:p w:rsidR="00E346FE" w:rsidRDefault="00E346FE" w:rsidP="009F5D2D">
      <w:pPr>
        <w:pStyle w:val="corpsdedcision"/>
      </w:pPr>
      <w:r>
        <w:t>Sur ce formulaire, l’employeur indique que le salaire annuel brut qu’il</w:t>
      </w:r>
      <w:r w:rsidR="006D7642">
        <w:t xml:space="preserve"> verse au travailleur est de 10 </w:t>
      </w:r>
      <w:r>
        <w:t>894,89 $</w:t>
      </w:r>
      <w:r w:rsidR="006D7642">
        <w:t>.</w:t>
      </w:r>
    </w:p>
    <w:p w:rsidR="00552ED5" w:rsidRDefault="006D7642" w:rsidP="006B6636">
      <w:pPr>
        <w:pStyle w:val="corpsdedcision"/>
        <w:spacing w:after="240"/>
      </w:pPr>
      <w:r>
        <w:t xml:space="preserve">L’employeur joint une lettre à ce formulaire dans laquelle il s’oppose à la réclamation du travailleur. Il convient de reproduire les extraits suivants de cette lettre : </w:t>
      </w:r>
    </w:p>
    <w:p w:rsidR="006D7642" w:rsidRDefault="00552ED5" w:rsidP="00552ED5">
      <w:pPr>
        <w:pStyle w:val="citation"/>
      </w:pPr>
      <w:r>
        <w:t>[…]</w:t>
      </w:r>
    </w:p>
    <w:p w:rsidR="00552ED5" w:rsidRDefault="00552ED5" w:rsidP="00552ED5">
      <w:pPr>
        <w:pStyle w:val="citation"/>
      </w:pPr>
    </w:p>
    <w:p w:rsidR="00552ED5" w:rsidRDefault="00552ED5" w:rsidP="00552ED5">
      <w:pPr>
        <w:pStyle w:val="citation"/>
      </w:pPr>
      <w:r>
        <w:t>Selon la version de M. Valiquette, l’accident serait survenu le 18 juin avec Michel Bergeron comme témoin. La version de Michel, il a eu connaissance qu’il est tombé, le lendemain il s’est plaint d’avoir mal à l’oreille mais sans plus.</w:t>
      </w:r>
    </w:p>
    <w:p w:rsidR="00552ED5" w:rsidRDefault="00552ED5" w:rsidP="00552ED5">
      <w:pPr>
        <w:pStyle w:val="citation"/>
      </w:pPr>
    </w:p>
    <w:p w:rsidR="00552ED5" w:rsidRPr="00F7736E" w:rsidRDefault="00552ED5" w:rsidP="00552ED5">
      <w:pPr>
        <w:pStyle w:val="citation"/>
      </w:pPr>
      <w:r>
        <w:t>Cet accident n’a pas été déclaré. J’en ai été informé avec sur son attestation médicale du 11 juillet 2014 (voir inclus). Suite à cette information, j’ai téléphoné au travailleur afin d’avoir plus de détail. Je lui ai demandé s’il avait déjà eu ce genre de problème (phlébite) avant « affirmatif, c’était il y a deux ans pendant ses vacances et à la même jambe ».</w:t>
      </w:r>
      <w:r w:rsidR="00F7736E">
        <w:t xml:space="preserve"> [</w:t>
      </w:r>
      <w:r w:rsidR="00F7736E">
        <w:rPr>
          <w:i/>
        </w:rPr>
        <w:t>sic</w:t>
      </w:r>
      <w:r w:rsidR="00F7736E">
        <w:t>]</w:t>
      </w:r>
    </w:p>
    <w:p w:rsidR="00552ED5" w:rsidRDefault="00552ED5" w:rsidP="00552ED5">
      <w:pPr>
        <w:pStyle w:val="citation"/>
      </w:pPr>
    </w:p>
    <w:p w:rsidR="00552ED5" w:rsidRDefault="00552ED5" w:rsidP="00552ED5">
      <w:pPr>
        <w:pStyle w:val="citation"/>
      </w:pPr>
      <w:r>
        <w:t>[…]</w:t>
      </w:r>
    </w:p>
    <w:p w:rsidR="00F7736E" w:rsidRDefault="00F7736E" w:rsidP="00552ED5">
      <w:pPr>
        <w:pStyle w:val="citation"/>
      </w:pPr>
    </w:p>
    <w:p w:rsidR="00F7736E" w:rsidRDefault="00F7736E" w:rsidP="00552ED5">
      <w:pPr>
        <w:pStyle w:val="citation"/>
      </w:pPr>
    </w:p>
    <w:p w:rsidR="00F7736E" w:rsidRDefault="00F7736E" w:rsidP="00F7736E">
      <w:pPr>
        <w:pStyle w:val="corpsdedcision"/>
        <w:tabs>
          <w:tab w:val="clear" w:pos="360"/>
          <w:tab w:val="num" w:pos="720"/>
        </w:tabs>
      </w:pPr>
      <w:r>
        <w:t>Le 4 septembre 2014, madame Laurie Boudreau, agent d’indemnisation à la CSST, procède à l’analyse de la réclamation aux fins de se prononcer sur son admissibilité ou non.</w:t>
      </w:r>
    </w:p>
    <w:p w:rsidR="00F7736E" w:rsidRDefault="00F7736E" w:rsidP="00F7736E">
      <w:pPr>
        <w:pStyle w:val="corpsdedcision"/>
        <w:tabs>
          <w:tab w:val="clear" w:pos="360"/>
          <w:tab w:val="num" w:pos="720"/>
        </w:tabs>
      </w:pPr>
      <w:r>
        <w:lastRenderedPageBreak/>
        <w:t>Dans la note évolutive qu’elle rédige à cette date, madame Boudreau fait mention de l’opinion obtenue du docteur Martin, médecin</w:t>
      </w:r>
      <w:r w:rsidR="00CB07A5">
        <w:t>-</w:t>
      </w:r>
      <w:r>
        <w:t>conseil au Bureau médical régional de la CSST, qui a nié toute possibilité de relation entre la thrombophlébite subie par le travailleur et l’événement accidentel.</w:t>
      </w:r>
      <w:r w:rsidR="0085291F">
        <w:t xml:space="preserve"> </w:t>
      </w:r>
      <w:r>
        <w:t>La réclamation est donc refusée.</w:t>
      </w:r>
    </w:p>
    <w:p w:rsidR="00F7736E" w:rsidRDefault="00F7736E" w:rsidP="00F7736E">
      <w:pPr>
        <w:pStyle w:val="corpsdedcision"/>
        <w:tabs>
          <w:tab w:val="clear" w:pos="360"/>
          <w:tab w:val="num" w:pos="720"/>
        </w:tabs>
      </w:pPr>
      <w:r>
        <w:t>Le 5 septembre 2014, la CSST rend une décision formelle par laquelle elle informe le travailleur du refus de sa réclamation. Le travailleur conteste cette décision dont il demande la révision.</w:t>
      </w:r>
    </w:p>
    <w:p w:rsidR="00F7736E" w:rsidRDefault="00F7736E" w:rsidP="00F7736E">
      <w:pPr>
        <w:pStyle w:val="corpsdedcision"/>
        <w:tabs>
          <w:tab w:val="clear" w:pos="360"/>
          <w:tab w:val="num" w:pos="720"/>
        </w:tabs>
      </w:pPr>
      <w:r>
        <w:t xml:space="preserve">Le 31 octobre 2014, la CSST rend une décision à la suite d’une </w:t>
      </w:r>
      <w:r>
        <w:rPr>
          <w:rFonts w:cs="Arial"/>
        </w:rPr>
        <w:t>révision administrative</w:t>
      </w:r>
      <w:r>
        <w:t xml:space="preserve"> qui infirme cette décision initiale du 5 septembre 2014 et déclare que le travailleur a subi une lésion professionnelle le 18 juillet [sic] 2014, soit une thrombose veineuse profonde.</w:t>
      </w:r>
    </w:p>
    <w:p w:rsidR="00F7736E" w:rsidRDefault="00F7736E" w:rsidP="00F7736E">
      <w:pPr>
        <w:pStyle w:val="corpsdedcision"/>
        <w:tabs>
          <w:tab w:val="clear" w:pos="360"/>
          <w:tab w:val="num" w:pos="720"/>
        </w:tabs>
      </w:pPr>
      <w:r>
        <w:t xml:space="preserve">Le 7 novembre 2014, madame Brigitte Asselin, agent d’indemnisation à la CSST, échange une conversation avec le travailleur à la suite de cette décision qui lui est favorable. Il est alors question de la base salariale qui devrait être retenue aux fins de son indemnisation. </w:t>
      </w:r>
    </w:p>
    <w:p w:rsidR="00F7736E" w:rsidRDefault="00F7736E" w:rsidP="0085291F">
      <w:pPr>
        <w:pStyle w:val="corpsdedcision"/>
        <w:tabs>
          <w:tab w:val="clear" w:pos="360"/>
          <w:tab w:val="num" w:pos="720"/>
        </w:tabs>
        <w:spacing w:after="240"/>
      </w:pPr>
      <w:r>
        <w:t>Le Tribunal reproduit les extraits suivants à la note évolutive qu’elle rédige à la suite de cette conversation :</w:t>
      </w:r>
    </w:p>
    <w:p w:rsidR="00F7736E" w:rsidRDefault="00D76FA7" w:rsidP="00F7736E">
      <w:pPr>
        <w:pStyle w:val="citation"/>
      </w:pPr>
      <w:r>
        <w:t>Appel du T. Il nous explique qu’il a été en arrêt de travail de juillet 2012 pour son problème de phlébite. Il a été payé en assurance-salaire.</w:t>
      </w:r>
    </w:p>
    <w:p w:rsidR="00D76FA7" w:rsidRDefault="00D76FA7" w:rsidP="00F7736E">
      <w:pPr>
        <w:pStyle w:val="citation"/>
      </w:pPr>
      <w:r>
        <w:t>Il a donc repris son emploi en juin pour l’employeur actuel. T. dit que E. lui payait des semaines régulières de 40h. mais gardait le temps en heures supplémentaires pour des congés, par exemple. T. aurait donc fait un peu d’heures suppl. T. dit que E. lui devrait d’ailleurs env. 25 heures. Il faudra qu’il regard</w:t>
      </w:r>
      <w:r w:rsidR="00C300AF">
        <w:t>e</w:t>
      </w:r>
      <w:r>
        <w:t xml:space="preserve"> cette problématique avec E. et/ou avec son syndicat.</w:t>
      </w:r>
    </w:p>
    <w:p w:rsidR="00D76FA7" w:rsidRDefault="00D76FA7" w:rsidP="00F7736E">
      <w:pPr>
        <w:pStyle w:val="citation"/>
      </w:pPr>
      <w:r>
        <w:t xml:space="preserve">T. avait fait une demande à la CCQ mais n’a pas reçu de prestations de leur part encore. Nous avons d’ailleurs eu un appel de la repr. </w:t>
      </w:r>
      <w:r w:rsidR="00C300AF">
        <w:t>d</w:t>
      </w:r>
      <w:r>
        <w:t>e la CCQ. Mme Sylvie Plante qui voulait savoir si nous allions l’indemniser. Comme ils n’ont versé encore aucune somme, nous n’aurons pas de remboursement à leur faire.</w:t>
      </w:r>
    </w:p>
    <w:p w:rsidR="00D76FA7" w:rsidRDefault="00D76FA7" w:rsidP="00F7736E">
      <w:pPr>
        <w:pStyle w:val="citation"/>
      </w:pPr>
      <w:r>
        <w:t xml:space="preserve">J’explique au T. comment nous devons établir le salaire ann. </w:t>
      </w:r>
      <w:r w:rsidR="00E74605">
        <w:t>b</w:t>
      </w:r>
      <w:r>
        <w:t xml:space="preserve">rut pour les travailleurs de la construction. T. dit qu’il avait déjà eu des informations à ce sujet de la part de son représentant. Nous attendons toujours les informations de son employeur. Nous l’aviserons dès que nous serons en mesure de lui confirmer comment sera établi son rev. ann. </w:t>
      </w:r>
      <w:r w:rsidR="008434F3">
        <w:t>b</w:t>
      </w:r>
      <w:r>
        <w:t>rut.</w:t>
      </w:r>
      <w:r w:rsidR="000902CE">
        <w:t xml:space="preserve"> [</w:t>
      </w:r>
      <w:r w:rsidR="000902CE">
        <w:rPr>
          <w:i/>
        </w:rPr>
        <w:t>sic</w:t>
      </w:r>
      <w:r w:rsidR="000902CE">
        <w:t>]</w:t>
      </w:r>
    </w:p>
    <w:p w:rsidR="000902CE" w:rsidRDefault="000902CE" w:rsidP="00F7736E">
      <w:pPr>
        <w:pStyle w:val="citation"/>
      </w:pPr>
    </w:p>
    <w:p w:rsidR="00E346FE" w:rsidRDefault="000902CE" w:rsidP="00FF08E8">
      <w:pPr>
        <w:pStyle w:val="citation"/>
      </w:pPr>
      <w:r>
        <w:t>[…]</w:t>
      </w:r>
    </w:p>
    <w:p w:rsidR="00FF08E8" w:rsidRDefault="00FF08E8" w:rsidP="00FF08E8">
      <w:pPr>
        <w:pStyle w:val="citation"/>
      </w:pPr>
    </w:p>
    <w:p w:rsidR="00FF08E8" w:rsidRDefault="003E42B8" w:rsidP="00FF08E8">
      <w:pPr>
        <w:pStyle w:val="citation"/>
      </w:pPr>
      <w:r>
        <w:t xml:space="preserve">Retour d’appel de E. (M. </w:t>
      </w:r>
      <w:r w:rsidR="00DD4B47">
        <w:t>[</w:t>
      </w:r>
      <w:r w:rsidR="00DD4B47" w:rsidRPr="00DD4B47">
        <w:t>sic</w:t>
      </w:r>
      <w:r w:rsidR="00DD4B47">
        <w:t xml:space="preserve">] </w:t>
      </w:r>
      <w:r w:rsidRPr="00DD4B47">
        <w:t>Lepage</w:t>
      </w:r>
      <w:r>
        <w:t xml:space="preserve">). T. avait été embauché pour un contrat du 3 juin au 19 août (chez « Syscomax »). Elle nous dit aussi que par la suite, ils ne peuvent confirmer si T. aurait été rappelé. Un de leurs travailleurs </w:t>
      </w:r>
      <w:r w:rsidR="00DD4B47">
        <w:t>qui faisait partie du même chantier que T. n’a pas été rappelé pour le contrat suivant.</w:t>
      </w:r>
    </w:p>
    <w:p w:rsidR="00DD4B47" w:rsidRDefault="00DD4B47" w:rsidP="00FF08E8">
      <w:pPr>
        <w:pStyle w:val="citation"/>
      </w:pPr>
      <w:r>
        <w:t>Ou il n’aurait peut-être pas été rappelé pour d’autres raisons.</w:t>
      </w:r>
    </w:p>
    <w:p w:rsidR="00DD4B47" w:rsidRDefault="00DD4B47" w:rsidP="00FF08E8">
      <w:pPr>
        <w:pStyle w:val="citation"/>
      </w:pPr>
      <w:r>
        <w:t xml:space="preserve">Elle nous précise que T. avait un taux horaire de 35.88$/h. + 13% de vacances ce qui représente 44.54$/h. Selon l’ADR, il est indiqué que T. a eu des gains de 10894.89$ à partir de son embauche. </w:t>
      </w:r>
    </w:p>
    <w:p w:rsidR="00DD4B47" w:rsidRDefault="00DD4B47" w:rsidP="00FF08E8">
      <w:pPr>
        <w:pStyle w:val="citation"/>
      </w:pPr>
      <w:r>
        <w:t>Est-ce que les gains indiqués incluent le temps supplémentaire? Elle nous qu’il ne paie pas de temps supplémentaire, que cela représente son taux horaire pour des semaines de 40h.</w:t>
      </w:r>
    </w:p>
    <w:p w:rsidR="00DD4B47" w:rsidRDefault="00DD4B47" w:rsidP="00FF08E8">
      <w:pPr>
        <w:pStyle w:val="citation"/>
      </w:pPr>
    </w:p>
    <w:p w:rsidR="00DC59C8" w:rsidRDefault="00DD4B47" w:rsidP="00DC59C8">
      <w:pPr>
        <w:pStyle w:val="citation"/>
      </w:pPr>
      <w:r>
        <w:t>Compte tenu des informations au dossier, selon le contrat de travail indiqué, le rev. brut ne dépasse pas le salaire minimum (44.54$/h x 40h. x 12 semaines – durée du contrat = 21379.20$) apsse pas aurait pas dépassé le salaire minimum</w:t>
      </w:r>
      <w:r w:rsidR="00DC59C8">
        <w:t>. Ce sera donc ce revenu qui sera retenu. T. pourra tenter de faire la démonstration de gains plus élevés au cours des 12 derniers mois. [</w:t>
      </w:r>
      <w:r w:rsidR="00DC59C8">
        <w:rPr>
          <w:i/>
        </w:rPr>
        <w:t>sic</w:t>
      </w:r>
      <w:r w:rsidR="00DC59C8">
        <w:t>]</w:t>
      </w:r>
    </w:p>
    <w:p w:rsidR="00DD4B47" w:rsidRDefault="00DD4B47" w:rsidP="00FF08E8">
      <w:pPr>
        <w:pStyle w:val="citation"/>
      </w:pPr>
    </w:p>
    <w:p w:rsidR="00DC59C8" w:rsidRDefault="00DC59C8" w:rsidP="00FF08E8">
      <w:pPr>
        <w:pStyle w:val="citation"/>
      </w:pPr>
      <w:r>
        <w:t>[…]</w:t>
      </w:r>
    </w:p>
    <w:p w:rsidR="0017053A" w:rsidRDefault="0017053A" w:rsidP="00FF08E8">
      <w:pPr>
        <w:pStyle w:val="citation"/>
      </w:pPr>
    </w:p>
    <w:p w:rsidR="0017053A" w:rsidRPr="00DC59C8" w:rsidRDefault="0017053A" w:rsidP="00FF08E8">
      <w:pPr>
        <w:pStyle w:val="citation"/>
      </w:pPr>
    </w:p>
    <w:p w:rsidR="0017053A" w:rsidRDefault="0017053A" w:rsidP="009F5D2D">
      <w:pPr>
        <w:pStyle w:val="corpsdedcision"/>
        <w:tabs>
          <w:tab w:val="clear" w:pos="360"/>
        </w:tabs>
      </w:pPr>
      <w:r>
        <w:t xml:space="preserve">Le 13 novembre 2014, la CSST rend une décision par laquelle elle informe le travailleur que le montant de son indemnité de remplacement du revenu a été établi sur la base du salaire minimum en vigueur au moment de son incapacité, soit 21 585,96 $. </w:t>
      </w:r>
    </w:p>
    <w:p w:rsidR="00E346FE" w:rsidRDefault="0017053A" w:rsidP="009F5D2D">
      <w:pPr>
        <w:pStyle w:val="corpsdedcision"/>
        <w:tabs>
          <w:tab w:val="clear" w:pos="360"/>
        </w:tabs>
      </w:pPr>
      <w:r>
        <w:t>Le travailleur conteste cette décision dont il demande la révision. Il s’agit de la décision initiale à l’origine du présent litige.</w:t>
      </w:r>
    </w:p>
    <w:p w:rsidR="0017053A" w:rsidRDefault="0017053A" w:rsidP="00756904">
      <w:pPr>
        <w:pStyle w:val="corpsdedcision"/>
        <w:tabs>
          <w:tab w:val="clear" w:pos="360"/>
        </w:tabs>
        <w:spacing w:after="240"/>
      </w:pPr>
      <w:r>
        <w:t xml:space="preserve">Le 21 janvier 2015, la CSST rend une décision à la suite d’une </w:t>
      </w:r>
      <w:r>
        <w:rPr>
          <w:rFonts w:cs="Arial"/>
        </w:rPr>
        <w:t>révision administrative</w:t>
      </w:r>
      <w:r>
        <w:t xml:space="preserve"> qui fait l’objet du présent litige. Il convient d’en reproduire les extraits suivants qui ont une pertinence particulière :</w:t>
      </w:r>
    </w:p>
    <w:p w:rsidR="00CB07A5" w:rsidRDefault="00CB07A5" w:rsidP="0017053A">
      <w:pPr>
        <w:pStyle w:val="citation"/>
      </w:pPr>
      <w:r>
        <w:t>[…]</w:t>
      </w:r>
    </w:p>
    <w:p w:rsidR="00CB07A5" w:rsidRDefault="00CB07A5" w:rsidP="0017053A">
      <w:pPr>
        <w:pStyle w:val="citation"/>
      </w:pPr>
    </w:p>
    <w:p w:rsidR="0017053A" w:rsidRDefault="0017053A" w:rsidP="0017053A">
      <w:pPr>
        <w:pStyle w:val="citation"/>
      </w:pPr>
      <w:r>
        <w:t>Au soutien de sa demande de révision, le représentant soumet</w:t>
      </w:r>
      <w:r w:rsidR="003A4D1D">
        <w:t>, d’une part, que le travailleur a gagné un revenu brut plus élevé que 21 585,96$ au cours des 12 mois précédent le début de son incapacité, en incluant des prestations d’assurance-salaire. Le représentant du travailleur précise que le trava</w:t>
      </w:r>
      <w:r w:rsidR="009308AC">
        <w:t>illeur a perçu des prestations d</w:t>
      </w:r>
      <w:r w:rsidR="003A4D1D">
        <w:t>’assurance-salaire de juillet 2012 à mars 2014. Par la suite, il a recommencé à travailleur le 3 juin 2014 pour l’employeur au dossier, chez qui il a gagné un revenu brut réel de 10 884,89$ jusqu’à l’arrêt de travail le 18 juillet 2014. Le travailleur n’a pas d’autres revenus d’emploi ni perçu de prestations d’assurance-emploi au cours des 12 mois précédant le début de son incapacité.</w:t>
      </w:r>
    </w:p>
    <w:p w:rsidR="003A4D1D" w:rsidRDefault="003A4D1D" w:rsidP="0017053A">
      <w:pPr>
        <w:pStyle w:val="citation"/>
      </w:pPr>
    </w:p>
    <w:p w:rsidR="003A4D1D" w:rsidRDefault="00C5139C" w:rsidP="0017053A">
      <w:pPr>
        <w:pStyle w:val="citation"/>
      </w:pPr>
      <w:r>
        <w:t>D’autre part, le représentant du travailleur estime que le travailleur est pénalisé du fait qu’il a été en assurance-salaire de juillet 2012 à mars 2014. En effet, compte tenu que par les années passées le travailleur a gagné un revenu annuel beaucoup plus élevé, puisqu’il a presque toujours travaillé à l’année longue, dans le cadre de différents contrats de travail chez plusieurs employeurs, il est d’avis que la Commission devrait reporter ses gains des dernières semaines sur une base annuelle.</w:t>
      </w:r>
    </w:p>
    <w:p w:rsidR="00C5139C" w:rsidRDefault="00C5139C" w:rsidP="0017053A">
      <w:pPr>
        <w:pStyle w:val="citation"/>
      </w:pPr>
    </w:p>
    <w:p w:rsidR="00C5139C" w:rsidRPr="00CB07A5" w:rsidRDefault="00C5139C" w:rsidP="0017053A">
      <w:pPr>
        <w:pStyle w:val="citation"/>
      </w:pPr>
      <w:r>
        <w:t>Enfin, le représentant du travailleur ajoute que n’eut été de son arrêt de travail le 18 juillet 2014, le travailleur aurait eu la possibilité de faire prolonger son contrat de travail chez l’employeur, dans la mesure où l’employeur embauche toujours des charpentiers-menuisiers. Cependant, il n’est pas en mesure de démontrer que le travailleur lui-même aurait travaillé au-delà du 19 août 2014, date prévue de la fin du contrat de travail du travailleur.</w:t>
      </w:r>
      <w:r w:rsidR="00CB07A5">
        <w:t xml:space="preserve"> [</w:t>
      </w:r>
      <w:r w:rsidR="00CB07A5">
        <w:rPr>
          <w:i/>
        </w:rPr>
        <w:t>sic</w:t>
      </w:r>
      <w:r w:rsidR="00CB07A5">
        <w:t>]</w:t>
      </w:r>
    </w:p>
    <w:p w:rsidR="001708DE" w:rsidRDefault="001708DE" w:rsidP="0017053A">
      <w:pPr>
        <w:pStyle w:val="citation"/>
      </w:pPr>
    </w:p>
    <w:p w:rsidR="001708DE" w:rsidRDefault="00CB07A5" w:rsidP="0017053A">
      <w:pPr>
        <w:pStyle w:val="citation"/>
      </w:pPr>
      <w:r>
        <w:t>[…]</w:t>
      </w:r>
    </w:p>
    <w:p w:rsidR="0017053A" w:rsidRDefault="001708DE" w:rsidP="009F5D2D">
      <w:pPr>
        <w:pStyle w:val="corpsdedcision"/>
        <w:tabs>
          <w:tab w:val="clear" w:pos="360"/>
        </w:tabs>
      </w:pPr>
      <w:r>
        <w:t>Au début de l’audience, le procureur du travailleur a déposé divers documents reliés à l’emploi du travailleur, dont notamment des relevés d’heures trava</w:t>
      </w:r>
      <w:r w:rsidR="00756904">
        <w:t xml:space="preserve">illées, des relevés émis par </w:t>
      </w:r>
      <w:r w:rsidR="00756904" w:rsidRPr="00756904">
        <w:t>l’</w:t>
      </w:r>
      <w:r w:rsidR="00756904" w:rsidRPr="00756904">
        <w:rPr>
          <w:i/>
        </w:rPr>
        <w:t>Assurance-E</w:t>
      </w:r>
      <w:r w:rsidRPr="00756904">
        <w:rPr>
          <w:i/>
        </w:rPr>
        <w:t>mploi</w:t>
      </w:r>
      <w:r>
        <w:t xml:space="preserve"> ainsi qu’une plainte déposée par le travailleur à la Commission de la construction du Québec, attestée par une lettre de celle-ci, datée du 19 décembre 2014 (coté sous T-1 en liasse).</w:t>
      </w:r>
    </w:p>
    <w:p w:rsidR="001708DE" w:rsidRDefault="001708DE" w:rsidP="009F5D2D">
      <w:pPr>
        <w:pStyle w:val="corpsdedcision"/>
        <w:tabs>
          <w:tab w:val="clear" w:pos="360"/>
        </w:tabs>
      </w:pPr>
      <w:r>
        <w:t>Le travailleur a témoigné à l’audience tenue le 13 mai 2015.</w:t>
      </w:r>
    </w:p>
    <w:p w:rsidR="001708DE" w:rsidRDefault="001708DE" w:rsidP="009F5D2D">
      <w:pPr>
        <w:pStyle w:val="corpsdedcision"/>
        <w:tabs>
          <w:tab w:val="clear" w:pos="360"/>
        </w:tabs>
      </w:pPr>
      <w:r>
        <w:t>Il a p</w:t>
      </w:r>
      <w:r w:rsidR="005F05E1">
        <w:t>récisé qu’il était en recherche</w:t>
      </w:r>
      <w:r>
        <w:t xml:space="preserve"> d’emploi au printemps 2014 après avoir été absent du marché du travail pendant près de deux ans.</w:t>
      </w:r>
    </w:p>
    <w:p w:rsidR="001708DE" w:rsidRDefault="001708DE" w:rsidP="009F5D2D">
      <w:pPr>
        <w:pStyle w:val="corpsdedcision"/>
        <w:tabs>
          <w:tab w:val="clear" w:pos="360"/>
        </w:tabs>
      </w:pPr>
      <w:r>
        <w:t>Il a alors rencontré le surintendant de l’employeur, monsieur Maurice Poirier, qui cherchait alors des employés dans le domaine du coffrage.</w:t>
      </w:r>
    </w:p>
    <w:p w:rsidR="001708DE" w:rsidRDefault="001708DE" w:rsidP="009F5D2D">
      <w:pPr>
        <w:pStyle w:val="corpsdedcision"/>
        <w:tabs>
          <w:tab w:val="clear" w:pos="360"/>
        </w:tabs>
      </w:pPr>
      <w:r>
        <w:t>Le travailleur a affirmé qu’on lui a proposé un contrat à durée indéterminée et qu’il a consacré trois semaines de travail à un chantier situé à Mirabel,</w:t>
      </w:r>
      <w:r w:rsidR="005F05E1">
        <w:t xml:space="preserve"> connu sous le nom de « Siscomax »,</w:t>
      </w:r>
      <w:r>
        <w:t xml:space="preserve"> suivi d’un autre contrat pour l’établissement des patins Bauer.</w:t>
      </w:r>
    </w:p>
    <w:p w:rsidR="001708DE" w:rsidRDefault="001708DE" w:rsidP="009F5D2D">
      <w:pPr>
        <w:pStyle w:val="corpsdedcision"/>
        <w:tabs>
          <w:tab w:val="clear" w:pos="360"/>
        </w:tabs>
      </w:pPr>
      <w:r>
        <w:t xml:space="preserve">Par la suite, le travailleur a décrit les circonstances de l’événement traumatique dont il a été victime le 18 juin 2014. </w:t>
      </w:r>
      <w:r w:rsidR="005F05E1">
        <w:t xml:space="preserve">Ainsi, il en aurait </w:t>
      </w:r>
      <w:r>
        <w:t>parlé à son médecin le 4 juillet suivant en soulignant qu’il avait des antécédents de phlébite.</w:t>
      </w:r>
    </w:p>
    <w:p w:rsidR="001708DE" w:rsidRDefault="001708DE" w:rsidP="009F5D2D">
      <w:pPr>
        <w:pStyle w:val="corpsdedcision"/>
        <w:tabs>
          <w:tab w:val="clear" w:pos="360"/>
        </w:tabs>
      </w:pPr>
      <w:r>
        <w:t>Le travailleur a</w:t>
      </w:r>
      <w:r w:rsidR="00800CE9">
        <w:t>, par la suite,</w:t>
      </w:r>
      <w:r>
        <w:t xml:space="preserve"> identifié différents documents (T-1</w:t>
      </w:r>
      <w:r w:rsidR="00800CE9" w:rsidRPr="00800CE9">
        <w:t xml:space="preserve"> </w:t>
      </w:r>
      <w:r w:rsidR="00800CE9">
        <w:t>en liasse</w:t>
      </w:r>
      <w:r>
        <w:t>) et faisant état des revenus qu’il avait gagnés au cours des années précédente</w:t>
      </w:r>
      <w:r w:rsidR="009308AC">
        <w:t>s</w:t>
      </w:r>
      <w:r>
        <w:t>.</w:t>
      </w:r>
      <w:r w:rsidR="00800CE9">
        <w:t xml:space="preserve"> Ainsi, en 2010, le travailleur a eu des gains totalisant environ 96 000 $, 72 000 $ en 2011 et 54 000 $ pour l’année 2012.</w:t>
      </w:r>
    </w:p>
    <w:p w:rsidR="001708DE" w:rsidRDefault="005F05E1" w:rsidP="009F5D2D">
      <w:pPr>
        <w:pStyle w:val="corpsdedcision"/>
        <w:tabs>
          <w:tab w:val="clear" w:pos="360"/>
        </w:tabs>
      </w:pPr>
      <w:r>
        <w:t>Il ressort qu’en</w:t>
      </w:r>
      <w:r w:rsidR="001708DE">
        <w:t xml:space="preserve"> 2012, il a travaillé de janvier à juillet, mais a été en arrêt de travail au cours des mois suivants. Cet arrêt de travail s’est prolongé jusqu’en mars 2014.</w:t>
      </w:r>
    </w:p>
    <w:p w:rsidR="001708DE" w:rsidRDefault="001708DE" w:rsidP="009F5D2D">
      <w:pPr>
        <w:pStyle w:val="corpsdedcision"/>
        <w:tabs>
          <w:tab w:val="clear" w:pos="360"/>
        </w:tabs>
      </w:pPr>
      <w:r>
        <w:t>Il a alors perçu des prestations d’assurance salaire collective de la Commission de la construction du Québec.</w:t>
      </w:r>
    </w:p>
    <w:p w:rsidR="001708DE" w:rsidRDefault="001708DE" w:rsidP="009F5D2D">
      <w:pPr>
        <w:pStyle w:val="corpsdedcision"/>
        <w:tabs>
          <w:tab w:val="clear" w:pos="360"/>
        </w:tabs>
      </w:pPr>
      <w:r>
        <w:t>En outre, le travailleur a affirmé que l’employeur lui devait un surplus d’heures travaillées et qu’il a dû déposer une plainte à la C</w:t>
      </w:r>
      <w:r w:rsidR="005F05E1">
        <w:t xml:space="preserve">ommission de la construction du Québec </w:t>
      </w:r>
      <w:r>
        <w:t>afin d’obtenir le paiement de celles-ci.</w:t>
      </w:r>
    </w:p>
    <w:p w:rsidR="001708DE" w:rsidRDefault="001708DE" w:rsidP="009F5D2D">
      <w:pPr>
        <w:pStyle w:val="corpsdedcision"/>
        <w:tabs>
          <w:tab w:val="clear" w:pos="360"/>
        </w:tabs>
      </w:pPr>
      <w:r>
        <w:t>Il a également souligné que, lors d’une conversation avec madame Lepage, gestionnaire chez l’employeur, celle-ci lui aurait dit qu’elle contesterait sa réclamation soumise à la CSST.</w:t>
      </w:r>
    </w:p>
    <w:p w:rsidR="001708DE" w:rsidRDefault="001708DE" w:rsidP="009F5D2D">
      <w:pPr>
        <w:pStyle w:val="corpsdedcision"/>
        <w:tabs>
          <w:tab w:val="clear" w:pos="360"/>
        </w:tabs>
      </w:pPr>
      <w:r>
        <w:t>Le travailleur a  insisté sur le fait que l’employeur a toujours été à la recherche de charpentier</w:t>
      </w:r>
      <w:r w:rsidR="00800CE9">
        <w:t>s-</w:t>
      </w:r>
      <w:r>
        <w:t>menuisier</w:t>
      </w:r>
      <w:r w:rsidR="00800CE9">
        <w:t>s</w:t>
      </w:r>
      <w:r>
        <w:t xml:space="preserve"> au cours de la période contemporaine à l’accident du travail dont il a été victime.</w:t>
      </w:r>
    </w:p>
    <w:p w:rsidR="001708DE" w:rsidRDefault="001708DE" w:rsidP="009F5D2D">
      <w:pPr>
        <w:pStyle w:val="corpsdedcision"/>
        <w:tabs>
          <w:tab w:val="clear" w:pos="360"/>
        </w:tabs>
      </w:pPr>
      <w:r>
        <w:t xml:space="preserve">Le travailleur a </w:t>
      </w:r>
      <w:r w:rsidR="005F05E1">
        <w:t>affirmé</w:t>
      </w:r>
      <w:r>
        <w:t xml:space="preserve"> que son contrat ne se terminait pas le 16 août 2014 comme l’a prétendu l’employeur dans une correspondance adressée à la CSST.</w:t>
      </w:r>
    </w:p>
    <w:p w:rsidR="001708DE" w:rsidRDefault="001708DE" w:rsidP="009F5D2D">
      <w:pPr>
        <w:pStyle w:val="corpsdedcision"/>
        <w:tabs>
          <w:tab w:val="clear" w:pos="360"/>
        </w:tabs>
      </w:pPr>
      <w:r>
        <w:t xml:space="preserve">À la suite de ce témoignage, monsieur André Lemaire, président de </w:t>
      </w:r>
      <w:r w:rsidR="005F05E1">
        <w:t xml:space="preserve">l’entreprise opérée par </w:t>
      </w:r>
      <w:r>
        <w:t>l’employeur a également témoigné à l’audience.</w:t>
      </w:r>
    </w:p>
    <w:p w:rsidR="001708DE" w:rsidRDefault="001708DE" w:rsidP="009F5D2D">
      <w:pPr>
        <w:pStyle w:val="corpsdedcision"/>
        <w:tabs>
          <w:tab w:val="clear" w:pos="360"/>
        </w:tabs>
      </w:pPr>
      <w:r>
        <w:t>Il a soutenu fermement que le travailleur avait été engagé à durée fixe pour le contrat connu sous le nom de « Syscomax ». Il n’a</w:t>
      </w:r>
      <w:r w:rsidR="005F05E1">
        <w:t>urait</w:t>
      </w:r>
      <w:r>
        <w:t xml:space="preserve"> jamais été engagé à l’année.</w:t>
      </w:r>
    </w:p>
    <w:p w:rsidR="001708DE" w:rsidRDefault="001708DE" w:rsidP="009F5D2D">
      <w:pPr>
        <w:pStyle w:val="corpsdedcision"/>
        <w:tabs>
          <w:tab w:val="clear" w:pos="360"/>
        </w:tabs>
      </w:pPr>
      <w:r>
        <w:t xml:space="preserve">À la suite de cette partie de la déposition de monsieur Lemaire, l’audience a été ajournée à une date ultérieure, le </w:t>
      </w:r>
      <w:r w:rsidR="00800CE9">
        <w:t>soussigné</w:t>
      </w:r>
      <w:r>
        <w:t xml:space="preserve"> </w:t>
      </w:r>
      <w:r w:rsidR="00891E68">
        <w:t>devant entendre une autre audience fixée péremptoirement.</w:t>
      </w:r>
    </w:p>
    <w:p w:rsidR="00891E68" w:rsidRDefault="00891E68" w:rsidP="009F5D2D">
      <w:pPr>
        <w:pStyle w:val="corpsdedcision"/>
        <w:tabs>
          <w:tab w:val="clear" w:pos="360"/>
        </w:tabs>
      </w:pPr>
      <w:r>
        <w:t>Monsieur Lemaire a donc poursuivi son témoignage lors de l’audience du 2</w:t>
      </w:r>
      <w:r w:rsidR="00FB0DFC">
        <w:t> </w:t>
      </w:r>
      <w:r>
        <w:t>mai</w:t>
      </w:r>
      <w:r w:rsidR="00FB0DFC">
        <w:t> </w:t>
      </w:r>
      <w:r>
        <w:t>2016.</w:t>
      </w:r>
    </w:p>
    <w:p w:rsidR="00891E68" w:rsidRDefault="00891E68" w:rsidP="009F5D2D">
      <w:pPr>
        <w:pStyle w:val="corpsdedcision"/>
        <w:tabs>
          <w:tab w:val="clear" w:pos="360"/>
        </w:tabs>
      </w:pPr>
      <w:r>
        <w:t xml:space="preserve">Le témoin a </w:t>
      </w:r>
      <w:r w:rsidR="005F05E1">
        <w:t xml:space="preserve">alors </w:t>
      </w:r>
      <w:r>
        <w:t>apporté certaines précisions quant au</w:t>
      </w:r>
      <w:r w:rsidR="00800CE9">
        <w:t>x</w:t>
      </w:r>
      <w:r>
        <w:t xml:space="preserve"> contrat</w:t>
      </w:r>
      <w:r w:rsidR="00800CE9">
        <w:t>s</w:t>
      </w:r>
      <w:r>
        <w:t xml:space="preserve"> </w:t>
      </w:r>
      <w:r w:rsidR="00800CE9">
        <w:t>accordés</w:t>
      </w:r>
      <w:r>
        <w:t xml:space="preserve"> par son entreprise dans l</w:t>
      </w:r>
      <w:r w:rsidR="00800CE9">
        <w:t>e cours normal de s</w:t>
      </w:r>
      <w:r w:rsidR="005F05E1">
        <w:t>es affaires.</w:t>
      </w:r>
      <w:r w:rsidR="003A00D4">
        <w:t xml:space="preserve"> </w:t>
      </w:r>
      <w:r>
        <w:t xml:space="preserve">Ainsi, c’est monsieur Poirier qui procède à l’embauche et qui donne </w:t>
      </w:r>
      <w:r w:rsidR="00800CE9">
        <w:t xml:space="preserve">à madame Lepage </w:t>
      </w:r>
      <w:r>
        <w:t>les informations relatives au</w:t>
      </w:r>
      <w:r w:rsidR="00E45F48">
        <w:t>x</w:t>
      </w:r>
      <w:r>
        <w:t xml:space="preserve"> contrat</w:t>
      </w:r>
      <w:r w:rsidR="00E45F48">
        <w:t>s</w:t>
      </w:r>
      <w:r>
        <w:t>.</w:t>
      </w:r>
    </w:p>
    <w:p w:rsidR="00891E68" w:rsidRDefault="00891E68" w:rsidP="009F5D2D">
      <w:pPr>
        <w:pStyle w:val="corpsdedcision"/>
        <w:tabs>
          <w:tab w:val="clear" w:pos="360"/>
          <w:tab w:val="num" w:pos="720"/>
        </w:tabs>
      </w:pPr>
      <w:r>
        <w:t xml:space="preserve">Par ailleurs, </w:t>
      </w:r>
      <w:r w:rsidR="003A00D4">
        <w:t xml:space="preserve">interrogé par le </w:t>
      </w:r>
      <w:r w:rsidR="003A00D4" w:rsidRPr="003A00D4">
        <w:t>procureur du travailleur quant à l’article 14.06 de la convention collective de travail</w:t>
      </w:r>
      <w:r w:rsidR="003A00D4">
        <w:t xml:space="preserve">, </w:t>
      </w:r>
      <w:r>
        <w:t>le témoin a précisé qu’aucun préavis de fin de contrat n’est donné au</w:t>
      </w:r>
      <w:r w:rsidR="00E45F48">
        <w:t>x</w:t>
      </w:r>
      <w:r>
        <w:t xml:space="preserve"> travailleur</w:t>
      </w:r>
      <w:r w:rsidR="00E45F48">
        <w:t>s</w:t>
      </w:r>
      <w:r>
        <w:t xml:space="preserve"> au sein de l’entreprise.</w:t>
      </w:r>
    </w:p>
    <w:p w:rsidR="00891E68" w:rsidRDefault="00891E68">
      <w:pPr>
        <w:pStyle w:val="corpsdedcision"/>
        <w:numPr>
          <w:ilvl w:val="0"/>
          <w:numId w:val="0"/>
        </w:numPr>
      </w:pPr>
      <w:r>
        <w:rPr>
          <w:b/>
        </w:rPr>
        <w:t>L’ARGUMENTATION DES PARTIES</w:t>
      </w:r>
    </w:p>
    <w:p w:rsidR="00891E68" w:rsidRDefault="00891E68" w:rsidP="00891E68">
      <w:pPr>
        <w:pStyle w:val="corpsdedcision"/>
        <w:tabs>
          <w:tab w:val="clear" w:pos="360"/>
          <w:tab w:val="num" w:pos="720"/>
        </w:tabs>
      </w:pPr>
      <w:r>
        <w:t>Le procureur du travailleur a soutenu que le revenu qui sert à l’établissement de la base salariale à laquelle a droit un travailleur doit être représentatif de ces gains possibles, également appelé la capacité de gain par la jurisprudence.</w:t>
      </w:r>
    </w:p>
    <w:p w:rsidR="00891E68" w:rsidRDefault="00891E68" w:rsidP="00891E68">
      <w:pPr>
        <w:pStyle w:val="corpsdedcision"/>
        <w:tabs>
          <w:tab w:val="clear" w:pos="360"/>
          <w:tab w:val="num" w:pos="720"/>
        </w:tabs>
      </w:pPr>
      <w:r>
        <w:t>Le procureur a alors fait référence à la décision rendue</w:t>
      </w:r>
      <w:r w:rsidR="00752D99">
        <w:t xml:space="preserve"> dans </w:t>
      </w:r>
      <w:r w:rsidR="00752D99" w:rsidRPr="003E36BA">
        <w:t>l’affaire</w:t>
      </w:r>
      <w:r w:rsidRPr="00752D99">
        <w:rPr>
          <w:i/>
        </w:rPr>
        <w:t xml:space="preserve"> Héroux, Groupe Forage</w:t>
      </w:r>
      <w:r w:rsidR="00E45F48">
        <w:rPr>
          <w:i/>
        </w:rPr>
        <w:t xml:space="preserve"> </w:t>
      </w:r>
      <w:r w:rsidRPr="00752D99">
        <w:rPr>
          <w:i/>
        </w:rPr>
        <w:t xml:space="preserve">Major </w:t>
      </w:r>
      <w:r w:rsidRPr="00752D99">
        <w:t>et</w:t>
      </w:r>
      <w:r w:rsidRPr="00752D99">
        <w:rPr>
          <w:i/>
        </w:rPr>
        <w:t xml:space="preserve"> Commission des lésions professionnelles</w:t>
      </w:r>
      <w:r>
        <w:t xml:space="preserve"> </w:t>
      </w:r>
      <w:r w:rsidR="00E45F48" w:rsidRPr="00752D99">
        <w:rPr>
          <w:rStyle w:val="Appelnotedebasdep"/>
          <w:i/>
        </w:rPr>
        <w:footnoteReference w:id="3"/>
      </w:r>
      <w:r w:rsidR="00E45F48">
        <w:rPr>
          <w:i/>
        </w:rPr>
        <w:t xml:space="preserve"> </w:t>
      </w:r>
      <w:r>
        <w:t>afin d’appuyer son plaidoyer.</w:t>
      </w:r>
    </w:p>
    <w:p w:rsidR="00752D99" w:rsidRDefault="00752D99" w:rsidP="00891E68">
      <w:pPr>
        <w:pStyle w:val="corpsdedcision"/>
        <w:tabs>
          <w:tab w:val="clear" w:pos="360"/>
          <w:tab w:val="num" w:pos="720"/>
        </w:tabs>
      </w:pPr>
      <w:r>
        <w:t>Ainsi, en 2010, le travailleur a eu des gains totalisant environ 96 000 $, 72 000 $ en 2011 et 54 000 </w:t>
      </w:r>
      <w:r w:rsidR="00E3195B">
        <w:t>$ pour l’année 2012 qui a été écourtée de moitié en raison de son absence pour maladie.</w:t>
      </w:r>
    </w:p>
    <w:p w:rsidR="00E3195B" w:rsidRDefault="00E3195B" w:rsidP="004F5294">
      <w:pPr>
        <w:pStyle w:val="corpsdedcision"/>
        <w:tabs>
          <w:tab w:val="clear" w:pos="360"/>
          <w:tab w:val="num" w:pos="720"/>
        </w:tabs>
      </w:pPr>
      <w:r>
        <w:t>Par conséquent, s’il avait continué d’ê</w:t>
      </w:r>
      <w:r w:rsidR="00800CE9">
        <w:t>tre à l’emploi chez l’employeur</w:t>
      </w:r>
      <w:r>
        <w:t xml:space="preserve"> en 2014</w:t>
      </w:r>
      <w:r w:rsidR="00800CE9">
        <w:t>,</w:t>
      </w:r>
      <w:r>
        <w:t xml:space="preserve"> le travailleur aurait gagné un revenu qui aurait, encore une fois, dépassé le maximum annuel assurable.</w:t>
      </w:r>
    </w:p>
    <w:p w:rsidR="00E3195B" w:rsidRDefault="00800CE9" w:rsidP="004F5294">
      <w:pPr>
        <w:pStyle w:val="corpsdedcision"/>
        <w:tabs>
          <w:tab w:val="clear" w:pos="360"/>
          <w:tab w:val="num" w:pos="720"/>
        </w:tabs>
      </w:pPr>
      <w:r>
        <w:t>L</w:t>
      </w:r>
      <w:r w:rsidR="00E3195B">
        <w:t>a preuve a</w:t>
      </w:r>
      <w:r w:rsidR="00E45F48">
        <w:t>urait</w:t>
      </w:r>
      <w:r w:rsidR="00E3195B">
        <w:t xml:space="preserve"> </w:t>
      </w:r>
      <w:r>
        <w:t xml:space="preserve">aussi </w:t>
      </w:r>
      <w:r w:rsidR="00E3195B">
        <w:t>révélé que le travailleur a été engagé par monsieur Poirier, sans date d’échéance, l’employeur embauchant régulièrement des charpentiers</w:t>
      </w:r>
      <w:r>
        <w:t>-</w:t>
      </w:r>
      <w:r w:rsidR="00E3195B">
        <w:t xml:space="preserve">menuisiers, même après la lésion </w:t>
      </w:r>
      <w:r w:rsidR="009308AC">
        <w:t xml:space="preserve">que le travailleur </w:t>
      </w:r>
      <w:r w:rsidR="00E3195B">
        <w:t>a subie</w:t>
      </w:r>
      <w:r w:rsidR="009308AC">
        <w:t>.</w:t>
      </w:r>
    </w:p>
    <w:p w:rsidR="00E3195B" w:rsidRDefault="00E3195B" w:rsidP="004F5294">
      <w:pPr>
        <w:pStyle w:val="corpsdedcision"/>
        <w:tabs>
          <w:tab w:val="clear" w:pos="360"/>
          <w:tab w:val="num" w:pos="720"/>
        </w:tabs>
      </w:pPr>
      <w:r>
        <w:t>En outre, l’employeur n’a jamais donné de préavis de fin de contrat au travailleur le 19 ao</w:t>
      </w:r>
      <w:r w:rsidR="007434CD">
        <w:t>ût 2014 comme la</w:t>
      </w:r>
      <w:r w:rsidR="00E45F48">
        <w:t xml:space="preserve"> convention collective liant les parties le prévoit</w:t>
      </w:r>
      <w:r w:rsidR="005B19E0">
        <w:t>.</w:t>
      </w:r>
    </w:p>
    <w:p w:rsidR="005B19E0" w:rsidRDefault="005B19E0" w:rsidP="004F5294">
      <w:pPr>
        <w:pStyle w:val="corpsdedcision"/>
        <w:tabs>
          <w:tab w:val="clear" w:pos="360"/>
          <w:tab w:val="num" w:pos="720"/>
        </w:tabs>
      </w:pPr>
      <w:r>
        <w:t xml:space="preserve">Le procureur du travailleur a soutenu que les dispositions de l’article 67 de la </w:t>
      </w:r>
      <w:r w:rsidR="00E45F48" w:rsidRPr="00C57EEB">
        <w:rPr>
          <w:i/>
          <w:iCs/>
        </w:rPr>
        <w:t>Loi sur les accidents du travail et les maladies professionnelles</w:t>
      </w:r>
      <w:r w:rsidR="00E45F48">
        <w:rPr>
          <w:rStyle w:val="Appelnotedebasdep"/>
        </w:rPr>
        <w:footnoteReference w:id="4"/>
      </w:r>
      <w:r w:rsidR="00E45F48">
        <w:t xml:space="preserve"> </w:t>
      </w:r>
      <w:r>
        <w:t>devaient trouver ici leur application puisque le salaire minimum ne correspond aucunement au revenu véritable qu’aurait gagné le travailleur s’il était demeuré en emploi.</w:t>
      </w:r>
    </w:p>
    <w:p w:rsidR="005B19E0" w:rsidRDefault="005B19E0" w:rsidP="004F5294">
      <w:pPr>
        <w:pStyle w:val="corpsdedcision"/>
        <w:tabs>
          <w:tab w:val="clear" w:pos="360"/>
          <w:tab w:val="num" w:pos="720"/>
        </w:tabs>
      </w:pPr>
      <w:r>
        <w:t>Ainsi, sa capacité de gains futurs permettrait au Tribunal d’appliquer les dispositions des articles 75 et 76 de la loi, ce qui éviterait au travailleur d’être traité de façon inéquitable.</w:t>
      </w:r>
    </w:p>
    <w:p w:rsidR="005B19E0" w:rsidRDefault="005B19E0" w:rsidP="004F5294">
      <w:pPr>
        <w:pStyle w:val="corpsdedcision"/>
        <w:tabs>
          <w:tab w:val="clear" w:pos="360"/>
          <w:tab w:val="num" w:pos="720"/>
        </w:tabs>
      </w:pPr>
      <w:r>
        <w:t>En conclusion, le travailleur aurait droit à une indemnisation suivant la base salariale du maximum annuel assurable, soit 66 500 $ pour l’année 2014, 67 500 $ pour l’année 2015 et 68 500 $ pour l’année 2016.</w:t>
      </w:r>
      <w:r w:rsidR="004F5294">
        <w:t xml:space="preserve"> </w:t>
      </w:r>
      <w:r>
        <w:t>Il y aurait donc lieu pour le Tribunal de retourner le dossier à la Commission afin qu’elle procède aux ajustements nécessaires.</w:t>
      </w:r>
    </w:p>
    <w:p w:rsidR="005B19E0" w:rsidRDefault="005B19E0" w:rsidP="004F5294">
      <w:pPr>
        <w:pStyle w:val="corpsdedcision"/>
        <w:tabs>
          <w:tab w:val="clear" w:pos="360"/>
          <w:tab w:val="num" w:pos="720"/>
        </w:tabs>
      </w:pPr>
      <w:r>
        <w:t xml:space="preserve">En contrepartie, monsieur Lemaire a rappelé qu’il avait connaissance des embauches de travailleurs effectuées par monsieur Poirier et que celui-ci ne pouvait avoir engagé le travailleur </w:t>
      </w:r>
      <w:r w:rsidR="00C8136E">
        <w:t>à durée indéterminée parce que cela ne se faisait jamais dans l’entreprise.</w:t>
      </w:r>
    </w:p>
    <w:p w:rsidR="00C8136E" w:rsidRDefault="00C8136E" w:rsidP="004F5294">
      <w:pPr>
        <w:pStyle w:val="corpsdedcision"/>
        <w:tabs>
          <w:tab w:val="clear" w:pos="360"/>
          <w:tab w:val="num" w:pos="720"/>
        </w:tabs>
      </w:pPr>
      <w:r>
        <w:t>En outre, le travailleur n’a pas dit à ce dernier qu’il avait été hors du marché du travail pendant deux ans en raison de ses problèmes de santé qui l’ont obligé à quitter son emploi chez l’employeur.</w:t>
      </w:r>
    </w:p>
    <w:p w:rsidR="00C8136E" w:rsidRDefault="00C8136E" w:rsidP="004F5294">
      <w:pPr>
        <w:pStyle w:val="corpsdedcision"/>
        <w:tabs>
          <w:tab w:val="clear" w:pos="360"/>
          <w:tab w:val="num" w:pos="720"/>
        </w:tabs>
      </w:pPr>
      <w:r>
        <w:t xml:space="preserve">Enfin, monsieur Lemaire a affirmé que le travailleur avait été mis à pied à cause d’un manque de travail et non pas parce qu’il avait subi une </w:t>
      </w:r>
      <w:r>
        <w:rPr>
          <w:rFonts w:cs="Arial"/>
        </w:rPr>
        <w:t>lésion professionnelle</w:t>
      </w:r>
      <w:r>
        <w:t>.</w:t>
      </w:r>
    </w:p>
    <w:p w:rsidR="00C8136E" w:rsidRPr="003A00D4" w:rsidRDefault="00C8136E" w:rsidP="00800CE9">
      <w:pPr>
        <w:pStyle w:val="corpsdedcision"/>
        <w:tabs>
          <w:tab w:val="clear" w:pos="360"/>
          <w:tab w:val="num" w:pos="720"/>
        </w:tabs>
      </w:pPr>
      <w:r w:rsidRPr="003A00D4">
        <w:t xml:space="preserve">En réplique, le procureur du travailleur a de nouveau référé le Tribunal aux articles 14.01 et 14.06 de la convention collective de travail </w:t>
      </w:r>
      <w:r w:rsidR="003A00D4">
        <w:t xml:space="preserve">quant aux préavis et il a conclu ses représentations en rappelant </w:t>
      </w:r>
      <w:r w:rsidRPr="003A00D4">
        <w:t>qu’un emploi dans l’industrie de la construction n’est pas un emploi saisonnier ni un emploi à temps partiel.</w:t>
      </w:r>
    </w:p>
    <w:p w:rsidR="00C8136E" w:rsidRDefault="00C8136E" w:rsidP="00CA773F">
      <w:pPr>
        <w:pStyle w:val="corpsdedcision"/>
        <w:numPr>
          <w:ilvl w:val="0"/>
          <w:numId w:val="0"/>
        </w:numPr>
      </w:pPr>
      <w:r>
        <w:rPr>
          <w:b/>
          <w:bCs/>
        </w:rPr>
        <w:t>LES MOTIFS</w:t>
      </w:r>
      <w:r w:rsidR="00800CE9">
        <w:rPr>
          <w:b/>
          <w:bCs/>
        </w:rPr>
        <w:t xml:space="preserve"> DE LA DÉCISION</w:t>
      </w:r>
    </w:p>
    <w:p w:rsidR="00C8136E" w:rsidRDefault="006D31ED" w:rsidP="00891E68">
      <w:pPr>
        <w:pStyle w:val="corpsdedcision"/>
        <w:tabs>
          <w:tab w:val="clear" w:pos="360"/>
          <w:tab w:val="num" w:pos="720"/>
        </w:tabs>
      </w:pPr>
      <w:r>
        <w:t xml:space="preserve">Le Tribunal doit décider si le travailleur a droit à une base salariale différente de celle du salaire minimum relativement à la </w:t>
      </w:r>
      <w:r>
        <w:rPr>
          <w:rFonts w:cs="Arial"/>
        </w:rPr>
        <w:t>lésion professionnelle</w:t>
      </w:r>
      <w:r w:rsidR="003A00D4">
        <w:t xml:space="preserve"> qu’il a subie</w:t>
      </w:r>
      <w:r>
        <w:t>.</w:t>
      </w:r>
    </w:p>
    <w:p w:rsidR="006D31ED" w:rsidRDefault="006D31ED" w:rsidP="004F5294">
      <w:pPr>
        <w:pStyle w:val="corpsdedcision"/>
        <w:tabs>
          <w:tab w:val="clear" w:pos="360"/>
          <w:tab w:val="num" w:pos="720"/>
        </w:tabs>
        <w:spacing w:after="240"/>
      </w:pPr>
      <w:r>
        <w:t>Le calcul de l’indemnité de r</w:t>
      </w:r>
      <w:r w:rsidR="007434CD">
        <w:t>emplacement du revenu est prévu</w:t>
      </w:r>
      <w:r>
        <w:t xml:space="preserve"> à la sous-section 3, de la section</w:t>
      </w:r>
      <w:r w:rsidR="007434CD">
        <w:t xml:space="preserve"> </w:t>
      </w:r>
      <w:r>
        <w:t>1 du chapitre 3 de la loi</w:t>
      </w:r>
      <w:r w:rsidR="007434CD">
        <w:t>, consacré aux indemnités et dont il convient de reproduire les articles 67, 75 et 76 qui ont une pertinence plus particulière en l’instance :</w:t>
      </w:r>
    </w:p>
    <w:p w:rsidR="007434CD" w:rsidRDefault="007434CD">
      <w:pPr>
        <w:pStyle w:val="articlesdelaLATMP"/>
      </w:pPr>
      <w:r w:rsidRPr="00556C22">
        <w:rPr>
          <w:b/>
        </w:rPr>
        <w:t>67.</w:t>
      </w:r>
      <w:r>
        <w:t xml:space="preserve">  Le revenu brut d'un travailleur est déterminé sur la base du revenu brut prévu par son contrat de travail et, lorsque le travailleur est visé à l'un des articles 42.11 et 1019.4 de la Loi sur les impôts (chapitre I</w:t>
      </w:r>
      <w:r>
        <w:noBreakHyphen/>
        <w:t>3), sur la base de l'ensemble des pourboires que le travailleur aurait déclarés à son employeur en vertu de cet article 1019.4 ou que son employeur lui aurait attribués en vertu de cet article 42.11, sauf si le travailleur démontre à la Commission qu'il a tiré un revenu brut plus élevé de l'emploi pour l'employeur au service duquel il se trouvait lorsque s'est manifestée sa lésion professionnelle ou du même genre d'emploi pour des employeurs différents pendant les 12</w:t>
      </w:r>
      <w:r>
        <w:rPr>
          <w:rFonts w:cs="Arial"/>
        </w:rPr>
        <w:t> </w:t>
      </w:r>
      <w:r>
        <w:t>mois précédant le début de son incapacité.</w:t>
      </w:r>
    </w:p>
    <w:p w:rsidR="007434CD" w:rsidRDefault="007434CD">
      <w:pPr>
        <w:pStyle w:val="articlesdelaLATMP"/>
      </w:pPr>
    </w:p>
    <w:p w:rsidR="007434CD" w:rsidRDefault="007434CD">
      <w:pPr>
        <w:pStyle w:val="articlesdelaLATMP"/>
      </w:pPr>
      <w:r>
        <w:t>Pour établir un revenu brut plus élevé, le travailleur peut inclure les bonis, les primes, les pourboires, les commissions, les majorations pour heures supplémentaires, les vacances si leur valeur en espèces n'est pas incluse dans le salaire, les rémunérations participatoires, la valeur en espèces de l'utilisation à des fins personnelles d'une automobile ou d'un logement fournis par l'employeur lorsqu'il en a perdu la jouissance en raison de sa lésion professionnelle et les prestations en vertu de la Loi sur l'assurance parentale (chapitre A</w:t>
      </w:r>
      <w:r>
        <w:noBreakHyphen/>
        <w:t>29.011) ou de la Loi sur l'assurance-emploi (Lois du Canada, 1996, chapitre 23).</w:t>
      </w:r>
    </w:p>
    <w:p w:rsidR="007434CD" w:rsidRDefault="007434CD">
      <w:pPr>
        <w:pStyle w:val="articlesdelaLATMP"/>
      </w:pPr>
      <w:r>
        <w:t>__________</w:t>
      </w:r>
    </w:p>
    <w:p w:rsidR="007434CD" w:rsidRDefault="007434CD">
      <w:pPr>
        <w:pStyle w:val="articlesdelaLATMP"/>
      </w:pPr>
      <w:r>
        <w:t>1985, c. 6, a. 67; 1997, c. 85, a. 4; 2001, c. 9, a. 125.</w:t>
      </w:r>
    </w:p>
    <w:p w:rsidR="007434CD" w:rsidRDefault="007434CD">
      <w:pPr>
        <w:pStyle w:val="articlesdelaLATMP"/>
      </w:pPr>
    </w:p>
    <w:p w:rsidR="007434CD" w:rsidRDefault="007434CD">
      <w:pPr>
        <w:pStyle w:val="articlesdelaLATMP"/>
      </w:pPr>
      <w:r w:rsidRPr="00556C22">
        <w:rPr>
          <w:b/>
        </w:rPr>
        <w:t>75.</w:t>
      </w:r>
      <w:r>
        <w:t xml:space="preserve">  Le revenu brut d'un travailleur peut être déterminé d'une manière autre que celle que prévoient les articles 67 à 74, si cela peut être plus équitable en raison de la nature particulière du travail de ce travailleur.</w:t>
      </w:r>
    </w:p>
    <w:p w:rsidR="007434CD" w:rsidRDefault="007434CD">
      <w:pPr>
        <w:pStyle w:val="articlesdelaLATMP"/>
      </w:pPr>
    </w:p>
    <w:p w:rsidR="007434CD" w:rsidRDefault="007434CD">
      <w:pPr>
        <w:pStyle w:val="articlesdelaLATMP"/>
      </w:pPr>
      <w:r>
        <w:t>Cependant, le revenu brut ainsi déterminé ne peut servir de base au calcul de l'indemnité de remplacement du revenu s'il est inférieur à celui qui résulte de l'application de ces articles.</w:t>
      </w:r>
    </w:p>
    <w:p w:rsidR="007434CD" w:rsidRDefault="007434CD">
      <w:pPr>
        <w:pStyle w:val="articlesdelaLATMP"/>
      </w:pPr>
      <w:r>
        <w:t>__________</w:t>
      </w:r>
    </w:p>
    <w:p w:rsidR="007434CD" w:rsidRDefault="007434CD">
      <w:pPr>
        <w:pStyle w:val="articlesdelaLATMP"/>
      </w:pPr>
      <w:r>
        <w:t>1985, c. 6, a. 75.</w:t>
      </w:r>
    </w:p>
    <w:p w:rsidR="007434CD" w:rsidRDefault="007434CD">
      <w:pPr>
        <w:pStyle w:val="articlesdelaLATMP"/>
      </w:pPr>
    </w:p>
    <w:p w:rsidR="007434CD" w:rsidRDefault="007434CD">
      <w:pPr>
        <w:pStyle w:val="articlesdelaLATMP"/>
      </w:pPr>
      <w:r w:rsidRPr="00556C22">
        <w:rPr>
          <w:b/>
        </w:rPr>
        <w:t>76.</w:t>
      </w:r>
      <w:r>
        <w:t xml:space="preserve">  Lorsqu'un travailleur est incapable, en raison d'une lésion professionnelle, d'exercer son emploi pendant plus de deux</w:t>
      </w:r>
      <w:r>
        <w:rPr>
          <w:rFonts w:cs="Arial"/>
        </w:rPr>
        <w:t> </w:t>
      </w:r>
      <w:r>
        <w:t>ans, la Commission détermine un revenu brut plus élevé que celui que prévoit la présente sous-section si ce travailleur lui démontre qu'il aurait pu occuper un emploi plus rémunérateur lorsque s'est manifestée sa lésion, n'eût été de circonstances particulières.</w:t>
      </w:r>
    </w:p>
    <w:p w:rsidR="007434CD" w:rsidRDefault="007434CD">
      <w:pPr>
        <w:pStyle w:val="articlesdelaLATMP"/>
      </w:pPr>
    </w:p>
    <w:p w:rsidR="007434CD" w:rsidRDefault="007434CD">
      <w:pPr>
        <w:pStyle w:val="articlesdelaLATMP"/>
      </w:pPr>
      <w:r>
        <w:t>Ce nouveau revenu brut sert de base au calcul de l'indemnité de remplacement du revenu due au travailleur à compter du début de son incapacité.</w:t>
      </w:r>
    </w:p>
    <w:p w:rsidR="007434CD" w:rsidRDefault="007434CD">
      <w:pPr>
        <w:pStyle w:val="articlesdelaLATMP"/>
      </w:pPr>
      <w:r>
        <w:t>__________</w:t>
      </w:r>
    </w:p>
    <w:p w:rsidR="007434CD" w:rsidRDefault="007434CD">
      <w:pPr>
        <w:pStyle w:val="articlesdelaLATMP"/>
      </w:pPr>
      <w:r>
        <w:t>1985, c. 6, a. 76.</w:t>
      </w:r>
    </w:p>
    <w:p w:rsidR="007434CD" w:rsidRDefault="007434CD">
      <w:pPr>
        <w:pStyle w:val="articlesdelaLATMP"/>
      </w:pPr>
    </w:p>
    <w:p w:rsidR="007434CD" w:rsidRDefault="00CA773F" w:rsidP="004F5294">
      <w:pPr>
        <w:pStyle w:val="corpsdedcision"/>
        <w:tabs>
          <w:tab w:val="clear" w:pos="360"/>
          <w:tab w:val="num" w:pos="720"/>
        </w:tabs>
      </w:pPr>
      <w:r>
        <w:t>Ainsi, dans le cas à l’étude, la preuve démont</w:t>
      </w:r>
      <w:r w:rsidR="004F5294">
        <w:t>re, avec prépondérance, que l</w:t>
      </w:r>
      <w:r>
        <w:t>e travailleur n’aurait pas été engagé sur la base d’un contrat à durée déterminée.</w:t>
      </w:r>
    </w:p>
    <w:p w:rsidR="004F5294" w:rsidRDefault="00CA773F" w:rsidP="00CA773F">
      <w:pPr>
        <w:pStyle w:val="corpsdedcision"/>
        <w:tabs>
          <w:tab w:val="clear" w:pos="360"/>
          <w:tab w:val="num" w:pos="720"/>
        </w:tabs>
      </w:pPr>
      <w:r>
        <w:t xml:space="preserve">En effet, bien que les témoignages entendus à l’audience aient été, en partie, contradictoires, il </w:t>
      </w:r>
      <w:r w:rsidR="009308AC">
        <w:t>demeure que l’employeur n’a pu</w:t>
      </w:r>
      <w:r>
        <w:t xml:space="preserve"> établir, d’une façon convaincante</w:t>
      </w:r>
      <w:r w:rsidR="009308AC">
        <w:t>,</w:t>
      </w:r>
      <w:r>
        <w:t xml:space="preserve"> que le travailleur avait été engagé uniquement pour la durée du contrat connu sous le nom </w:t>
      </w:r>
      <w:r w:rsidR="003A00D4">
        <w:t xml:space="preserve">de </w:t>
      </w:r>
      <w:r>
        <w:t>« Sys</w:t>
      </w:r>
      <w:r w:rsidR="004F5294">
        <w:t>comax ».</w:t>
      </w:r>
    </w:p>
    <w:p w:rsidR="00CA773F" w:rsidRDefault="00CA773F" w:rsidP="00CA773F">
      <w:pPr>
        <w:pStyle w:val="corpsdedcision"/>
        <w:tabs>
          <w:tab w:val="clear" w:pos="360"/>
          <w:tab w:val="num" w:pos="720"/>
        </w:tabs>
      </w:pPr>
      <w:r>
        <w:t>La seule affirmation du témoin Lemaire à cet égard s’avère être insuffisante dans les circonstances</w:t>
      </w:r>
      <w:r w:rsidR="003A00D4">
        <w:t>, car elle aurait nécessité une corroboration au moyen d’un écrit ou d’autres témoignages</w:t>
      </w:r>
      <w:r>
        <w:t>.</w:t>
      </w:r>
    </w:p>
    <w:p w:rsidR="00CA773F" w:rsidRDefault="00CA773F" w:rsidP="00CA773F">
      <w:pPr>
        <w:pStyle w:val="corpsdedcision"/>
        <w:tabs>
          <w:tab w:val="clear" w:pos="360"/>
          <w:tab w:val="num" w:pos="720"/>
        </w:tabs>
      </w:pPr>
      <w:r>
        <w:t>Ce premier aspect de la question étant réglé, qu’en est-il du fait que le travailleur a été absent du marché du travail de l’été 2012 jusqu’au printemps 2014</w:t>
      </w:r>
      <w:r w:rsidR="004F5294">
        <w:t xml:space="preserve"> </w:t>
      </w:r>
      <w:r>
        <w:t>?</w:t>
      </w:r>
    </w:p>
    <w:p w:rsidR="003A00D4" w:rsidRDefault="003A00D4" w:rsidP="003A00D4">
      <w:pPr>
        <w:pStyle w:val="corpsdedcision"/>
        <w:tabs>
          <w:tab w:val="clear" w:pos="360"/>
          <w:tab w:val="num" w:pos="720"/>
        </w:tabs>
      </w:pPr>
      <w:r>
        <w:t>Le représentant de l’employeur a insisté sur le fait que le travailleur n’avait pas déclaré ses antécédents médicaux lors de sa rencontre avec monsieur Poirier. Or, cet élément n’a aucune incidence sur la question à laquelle doit répondre le Tribunal.</w:t>
      </w:r>
    </w:p>
    <w:p w:rsidR="00CA773F" w:rsidRDefault="00CA773F" w:rsidP="00CA773F">
      <w:pPr>
        <w:pStyle w:val="corpsdedcision"/>
        <w:tabs>
          <w:tab w:val="clear" w:pos="360"/>
          <w:tab w:val="num" w:pos="720"/>
        </w:tabs>
      </w:pPr>
      <w:r>
        <w:t>À ce sujet, la preuve révèle que le travailleur, lorsqu’il était à l’emploi sur une base régulière, avait obtenu des gains largement supérieurs au maximum annuel assurable, ses gains atteignant environ 96 000 $ pour l’année 2010, 72 000 $ pour l’année 2011 et 54 000 $ pour la moitié de l’année 2012.</w:t>
      </w:r>
    </w:p>
    <w:p w:rsidR="00CA773F" w:rsidRDefault="00CA773F" w:rsidP="00CA773F">
      <w:pPr>
        <w:pStyle w:val="corpsdedcision"/>
        <w:tabs>
          <w:tab w:val="clear" w:pos="360"/>
          <w:tab w:val="num" w:pos="720"/>
        </w:tabs>
      </w:pPr>
      <w:r>
        <w:t>Il s’agit là de faits et non pas de déduction</w:t>
      </w:r>
      <w:r w:rsidR="003A00D4">
        <w:t>s, de spéculations ou</w:t>
      </w:r>
      <w:r>
        <w:t xml:space="preserve"> d’extrapolations.</w:t>
      </w:r>
    </w:p>
    <w:p w:rsidR="00CA773F" w:rsidRDefault="003A00D4" w:rsidP="00CA773F">
      <w:pPr>
        <w:pStyle w:val="corpsdedcision"/>
        <w:tabs>
          <w:tab w:val="clear" w:pos="360"/>
          <w:tab w:val="num" w:pos="720"/>
        </w:tabs>
      </w:pPr>
      <w:r>
        <w:t>En outre</w:t>
      </w:r>
      <w:r w:rsidR="00CA773F">
        <w:t>, la preuve révèle que le travailleur a été engagé en raison de ses compétences</w:t>
      </w:r>
      <w:r w:rsidR="00036D28">
        <w:t>, que l’employeur avait du travail à lui fournir et qu’il n’a pas été mis à pied par manque de travail, l’employeur ayant continué à embaucher d’autres charpentiers</w:t>
      </w:r>
      <w:r>
        <w:t>-</w:t>
      </w:r>
      <w:r w:rsidR="00036D28">
        <w:t>menuisiers à l’époque contemporaine où le travailleur a subi sa lésion.</w:t>
      </w:r>
    </w:p>
    <w:p w:rsidR="00036D28" w:rsidRDefault="00036D28" w:rsidP="00CA773F">
      <w:pPr>
        <w:pStyle w:val="corpsdedcision"/>
        <w:tabs>
          <w:tab w:val="clear" w:pos="360"/>
          <w:tab w:val="num" w:pos="720"/>
        </w:tabs>
      </w:pPr>
      <w:r>
        <w:t>Dans ce contexte, la présente situation correspond en tou</w:t>
      </w:r>
      <w:r w:rsidR="004F5294">
        <w:t>s</w:t>
      </w:r>
      <w:r>
        <w:t xml:space="preserve"> point</w:t>
      </w:r>
      <w:r w:rsidR="004F5294">
        <w:t>s</w:t>
      </w:r>
      <w:r>
        <w:t xml:space="preserve"> aux dispositions prévues à l’article 76 de la loi.</w:t>
      </w:r>
    </w:p>
    <w:p w:rsidR="00036D28" w:rsidRDefault="00036D28" w:rsidP="004B4F96">
      <w:pPr>
        <w:pStyle w:val="corpsdedcision"/>
        <w:keepNext/>
        <w:keepLines/>
        <w:tabs>
          <w:tab w:val="clear" w:pos="360"/>
          <w:tab w:val="num" w:pos="720"/>
        </w:tabs>
      </w:pPr>
      <w:r>
        <w:t>Dans ces circonstances, il y a lieu de faire droit à la demande du travailleur puisque la preuve révèle que, n’e</w:t>
      </w:r>
      <w:r w:rsidR="009308AC">
        <w:t>û</w:t>
      </w:r>
      <w:r>
        <w:t xml:space="preserve">t été </w:t>
      </w:r>
      <w:r w:rsidR="004F5294">
        <w:t xml:space="preserve">de </w:t>
      </w:r>
      <w:r>
        <w:t>la lésion professionnelle qu’il a subie le 18</w:t>
      </w:r>
      <w:r w:rsidR="003E36BA">
        <w:t> </w:t>
      </w:r>
      <w:r>
        <w:t>juin</w:t>
      </w:r>
      <w:r w:rsidR="003E36BA">
        <w:t> </w:t>
      </w:r>
      <w:r>
        <w:t>2014, le travailleur aurait gagné un revenu supérieur au maximum annuel assurable</w:t>
      </w:r>
      <w:r w:rsidR="009308AC">
        <w:t xml:space="preserve"> </w:t>
      </w:r>
      <w:r>
        <w:t>chaque année écoulée depuis l’événement</w:t>
      </w:r>
      <w:r w:rsidR="003A00D4">
        <w:t>,</w:t>
      </w:r>
      <w:r>
        <w:t xml:space="preserve"> comme cela avait été le cas auparavant.</w:t>
      </w:r>
    </w:p>
    <w:p w:rsidR="00C74B6F" w:rsidRDefault="00C74B6F">
      <w:pPr>
        <w:pStyle w:val="Dispositif"/>
      </w:pPr>
      <w:r>
        <w:rPr>
          <w:b/>
        </w:rPr>
        <w:t>P</w:t>
      </w:r>
      <w:r w:rsidR="00D07FA6">
        <w:rPr>
          <w:b/>
        </w:rPr>
        <w:t>AR CES MOTIFS, LE TRIBUNAL ADMINISTRATIF DU TRAVAIL</w:t>
      </w:r>
      <w:r>
        <w:rPr>
          <w:b/>
        </w:rPr>
        <w:t> :</w:t>
      </w:r>
    </w:p>
    <w:p w:rsidR="00C74B6F" w:rsidRDefault="00036D28">
      <w:pPr>
        <w:pStyle w:val="Dispositif"/>
        <w:rPr>
          <w:bCs/>
        </w:rPr>
      </w:pPr>
      <w:r w:rsidRPr="00036D28">
        <w:rPr>
          <w:b/>
          <w:bCs/>
        </w:rPr>
        <w:t>ACCUEILLE</w:t>
      </w:r>
      <w:r>
        <w:rPr>
          <w:b/>
          <w:bCs/>
        </w:rPr>
        <w:t xml:space="preserve"> </w:t>
      </w:r>
      <w:r>
        <w:rPr>
          <w:bCs/>
        </w:rPr>
        <w:t xml:space="preserve">la requête déposée par le </w:t>
      </w:r>
      <w:r w:rsidRPr="00036D28">
        <w:rPr>
          <w:bCs/>
        </w:rPr>
        <w:t>travailleur</w:t>
      </w:r>
      <w:r>
        <w:rPr>
          <w:bCs/>
        </w:rPr>
        <w:t>, monsieur Stéphane Valiquette, à la Commission des lésions professionnelles le 9 février 2015;</w:t>
      </w:r>
    </w:p>
    <w:p w:rsidR="00036D28" w:rsidRDefault="00036D28">
      <w:pPr>
        <w:pStyle w:val="Dispositif"/>
        <w:rPr>
          <w:rFonts w:cs="Arial"/>
          <w:bCs/>
        </w:rPr>
      </w:pPr>
      <w:r w:rsidRPr="00036D28">
        <w:rPr>
          <w:b/>
          <w:bCs/>
        </w:rPr>
        <w:t>INFIRME</w:t>
      </w:r>
      <w:r>
        <w:rPr>
          <w:bCs/>
        </w:rPr>
        <w:t xml:space="preserve"> la décision rendue par la </w:t>
      </w:r>
      <w:r w:rsidRPr="00036D28">
        <w:rPr>
          <w:rFonts w:cs="Arial"/>
          <w:bCs/>
        </w:rPr>
        <w:t>Commission de la santé et de la sécurité du travail</w:t>
      </w:r>
      <w:r>
        <w:rPr>
          <w:rFonts w:cs="Arial"/>
          <w:bCs/>
        </w:rPr>
        <w:t xml:space="preserve"> le 2</w:t>
      </w:r>
      <w:r w:rsidR="006B24B3">
        <w:rPr>
          <w:rFonts w:cs="Arial"/>
          <w:bCs/>
        </w:rPr>
        <w:t>1</w:t>
      </w:r>
      <w:r>
        <w:rPr>
          <w:rFonts w:cs="Arial"/>
          <w:bCs/>
        </w:rPr>
        <w:t xml:space="preserve"> janvier 2015, à la suite d’une </w:t>
      </w:r>
      <w:r w:rsidRPr="00036D28">
        <w:rPr>
          <w:rFonts w:cs="Arial"/>
          <w:bCs/>
        </w:rPr>
        <w:t>révision administrative</w:t>
      </w:r>
      <w:r>
        <w:rPr>
          <w:rFonts w:cs="Arial"/>
          <w:bCs/>
        </w:rPr>
        <w:t>;</w:t>
      </w:r>
    </w:p>
    <w:p w:rsidR="00036D28" w:rsidRDefault="00036D28">
      <w:pPr>
        <w:pStyle w:val="Dispositif"/>
        <w:rPr>
          <w:rFonts w:cs="Arial"/>
          <w:bCs/>
        </w:rPr>
      </w:pPr>
      <w:r w:rsidRPr="00036D28">
        <w:rPr>
          <w:rFonts w:cs="Arial"/>
          <w:b/>
          <w:bCs/>
        </w:rPr>
        <w:t>DÉCLARE</w:t>
      </w:r>
      <w:r>
        <w:rPr>
          <w:rFonts w:cs="Arial"/>
          <w:bCs/>
        </w:rPr>
        <w:t xml:space="preserve"> que le travailleur a droit d’être indemnisé selon la base salariale du maximum annuel assurable depuis la date de survenue de la </w:t>
      </w:r>
      <w:r w:rsidRPr="00036D28">
        <w:rPr>
          <w:rFonts w:cs="Arial"/>
          <w:bCs/>
        </w:rPr>
        <w:t>lésion professionnelle</w:t>
      </w:r>
      <w:r>
        <w:rPr>
          <w:rFonts w:cs="Arial"/>
          <w:bCs/>
        </w:rPr>
        <w:t xml:space="preserve"> dont il a été victime</w:t>
      </w:r>
      <w:r w:rsidR="00EF4217">
        <w:rPr>
          <w:rFonts w:cs="Arial"/>
          <w:bCs/>
        </w:rPr>
        <w:t xml:space="preserve"> le 18 juin 2014, le tout conformément à la </w:t>
      </w:r>
      <w:r w:rsidR="00EF4217" w:rsidRPr="00EF4217">
        <w:rPr>
          <w:rFonts w:cs="Arial"/>
          <w:bCs/>
          <w:i/>
          <w:iCs/>
        </w:rPr>
        <w:t>Loi sur les accidents du travail et les maladies professionnelles</w:t>
      </w:r>
      <w:r w:rsidR="00EF4217">
        <w:rPr>
          <w:rFonts w:cs="Arial"/>
          <w:bCs/>
        </w:rPr>
        <w:t>.</w:t>
      </w:r>
    </w:p>
    <w:p w:rsidR="00494331" w:rsidRPr="00036D28" w:rsidRDefault="00494331">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tc>
          <w:tcPr>
            <w:tcW w:w="4795" w:type="dxa"/>
          </w:tcPr>
          <w:p w:rsidR="00C74B6F" w:rsidRDefault="00C74B6F"/>
        </w:tc>
        <w:tc>
          <w:tcPr>
            <w:tcW w:w="4795" w:type="dxa"/>
          </w:tcPr>
          <w:p w:rsidR="00C74B6F" w:rsidRDefault="00C74B6F">
            <w:bookmarkStart w:id="7" w:name="signature"/>
            <w:bookmarkEnd w:id="7"/>
            <w:r>
              <w:t>__________________________________</w:t>
            </w:r>
          </w:p>
        </w:tc>
      </w:tr>
      <w:tr w:rsidR="00C74B6F">
        <w:tc>
          <w:tcPr>
            <w:tcW w:w="4795" w:type="dxa"/>
          </w:tcPr>
          <w:p w:rsidR="00C74B6F" w:rsidRDefault="00C74B6F"/>
        </w:tc>
        <w:tc>
          <w:tcPr>
            <w:tcW w:w="4795" w:type="dxa"/>
          </w:tcPr>
          <w:p w:rsidR="00C74B6F" w:rsidRDefault="00EF4217">
            <w:r>
              <w:t>Denys Beaulieu</w:t>
            </w:r>
          </w:p>
        </w:tc>
      </w:tr>
      <w:tr w:rsidR="00C74B6F">
        <w:trPr>
          <w:cantSplit/>
        </w:trPr>
        <w:tc>
          <w:tcPr>
            <w:tcW w:w="9590" w:type="dxa"/>
            <w:gridSpan w:val="2"/>
          </w:tcPr>
          <w:p w:rsidR="00C74B6F" w:rsidRDefault="00C74B6F"/>
        </w:tc>
      </w:tr>
      <w:tr w:rsidR="004B4F96">
        <w:trPr>
          <w:cantSplit/>
        </w:trPr>
        <w:tc>
          <w:tcPr>
            <w:tcW w:w="9590" w:type="dxa"/>
            <w:gridSpan w:val="2"/>
          </w:tcPr>
          <w:p w:rsidR="004B4F96" w:rsidRDefault="004B4F96">
            <w:pPr>
              <w:rPr>
                <w:lang w:val="en-CA"/>
              </w:rPr>
            </w:pPr>
          </w:p>
        </w:tc>
      </w:tr>
      <w:tr w:rsidR="00861F8B">
        <w:trPr>
          <w:cantSplit/>
        </w:trPr>
        <w:tc>
          <w:tcPr>
            <w:tcW w:w="9590" w:type="dxa"/>
            <w:gridSpan w:val="2"/>
          </w:tcPr>
          <w:p w:rsidR="00861F8B" w:rsidRDefault="002164CA">
            <w:r>
              <w:rPr>
                <w:lang w:val="en-CA"/>
              </w:rPr>
              <w:t>M</w:t>
            </w:r>
            <w:r w:rsidRPr="008D73FE">
              <w:rPr>
                <w:vertAlign w:val="superscript"/>
                <w:lang w:val="en-CA"/>
              </w:rPr>
              <w:t>e</w:t>
            </w:r>
            <w:r>
              <w:rPr>
                <w:lang w:val="en-CA"/>
              </w:rPr>
              <w:t xml:space="preserve"> Antoine Berthelot</w:t>
            </w:r>
          </w:p>
        </w:tc>
      </w:tr>
      <w:tr w:rsidR="00861F8B">
        <w:trPr>
          <w:cantSplit/>
        </w:trPr>
        <w:tc>
          <w:tcPr>
            <w:tcW w:w="9590" w:type="dxa"/>
            <w:gridSpan w:val="2"/>
          </w:tcPr>
          <w:p w:rsidR="00861F8B" w:rsidRDefault="002164CA" w:rsidP="002164CA">
            <w:r>
              <w:t>F.N.C.M.</w:t>
            </w:r>
          </w:p>
        </w:tc>
      </w:tr>
      <w:tr w:rsidR="00C74B6F">
        <w:trPr>
          <w:cantSplit/>
        </w:trPr>
        <w:tc>
          <w:tcPr>
            <w:tcW w:w="9590" w:type="dxa"/>
            <w:gridSpan w:val="2"/>
          </w:tcPr>
          <w:p w:rsidR="00C74B6F" w:rsidRDefault="00CB05A7">
            <w:pPr>
              <w:pStyle w:val="zSoquijlblProcureurDem"/>
            </w:pPr>
            <w:r>
              <w:t>Pour la partie demanderesse</w:t>
            </w:r>
          </w:p>
        </w:tc>
      </w:tr>
      <w:tr w:rsidR="00C15A3F">
        <w:trPr>
          <w:cantSplit/>
        </w:trPr>
        <w:tc>
          <w:tcPr>
            <w:tcW w:w="9590" w:type="dxa"/>
            <w:gridSpan w:val="2"/>
          </w:tcPr>
          <w:p w:rsidR="002164CA" w:rsidRDefault="002164CA" w:rsidP="002E615D">
            <w:pPr>
              <w:pStyle w:val="zSoquijdatDateAudience"/>
            </w:pPr>
          </w:p>
          <w:p w:rsidR="002164CA" w:rsidRDefault="002164CA" w:rsidP="002E615D">
            <w:pPr>
              <w:pStyle w:val="zSoquijdatDateAudience"/>
            </w:pPr>
          </w:p>
          <w:p w:rsidR="00C15A3F" w:rsidRDefault="00C15A3F" w:rsidP="002E615D">
            <w:pPr>
              <w:pStyle w:val="zSoquijdatDateAudience"/>
            </w:pPr>
            <w:r>
              <w:t>Date de la dernière audience :</w:t>
            </w:r>
            <w:r w:rsidR="00597016">
              <w:tab/>
            </w:r>
            <w:r w:rsidR="002E615D">
              <w:t>le 2 mai 2016</w:t>
            </w:r>
          </w:p>
        </w:tc>
      </w:tr>
    </w:tbl>
    <w:p w:rsidR="00EA6BED" w:rsidRDefault="00EA6BED" w:rsidP="00D2341D">
      <w:pPr>
        <w:pStyle w:val="corpsdedcision"/>
        <w:numPr>
          <w:ilvl w:val="0"/>
          <w:numId w:val="0"/>
        </w:numPr>
      </w:pPr>
    </w:p>
    <w:p w:rsidR="00EF4217" w:rsidRDefault="00EF4217" w:rsidP="00D2341D">
      <w:pPr>
        <w:pStyle w:val="corpsdedcision"/>
        <w:numPr>
          <w:ilvl w:val="0"/>
          <w:numId w:val="0"/>
        </w:numPr>
      </w:pPr>
    </w:p>
    <w:p w:rsidR="00EF4217" w:rsidRPr="00C072DE" w:rsidRDefault="00EF4217" w:rsidP="003A00D4">
      <w:pPr>
        <w:pStyle w:val="corpsdedcision"/>
        <w:numPr>
          <w:ilvl w:val="0"/>
          <w:numId w:val="0"/>
        </w:numPr>
        <w:jc w:val="center"/>
        <w:rPr>
          <w:b/>
          <w:sz w:val="22"/>
          <w:szCs w:val="22"/>
        </w:rPr>
      </w:pPr>
      <w:r w:rsidRPr="00C072DE">
        <w:rPr>
          <w:b/>
          <w:sz w:val="22"/>
          <w:szCs w:val="22"/>
        </w:rPr>
        <w:t>JURISPRUDENCE CITÉE</w:t>
      </w:r>
    </w:p>
    <w:p w:rsidR="00EF4217" w:rsidRPr="003A00D4" w:rsidRDefault="00EF4217" w:rsidP="00D2341D">
      <w:pPr>
        <w:pStyle w:val="corpsdedcision"/>
        <w:numPr>
          <w:ilvl w:val="0"/>
          <w:numId w:val="0"/>
        </w:numPr>
      </w:pPr>
      <w:r w:rsidRPr="003A00D4">
        <w:rPr>
          <w:i/>
          <w:sz w:val="22"/>
          <w:szCs w:val="22"/>
        </w:rPr>
        <w:t xml:space="preserve">Héroux, Groupe Forage, Major </w:t>
      </w:r>
      <w:r w:rsidRPr="003A00D4">
        <w:rPr>
          <w:sz w:val="22"/>
          <w:szCs w:val="22"/>
        </w:rPr>
        <w:t>et</w:t>
      </w:r>
      <w:r w:rsidRPr="003A00D4">
        <w:rPr>
          <w:i/>
          <w:sz w:val="22"/>
          <w:szCs w:val="22"/>
        </w:rPr>
        <w:t xml:space="preserve"> Commission des lésions professionnelles</w:t>
      </w:r>
      <w:r w:rsidR="003A00D4" w:rsidRPr="003A00D4">
        <w:rPr>
          <w:i/>
          <w:sz w:val="22"/>
          <w:szCs w:val="22"/>
        </w:rPr>
        <w:t xml:space="preserve">, </w:t>
      </w:r>
      <w:r w:rsidR="003A00D4" w:rsidRPr="003A00D4">
        <w:rPr>
          <w:rFonts w:cs="Arial"/>
          <w:sz w:val="22"/>
          <w:szCs w:val="22"/>
        </w:rPr>
        <w:t>[2001] C.L.P. 317 (C.A.), requête pour autorisation de pourvoi C.Sup.C. rejetée (C.S. Can. 2002-10-03, 28855).</w:t>
      </w:r>
    </w:p>
    <w:sectPr w:rsidR="00EF4217" w:rsidRPr="003A00D4" w:rsidSect="005C57A2">
      <w:headerReference w:type="even" r:id="rId8"/>
      <w:headerReference w:type="default" r:id="rId9"/>
      <w:footerReference w:type="even" r:id="rId10"/>
      <w:footerReference w:type="default" r:id="rId11"/>
      <w:headerReference w:type="first" r:id="rId12"/>
      <w:footerReference w:type="first" r:id="rId13"/>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471F" w:rsidRDefault="00AF471F">
      <w:r>
        <w:separator/>
      </w:r>
    </w:p>
  </w:endnote>
  <w:endnote w:type="continuationSeparator" w:id="0">
    <w:p w:rsidR="00AF471F" w:rsidRDefault="00AF4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7A5" w:rsidRDefault="00CB07A5">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7A5" w:rsidRDefault="00CB07A5">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7A5" w:rsidRDefault="00CB07A5">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471F" w:rsidRDefault="00AF471F">
      <w:r>
        <w:separator/>
      </w:r>
    </w:p>
  </w:footnote>
  <w:footnote w:type="continuationSeparator" w:id="0">
    <w:p w:rsidR="00AF471F" w:rsidRDefault="00AF471F">
      <w:r>
        <w:continuationSeparator/>
      </w:r>
    </w:p>
  </w:footnote>
  <w:footnote w:id="1">
    <w:p w:rsidR="006B6636" w:rsidRPr="00BE0297" w:rsidRDefault="006B6636" w:rsidP="006B6636">
      <w:pPr>
        <w:pStyle w:val="Notedebasdepage"/>
        <w:rPr>
          <w:sz w:val="20"/>
        </w:rPr>
      </w:pPr>
      <w:r w:rsidRPr="00BE0297">
        <w:rPr>
          <w:rStyle w:val="Appelnotedebasdep"/>
          <w:sz w:val="20"/>
        </w:rPr>
        <w:footnoteRef/>
      </w:r>
      <w:r w:rsidRPr="00BE0297">
        <w:rPr>
          <w:sz w:val="20"/>
        </w:rPr>
        <w:t xml:space="preserve"> </w:t>
      </w:r>
      <w:r w:rsidRPr="00BE0297">
        <w:rPr>
          <w:sz w:val="20"/>
        </w:rPr>
        <w:tab/>
        <w:t>RLRQ, c. T-15.1.</w:t>
      </w:r>
    </w:p>
  </w:footnote>
  <w:footnote w:id="2">
    <w:p w:rsidR="00CA773F" w:rsidRPr="00E346FE" w:rsidRDefault="00CA773F" w:rsidP="00E346F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Sigle de </w:t>
      </w:r>
      <w:r w:rsidR="0085291F">
        <w:rPr>
          <w:rFonts w:cs="Arial"/>
          <w:sz w:val="20"/>
        </w:rPr>
        <w:t>« </w:t>
      </w:r>
      <w:r>
        <w:rPr>
          <w:rFonts w:cs="Arial"/>
          <w:sz w:val="20"/>
        </w:rPr>
        <w:t>thrombose veineuse profonde</w:t>
      </w:r>
      <w:r w:rsidR="0085291F">
        <w:rPr>
          <w:rFonts w:cs="Arial"/>
          <w:sz w:val="20"/>
        </w:rPr>
        <w:t> »</w:t>
      </w:r>
      <w:r>
        <w:rPr>
          <w:rFonts w:cs="Arial"/>
          <w:sz w:val="20"/>
        </w:rPr>
        <w:t xml:space="preserve"> au </w:t>
      </w:r>
      <w:r w:rsidR="0085291F">
        <w:rPr>
          <w:rFonts w:cs="Arial"/>
          <w:sz w:val="20"/>
        </w:rPr>
        <w:t>« </w:t>
      </w:r>
      <w:r>
        <w:rPr>
          <w:rFonts w:cs="Arial"/>
          <w:sz w:val="20"/>
        </w:rPr>
        <w:t>membre inférieur droit</w:t>
      </w:r>
      <w:r w:rsidR="0085291F">
        <w:rPr>
          <w:rFonts w:cs="Arial"/>
          <w:sz w:val="20"/>
        </w:rPr>
        <w:t> »</w:t>
      </w:r>
      <w:r>
        <w:rPr>
          <w:rFonts w:cs="Arial"/>
          <w:sz w:val="20"/>
        </w:rPr>
        <w:t>.</w:t>
      </w:r>
    </w:p>
  </w:footnote>
  <w:footnote w:id="3">
    <w:p w:rsidR="00E45F48" w:rsidRPr="00E45F48" w:rsidRDefault="00E45F48" w:rsidP="00E45F48">
      <w:pPr>
        <w:pStyle w:val="Notedebasdepage"/>
        <w:tabs>
          <w:tab w:val="left" w:pos="720"/>
        </w:tabs>
        <w:ind w:left="720" w:hanging="720"/>
        <w:jc w:val="both"/>
        <w:rPr>
          <w:rFonts w:cs="Arial"/>
          <w:sz w:val="20"/>
        </w:rPr>
      </w:pPr>
      <w:r w:rsidRPr="00E45F48">
        <w:rPr>
          <w:rStyle w:val="Appelnotedebasdep"/>
          <w:sz w:val="20"/>
        </w:rPr>
        <w:footnoteRef/>
      </w:r>
      <w:r w:rsidRPr="00E45F48">
        <w:rPr>
          <w:sz w:val="20"/>
        </w:rPr>
        <w:t xml:space="preserve"> </w:t>
      </w:r>
      <w:r w:rsidRPr="00E45F48">
        <w:rPr>
          <w:rFonts w:cs="Arial"/>
          <w:sz w:val="20"/>
        </w:rPr>
        <w:tab/>
        <w:t>[2001] C.L.P. 317 (C.A.), requête pour autorisation de pourvoi C.Sup.C</w:t>
      </w:r>
      <w:r>
        <w:rPr>
          <w:rFonts w:cs="Arial"/>
          <w:sz w:val="20"/>
        </w:rPr>
        <w:t>.</w:t>
      </w:r>
      <w:r w:rsidRPr="00E45F48">
        <w:rPr>
          <w:rFonts w:cs="Arial"/>
          <w:sz w:val="20"/>
        </w:rPr>
        <w:t xml:space="preserve"> rejetée (C.S. Can. 2002-10-03, 28855).</w:t>
      </w:r>
    </w:p>
  </w:footnote>
  <w:footnote w:id="4">
    <w:p w:rsidR="00E45F48" w:rsidRPr="00E45F48" w:rsidRDefault="00E45F48" w:rsidP="00E45F48">
      <w:pPr>
        <w:pStyle w:val="Notedebasdepage"/>
        <w:tabs>
          <w:tab w:val="left" w:pos="720"/>
        </w:tabs>
        <w:ind w:left="720" w:hanging="720"/>
        <w:jc w:val="both"/>
        <w:rPr>
          <w:rFonts w:cs="Arial"/>
          <w:sz w:val="20"/>
        </w:rPr>
      </w:pPr>
      <w:r w:rsidRPr="00E45F48">
        <w:rPr>
          <w:rStyle w:val="Appelnotedebasdep"/>
          <w:sz w:val="20"/>
        </w:rPr>
        <w:footnoteRef/>
      </w:r>
      <w:r w:rsidRPr="00E45F48">
        <w:rPr>
          <w:sz w:val="20"/>
        </w:rPr>
        <w:t xml:space="preserve"> </w:t>
      </w:r>
      <w:r w:rsidRPr="00E45F48">
        <w:rPr>
          <w:rFonts w:cs="Arial"/>
          <w:sz w:val="20"/>
        </w:rPr>
        <w:tab/>
        <w:t>RLRQ, c. A-3.001.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7A5" w:rsidRDefault="00CB07A5">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CA773F" w:rsidTr="009F5D2D">
      <w:tc>
        <w:tcPr>
          <w:tcW w:w="8730" w:type="dxa"/>
        </w:tcPr>
        <w:p w:rsidR="00CA773F" w:rsidRDefault="00CA773F">
          <w:pPr>
            <w:pStyle w:val="En-tte"/>
            <w:ind w:left="-90"/>
          </w:pPr>
        </w:p>
      </w:tc>
      <w:tc>
        <w:tcPr>
          <w:tcW w:w="860" w:type="dxa"/>
        </w:tcPr>
        <w:p w:rsidR="00CA773F" w:rsidRDefault="00CA773F">
          <w:pPr>
            <w:pStyle w:val="En-tte"/>
            <w:ind w:left="-90"/>
          </w:pPr>
        </w:p>
      </w:tc>
    </w:tr>
    <w:tr w:rsidR="00CA773F" w:rsidTr="009F5D2D">
      <w:tc>
        <w:tcPr>
          <w:tcW w:w="8730" w:type="dxa"/>
        </w:tcPr>
        <w:p w:rsidR="00CA773F" w:rsidRDefault="00CA773F" w:rsidP="009F5D2D">
          <w:pPr>
            <w:pStyle w:val="zSoquijdatNoDossier"/>
          </w:pPr>
          <w:r>
            <w:t>565016-63-1502</w:t>
          </w:r>
        </w:p>
      </w:tc>
      <w:tc>
        <w:tcPr>
          <w:tcW w:w="860" w:type="dxa"/>
        </w:tcPr>
        <w:p w:rsidR="00CA773F" w:rsidRDefault="00624CE7" w:rsidP="009F5D2D">
          <w:pPr>
            <w:pStyle w:val="En-tte"/>
            <w:ind w:left="-90"/>
            <w:jc w:val="right"/>
            <w:rPr>
              <w:rStyle w:val="Numrodepage"/>
            </w:rPr>
          </w:pPr>
          <w:r>
            <w:rPr>
              <w:rStyle w:val="Numrodepage"/>
            </w:rPr>
            <w:fldChar w:fldCharType="begin"/>
          </w:r>
          <w:r w:rsidR="00CA773F">
            <w:rPr>
              <w:rStyle w:val="Numrodepage"/>
            </w:rPr>
            <w:instrText xml:space="preserve"> PAGE </w:instrText>
          </w:r>
          <w:r>
            <w:rPr>
              <w:rStyle w:val="Numrodepage"/>
            </w:rPr>
            <w:fldChar w:fldCharType="separate"/>
          </w:r>
          <w:r w:rsidR="00F3557B">
            <w:rPr>
              <w:rStyle w:val="Numrodepage"/>
              <w:noProof/>
            </w:rPr>
            <w:t>3</w:t>
          </w:r>
          <w:r>
            <w:rPr>
              <w:rStyle w:val="Numrodepage"/>
            </w:rPr>
            <w:fldChar w:fldCharType="end"/>
          </w:r>
        </w:p>
      </w:tc>
    </w:tr>
    <w:tr w:rsidR="00CA773F" w:rsidTr="009F5D2D">
      <w:tc>
        <w:tcPr>
          <w:tcW w:w="8730" w:type="dxa"/>
        </w:tcPr>
        <w:p w:rsidR="00CA773F" w:rsidRDefault="00CA773F" w:rsidP="009F5D2D"/>
      </w:tc>
      <w:tc>
        <w:tcPr>
          <w:tcW w:w="860" w:type="dxa"/>
        </w:tcPr>
        <w:p w:rsidR="00CA773F" w:rsidRDefault="00CA773F" w:rsidP="009F5D2D">
          <w:pPr>
            <w:pStyle w:val="En-tte"/>
            <w:ind w:left="-90"/>
            <w:jc w:val="right"/>
          </w:pPr>
        </w:p>
      </w:tc>
    </w:tr>
  </w:tbl>
  <w:p w:rsidR="00CA773F" w:rsidRDefault="00CA773F">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7A5" w:rsidRDefault="00CB07A5">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3">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4">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3"/>
  </w:num>
  <w:num w:numId="2">
    <w:abstractNumId w:val="2"/>
  </w:num>
  <w:num w:numId="3">
    <w:abstractNumId w:val="1"/>
  </w:num>
  <w:num w:numId="4">
    <w:abstractNumId w:val="0"/>
  </w:num>
  <w:num w:numId="5">
    <w:abstractNumId w:val="4"/>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252568"/>
    <w:rsid w:val="000034B0"/>
    <w:rsid w:val="000041A1"/>
    <w:rsid w:val="00021B30"/>
    <w:rsid w:val="00021E4C"/>
    <w:rsid w:val="00022556"/>
    <w:rsid w:val="000366EC"/>
    <w:rsid w:val="00036D28"/>
    <w:rsid w:val="00043E4D"/>
    <w:rsid w:val="00056393"/>
    <w:rsid w:val="00057896"/>
    <w:rsid w:val="0007225E"/>
    <w:rsid w:val="00074CAD"/>
    <w:rsid w:val="00076D81"/>
    <w:rsid w:val="0008378A"/>
    <w:rsid w:val="0008784D"/>
    <w:rsid w:val="00090018"/>
    <w:rsid w:val="000902CE"/>
    <w:rsid w:val="00090306"/>
    <w:rsid w:val="00093ACD"/>
    <w:rsid w:val="00095814"/>
    <w:rsid w:val="00097D81"/>
    <w:rsid w:val="000A4AD0"/>
    <w:rsid w:val="000A77C5"/>
    <w:rsid w:val="000B7F1B"/>
    <w:rsid w:val="000D3948"/>
    <w:rsid w:val="000E04DA"/>
    <w:rsid w:val="000E0C28"/>
    <w:rsid w:val="000E1320"/>
    <w:rsid w:val="000E56A6"/>
    <w:rsid w:val="000F3423"/>
    <w:rsid w:val="001050B4"/>
    <w:rsid w:val="0012224D"/>
    <w:rsid w:val="001225BC"/>
    <w:rsid w:val="00122A9E"/>
    <w:rsid w:val="0012326A"/>
    <w:rsid w:val="001407FC"/>
    <w:rsid w:val="00147A49"/>
    <w:rsid w:val="00147B8B"/>
    <w:rsid w:val="0015125A"/>
    <w:rsid w:val="00152464"/>
    <w:rsid w:val="0015539F"/>
    <w:rsid w:val="00160597"/>
    <w:rsid w:val="001664C8"/>
    <w:rsid w:val="00167AD0"/>
    <w:rsid w:val="0017053A"/>
    <w:rsid w:val="001708DE"/>
    <w:rsid w:val="00173184"/>
    <w:rsid w:val="00175079"/>
    <w:rsid w:val="00183515"/>
    <w:rsid w:val="001A03BE"/>
    <w:rsid w:val="001A067E"/>
    <w:rsid w:val="001A2900"/>
    <w:rsid w:val="001A4081"/>
    <w:rsid w:val="001A65F1"/>
    <w:rsid w:val="001B2B40"/>
    <w:rsid w:val="001B3E9D"/>
    <w:rsid w:val="001B4A40"/>
    <w:rsid w:val="001C2B0B"/>
    <w:rsid w:val="002164CA"/>
    <w:rsid w:val="00227040"/>
    <w:rsid w:val="00230CFC"/>
    <w:rsid w:val="00231C1D"/>
    <w:rsid w:val="00241CED"/>
    <w:rsid w:val="00242FB4"/>
    <w:rsid w:val="00245605"/>
    <w:rsid w:val="00252568"/>
    <w:rsid w:val="002563F0"/>
    <w:rsid w:val="00266064"/>
    <w:rsid w:val="00267C8D"/>
    <w:rsid w:val="002701DD"/>
    <w:rsid w:val="002769B5"/>
    <w:rsid w:val="00276B59"/>
    <w:rsid w:val="00281319"/>
    <w:rsid w:val="00286149"/>
    <w:rsid w:val="0028668D"/>
    <w:rsid w:val="00290289"/>
    <w:rsid w:val="00296645"/>
    <w:rsid w:val="00296A4B"/>
    <w:rsid w:val="00297284"/>
    <w:rsid w:val="002A0077"/>
    <w:rsid w:val="002A374B"/>
    <w:rsid w:val="002A73E9"/>
    <w:rsid w:val="002B2FC3"/>
    <w:rsid w:val="002B35F0"/>
    <w:rsid w:val="002B58AF"/>
    <w:rsid w:val="002C3748"/>
    <w:rsid w:val="002C5E89"/>
    <w:rsid w:val="002C764C"/>
    <w:rsid w:val="002D71A9"/>
    <w:rsid w:val="002E615D"/>
    <w:rsid w:val="002F7507"/>
    <w:rsid w:val="00302FB4"/>
    <w:rsid w:val="00305273"/>
    <w:rsid w:val="003057FC"/>
    <w:rsid w:val="00307C85"/>
    <w:rsid w:val="00312983"/>
    <w:rsid w:val="00323CD6"/>
    <w:rsid w:val="003248CB"/>
    <w:rsid w:val="00331EA7"/>
    <w:rsid w:val="003332B8"/>
    <w:rsid w:val="00344465"/>
    <w:rsid w:val="0034740A"/>
    <w:rsid w:val="0035375B"/>
    <w:rsid w:val="003664E9"/>
    <w:rsid w:val="00366D1E"/>
    <w:rsid w:val="00373EE5"/>
    <w:rsid w:val="003817E7"/>
    <w:rsid w:val="00382E55"/>
    <w:rsid w:val="003961B2"/>
    <w:rsid w:val="003A00D4"/>
    <w:rsid w:val="003A41AD"/>
    <w:rsid w:val="003A4D1D"/>
    <w:rsid w:val="003B152B"/>
    <w:rsid w:val="003B1734"/>
    <w:rsid w:val="003B1735"/>
    <w:rsid w:val="003B6CBF"/>
    <w:rsid w:val="003C47A7"/>
    <w:rsid w:val="003D0826"/>
    <w:rsid w:val="003D3C93"/>
    <w:rsid w:val="003E00D5"/>
    <w:rsid w:val="003E02BA"/>
    <w:rsid w:val="003E36BA"/>
    <w:rsid w:val="003E42B8"/>
    <w:rsid w:val="003F7F38"/>
    <w:rsid w:val="0040399B"/>
    <w:rsid w:val="00406F0C"/>
    <w:rsid w:val="00412585"/>
    <w:rsid w:val="0041363B"/>
    <w:rsid w:val="00415D5D"/>
    <w:rsid w:val="0042650F"/>
    <w:rsid w:val="00431E0B"/>
    <w:rsid w:val="004337FE"/>
    <w:rsid w:val="00433E98"/>
    <w:rsid w:val="00435738"/>
    <w:rsid w:val="00437137"/>
    <w:rsid w:val="004403B8"/>
    <w:rsid w:val="00441ADA"/>
    <w:rsid w:val="0044371C"/>
    <w:rsid w:val="0044627E"/>
    <w:rsid w:val="0045114F"/>
    <w:rsid w:val="004529D3"/>
    <w:rsid w:val="00453F31"/>
    <w:rsid w:val="00456B0C"/>
    <w:rsid w:val="0046538B"/>
    <w:rsid w:val="00471C92"/>
    <w:rsid w:val="004739AC"/>
    <w:rsid w:val="00475FEF"/>
    <w:rsid w:val="0047776F"/>
    <w:rsid w:val="004870EA"/>
    <w:rsid w:val="00487F13"/>
    <w:rsid w:val="00494331"/>
    <w:rsid w:val="00496193"/>
    <w:rsid w:val="004A02AF"/>
    <w:rsid w:val="004A679B"/>
    <w:rsid w:val="004B4F96"/>
    <w:rsid w:val="004C0FB4"/>
    <w:rsid w:val="004C1811"/>
    <w:rsid w:val="004C4555"/>
    <w:rsid w:val="004D6CEA"/>
    <w:rsid w:val="004E3564"/>
    <w:rsid w:val="004E51C0"/>
    <w:rsid w:val="004E64BE"/>
    <w:rsid w:val="004F5294"/>
    <w:rsid w:val="00503B8D"/>
    <w:rsid w:val="00503EE3"/>
    <w:rsid w:val="00505811"/>
    <w:rsid w:val="00515DE7"/>
    <w:rsid w:val="00517EB0"/>
    <w:rsid w:val="005205CB"/>
    <w:rsid w:val="005352F1"/>
    <w:rsid w:val="00540094"/>
    <w:rsid w:val="00545CFF"/>
    <w:rsid w:val="00552ED5"/>
    <w:rsid w:val="00555800"/>
    <w:rsid w:val="00556DBB"/>
    <w:rsid w:val="00560781"/>
    <w:rsid w:val="0056268F"/>
    <w:rsid w:val="005662E9"/>
    <w:rsid w:val="00572AAF"/>
    <w:rsid w:val="005801AE"/>
    <w:rsid w:val="00582868"/>
    <w:rsid w:val="00582ECC"/>
    <w:rsid w:val="0058399B"/>
    <w:rsid w:val="0058692F"/>
    <w:rsid w:val="00587045"/>
    <w:rsid w:val="00587C22"/>
    <w:rsid w:val="0059436D"/>
    <w:rsid w:val="005945C0"/>
    <w:rsid w:val="00597016"/>
    <w:rsid w:val="005974B7"/>
    <w:rsid w:val="005A0D51"/>
    <w:rsid w:val="005A181B"/>
    <w:rsid w:val="005A1CB3"/>
    <w:rsid w:val="005A3073"/>
    <w:rsid w:val="005A33A5"/>
    <w:rsid w:val="005A70A0"/>
    <w:rsid w:val="005B0612"/>
    <w:rsid w:val="005B13F0"/>
    <w:rsid w:val="005B19E0"/>
    <w:rsid w:val="005B30F6"/>
    <w:rsid w:val="005B45BA"/>
    <w:rsid w:val="005B508D"/>
    <w:rsid w:val="005B5689"/>
    <w:rsid w:val="005B6774"/>
    <w:rsid w:val="005C0A89"/>
    <w:rsid w:val="005C3BC4"/>
    <w:rsid w:val="005C57A2"/>
    <w:rsid w:val="005D59B1"/>
    <w:rsid w:val="005D764B"/>
    <w:rsid w:val="005E2367"/>
    <w:rsid w:val="005E5E90"/>
    <w:rsid w:val="005E654C"/>
    <w:rsid w:val="005F05E1"/>
    <w:rsid w:val="005F05F6"/>
    <w:rsid w:val="00605734"/>
    <w:rsid w:val="0061488E"/>
    <w:rsid w:val="0061574B"/>
    <w:rsid w:val="00622670"/>
    <w:rsid w:val="00623A1A"/>
    <w:rsid w:val="00624CE7"/>
    <w:rsid w:val="00626E8D"/>
    <w:rsid w:val="00632DA8"/>
    <w:rsid w:val="00634E6E"/>
    <w:rsid w:val="0064342A"/>
    <w:rsid w:val="00643A28"/>
    <w:rsid w:val="006452FA"/>
    <w:rsid w:val="0065093D"/>
    <w:rsid w:val="00655193"/>
    <w:rsid w:val="00655459"/>
    <w:rsid w:val="00656FB2"/>
    <w:rsid w:val="00660FD4"/>
    <w:rsid w:val="00661454"/>
    <w:rsid w:val="0066642D"/>
    <w:rsid w:val="00675E85"/>
    <w:rsid w:val="0067750F"/>
    <w:rsid w:val="0068401E"/>
    <w:rsid w:val="006841A4"/>
    <w:rsid w:val="0068643F"/>
    <w:rsid w:val="006877A1"/>
    <w:rsid w:val="00692150"/>
    <w:rsid w:val="00692F0C"/>
    <w:rsid w:val="00696E7C"/>
    <w:rsid w:val="006A0C54"/>
    <w:rsid w:val="006A7C53"/>
    <w:rsid w:val="006B24B3"/>
    <w:rsid w:val="006B309C"/>
    <w:rsid w:val="006B6636"/>
    <w:rsid w:val="006B727F"/>
    <w:rsid w:val="006C6639"/>
    <w:rsid w:val="006C6D3A"/>
    <w:rsid w:val="006C7B7F"/>
    <w:rsid w:val="006D1680"/>
    <w:rsid w:val="006D19E8"/>
    <w:rsid w:val="006D31ED"/>
    <w:rsid w:val="006D7642"/>
    <w:rsid w:val="006E04B5"/>
    <w:rsid w:val="006E330C"/>
    <w:rsid w:val="006E3DD8"/>
    <w:rsid w:val="006E793F"/>
    <w:rsid w:val="006F0154"/>
    <w:rsid w:val="006F7944"/>
    <w:rsid w:val="00704121"/>
    <w:rsid w:val="00705BB5"/>
    <w:rsid w:val="0071326F"/>
    <w:rsid w:val="007153D7"/>
    <w:rsid w:val="00720ED4"/>
    <w:rsid w:val="007434CD"/>
    <w:rsid w:val="0074488F"/>
    <w:rsid w:val="00745AA8"/>
    <w:rsid w:val="007510EC"/>
    <w:rsid w:val="0075233C"/>
    <w:rsid w:val="0075256A"/>
    <w:rsid w:val="00752D99"/>
    <w:rsid w:val="00753893"/>
    <w:rsid w:val="00756904"/>
    <w:rsid w:val="007569DE"/>
    <w:rsid w:val="0075723C"/>
    <w:rsid w:val="00782C8F"/>
    <w:rsid w:val="00785F78"/>
    <w:rsid w:val="0078659D"/>
    <w:rsid w:val="007869EC"/>
    <w:rsid w:val="007A1E58"/>
    <w:rsid w:val="007A5C7E"/>
    <w:rsid w:val="007A6E2F"/>
    <w:rsid w:val="007B3BC5"/>
    <w:rsid w:val="007B3E17"/>
    <w:rsid w:val="007C5EB3"/>
    <w:rsid w:val="007D03DF"/>
    <w:rsid w:val="007D4953"/>
    <w:rsid w:val="007D50F4"/>
    <w:rsid w:val="007D567A"/>
    <w:rsid w:val="007D7173"/>
    <w:rsid w:val="007E1216"/>
    <w:rsid w:val="007E4CD4"/>
    <w:rsid w:val="007F0E8E"/>
    <w:rsid w:val="00800CE9"/>
    <w:rsid w:val="008079DD"/>
    <w:rsid w:val="0081130F"/>
    <w:rsid w:val="00824430"/>
    <w:rsid w:val="00825566"/>
    <w:rsid w:val="00825B1F"/>
    <w:rsid w:val="00827D55"/>
    <w:rsid w:val="00840EDD"/>
    <w:rsid w:val="0084255F"/>
    <w:rsid w:val="008434F3"/>
    <w:rsid w:val="0085291F"/>
    <w:rsid w:val="00854FB3"/>
    <w:rsid w:val="00860F13"/>
    <w:rsid w:val="00861F8B"/>
    <w:rsid w:val="0086561F"/>
    <w:rsid w:val="00865FE1"/>
    <w:rsid w:val="008748C7"/>
    <w:rsid w:val="0087521A"/>
    <w:rsid w:val="008808C0"/>
    <w:rsid w:val="00890BDE"/>
    <w:rsid w:val="00891E68"/>
    <w:rsid w:val="008962E7"/>
    <w:rsid w:val="008A1118"/>
    <w:rsid w:val="008A281F"/>
    <w:rsid w:val="008A4AF6"/>
    <w:rsid w:val="008A4FF8"/>
    <w:rsid w:val="008A5ED1"/>
    <w:rsid w:val="008A7FD1"/>
    <w:rsid w:val="008B042E"/>
    <w:rsid w:val="008B211E"/>
    <w:rsid w:val="008B6D48"/>
    <w:rsid w:val="008C79A7"/>
    <w:rsid w:val="008D555F"/>
    <w:rsid w:val="008D625D"/>
    <w:rsid w:val="008D650E"/>
    <w:rsid w:val="008D73FE"/>
    <w:rsid w:val="008E6A41"/>
    <w:rsid w:val="00903990"/>
    <w:rsid w:val="00904950"/>
    <w:rsid w:val="00915E5E"/>
    <w:rsid w:val="009166B8"/>
    <w:rsid w:val="00922DB7"/>
    <w:rsid w:val="0092684A"/>
    <w:rsid w:val="009308AC"/>
    <w:rsid w:val="00937FAB"/>
    <w:rsid w:val="0094094D"/>
    <w:rsid w:val="00942AB8"/>
    <w:rsid w:val="00945CAF"/>
    <w:rsid w:val="00947448"/>
    <w:rsid w:val="00952B38"/>
    <w:rsid w:val="00952C99"/>
    <w:rsid w:val="00965333"/>
    <w:rsid w:val="009712EF"/>
    <w:rsid w:val="009727BF"/>
    <w:rsid w:val="00973321"/>
    <w:rsid w:val="00975C2E"/>
    <w:rsid w:val="00977270"/>
    <w:rsid w:val="009824F2"/>
    <w:rsid w:val="00983080"/>
    <w:rsid w:val="00986AA3"/>
    <w:rsid w:val="00993B24"/>
    <w:rsid w:val="0099611F"/>
    <w:rsid w:val="009A083F"/>
    <w:rsid w:val="009A67E7"/>
    <w:rsid w:val="009C603A"/>
    <w:rsid w:val="009C74CD"/>
    <w:rsid w:val="009D048F"/>
    <w:rsid w:val="009D401F"/>
    <w:rsid w:val="009D6175"/>
    <w:rsid w:val="009D68FA"/>
    <w:rsid w:val="009E32CF"/>
    <w:rsid w:val="009E4FC2"/>
    <w:rsid w:val="009F44AE"/>
    <w:rsid w:val="009F5D2D"/>
    <w:rsid w:val="00A02529"/>
    <w:rsid w:val="00A02EF2"/>
    <w:rsid w:val="00A04D5E"/>
    <w:rsid w:val="00A10DDF"/>
    <w:rsid w:val="00A11172"/>
    <w:rsid w:val="00A12E55"/>
    <w:rsid w:val="00A242E4"/>
    <w:rsid w:val="00A24437"/>
    <w:rsid w:val="00A24CA0"/>
    <w:rsid w:val="00A3362A"/>
    <w:rsid w:val="00A37B70"/>
    <w:rsid w:val="00A40AC7"/>
    <w:rsid w:val="00A435C7"/>
    <w:rsid w:val="00A569B2"/>
    <w:rsid w:val="00A611A4"/>
    <w:rsid w:val="00A6695B"/>
    <w:rsid w:val="00A72703"/>
    <w:rsid w:val="00A727F6"/>
    <w:rsid w:val="00A72E71"/>
    <w:rsid w:val="00A76432"/>
    <w:rsid w:val="00A84FC6"/>
    <w:rsid w:val="00A8528E"/>
    <w:rsid w:val="00A94A49"/>
    <w:rsid w:val="00AA1815"/>
    <w:rsid w:val="00AA1D3E"/>
    <w:rsid w:val="00AA39F9"/>
    <w:rsid w:val="00AB0931"/>
    <w:rsid w:val="00AB3641"/>
    <w:rsid w:val="00AB5C9B"/>
    <w:rsid w:val="00AC0276"/>
    <w:rsid w:val="00AC0312"/>
    <w:rsid w:val="00AC0449"/>
    <w:rsid w:val="00AD2497"/>
    <w:rsid w:val="00AD5EB4"/>
    <w:rsid w:val="00AE63E2"/>
    <w:rsid w:val="00AF04C9"/>
    <w:rsid w:val="00AF26B6"/>
    <w:rsid w:val="00AF2979"/>
    <w:rsid w:val="00AF471F"/>
    <w:rsid w:val="00B0375C"/>
    <w:rsid w:val="00B052CB"/>
    <w:rsid w:val="00B156C3"/>
    <w:rsid w:val="00B15F67"/>
    <w:rsid w:val="00B1624F"/>
    <w:rsid w:val="00B224C5"/>
    <w:rsid w:val="00B325CD"/>
    <w:rsid w:val="00B4768D"/>
    <w:rsid w:val="00B518E5"/>
    <w:rsid w:val="00B51E1F"/>
    <w:rsid w:val="00B60222"/>
    <w:rsid w:val="00B62CFB"/>
    <w:rsid w:val="00B662F5"/>
    <w:rsid w:val="00B7000C"/>
    <w:rsid w:val="00B760D5"/>
    <w:rsid w:val="00B83B2C"/>
    <w:rsid w:val="00B94740"/>
    <w:rsid w:val="00B97F75"/>
    <w:rsid w:val="00BA1CAE"/>
    <w:rsid w:val="00BA33BB"/>
    <w:rsid w:val="00BA4830"/>
    <w:rsid w:val="00BA6E22"/>
    <w:rsid w:val="00BB362C"/>
    <w:rsid w:val="00BC0A03"/>
    <w:rsid w:val="00BD4139"/>
    <w:rsid w:val="00BE059A"/>
    <w:rsid w:val="00BE1981"/>
    <w:rsid w:val="00BE56E9"/>
    <w:rsid w:val="00BE63CF"/>
    <w:rsid w:val="00BE7014"/>
    <w:rsid w:val="00BF25C7"/>
    <w:rsid w:val="00C009B7"/>
    <w:rsid w:val="00C04E32"/>
    <w:rsid w:val="00C072DE"/>
    <w:rsid w:val="00C15A3F"/>
    <w:rsid w:val="00C20630"/>
    <w:rsid w:val="00C22F7A"/>
    <w:rsid w:val="00C24D7B"/>
    <w:rsid w:val="00C2666F"/>
    <w:rsid w:val="00C300AF"/>
    <w:rsid w:val="00C32020"/>
    <w:rsid w:val="00C3408C"/>
    <w:rsid w:val="00C351CC"/>
    <w:rsid w:val="00C35435"/>
    <w:rsid w:val="00C432FD"/>
    <w:rsid w:val="00C43CDF"/>
    <w:rsid w:val="00C512B2"/>
    <w:rsid w:val="00C5139C"/>
    <w:rsid w:val="00C62B69"/>
    <w:rsid w:val="00C644B7"/>
    <w:rsid w:val="00C64564"/>
    <w:rsid w:val="00C73C87"/>
    <w:rsid w:val="00C74B6F"/>
    <w:rsid w:val="00C8136E"/>
    <w:rsid w:val="00C87EF3"/>
    <w:rsid w:val="00C9015F"/>
    <w:rsid w:val="00C912F9"/>
    <w:rsid w:val="00C9241B"/>
    <w:rsid w:val="00C97569"/>
    <w:rsid w:val="00CA199D"/>
    <w:rsid w:val="00CA4D9C"/>
    <w:rsid w:val="00CA773F"/>
    <w:rsid w:val="00CA7BE5"/>
    <w:rsid w:val="00CB05A7"/>
    <w:rsid w:val="00CB06A4"/>
    <w:rsid w:val="00CB07A5"/>
    <w:rsid w:val="00CB325B"/>
    <w:rsid w:val="00CB64FF"/>
    <w:rsid w:val="00CB7078"/>
    <w:rsid w:val="00CC014B"/>
    <w:rsid w:val="00CC21D8"/>
    <w:rsid w:val="00CC3369"/>
    <w:rsid w:val="00CC5343"/>
    <w:rsid w:val="00CC78DE"/>
    <w:rsid w:val="00CD0F93"/>
    <w:rsid w:val="00CD6D6E"/>
    <w:rsid w:val="00CD6F23"/>
    <w:rsid w:val="00CF640B"/>
    <w:rsid w:val="00D027AF"/>
    <w:rsid w:val="00D06652"/>
    <w:rsid w:val="00D07FA6"/>
    <w:rsid w:val="00D17C53"/>
    <w:rsid w:val="00D17D57"/>
    <w:rsid w:val="00D2341D"/>
    <w:rsid w:val="00D25E0E"/>
    <w:rsid w:val="00D302EB"/>
    <w:rsid w:val="00D31679"/>
    <w:rsid w:val="00D320C8"/>
    <w:rsid w:val="00D3672F"/>
    <w:rsid w:val="00D40ABA"/>
    <w:rsid w:val="00D40FE2"/>
    <w:rsid w:val="00D440FA"/>
    <w:rsid w:val="00D44BCF"/>
    <w:rsid w:val="00D46E73"/>
    <w:rsid w:val="00D5548D"/>
    <w:rsid w:val="00D60F81"/>
    <w:rsid w:val="00D63951"/>
    <w:rsid w:val="00D63BF2"/>
    <w:rsid w:val="00D67348"/>
    <w:rsid w:val="00D75FEC"/>
    <w:rsid w:val="00D76B98"/>
    <w:rsid w:val="00D76FA7"/>
    <w:rsid w:val="00D86F2C"/>
    <w:rsid w:val="00DA36F6"/>
    <w:rsid w:val="00DC1611"/>
    <w:rsid w:val="00DC59C8"/>
    <w:rsid w:val="00DD4B47"/>
    <w:rsid w:val="00DF0774"/>
    <w:rsid w:val="00DF1036"/>
    <w:rsid w:val="00E05451"/>
    <w:rsid w:val="00E05651"/>
    <w:rsid w:val="00E20425"/>
    <w:rsid w:val="00E25DCB"/>
    <w:rsid w:val="00E3195B"/>
    <w:rsid w:val="00E346FE"/>
    <w:rsid w:val="00E4156E"/>
    <w:rsid w:val="00E453F2"/>
    <w:rsid w:val="00E45F48"/>
    <w:rsid w:val="00E460AD"/>
    <w:rsid w:val="00E61925"/>
    <w:rsid w:val="00E65C0E"/>
    <w:rsid w:val="00E71953"/>
    <w:rsid w:val="00E730FC"/>
    <w:rsid w:val="00E74605"/>
    <w:rsid w:val="00E746F0"/>
    <w:rsid w:val="00E82A15"/>
    <w:rsid w:val="00E87589"/>
    <w:rsid w:val="00E938FF"/>
    <w:rsid w:val="00EA34DC"/>
    <w:rsid w:val="00EA5017"/>
    <w:rsid w:val="00EA6BED"/>
    <w:rsid w:val="00EB14F0"/>
    <w:rsid w:val="00EB3844"/>
    <w:rsid w:val="00EB5A9F"/>
    <w:rsid w:val="00EC5C8D"/>
    <w:rsid w:val="00ED106C"/>
    <w:rsid w:val="00ED2D34"/>
    <w:rsid w:val="00ED4805"/>
    <w:rsid w:val="00ED6C51"/>
    <w:rsid w:val="00EE592D"/>
    <w:rsid w:val="00EF4217"/>
    <w:rsid w:val="00EF4258"/>
    <w:rsid w:val="00F02237"/>
    <w:rsid w:val="00F22423"/>
    <w:rsid w:val="00F24C72"/>
    <w:rsid w:val="00F31D22"/>
    <w:rsid w:val="00F348B2"/>
    <w:rsid w:val="00F34BF0"/>
    <w:rsid w:val="00F3557B"/>
    <w:rsid w:val="00F4095A"/>
    <w:rsid w:val="00F45845"/>
    <w:rsid w:val="00F50189"/>
    <w:rsid w:val="00F508FC"/>
    <w:rsid w:val="00F54044"/>
    <w:rsid w:val="00F576E7"/>
    <w:rsid w:val="00F763FC"/>
    <w:rsid w:val="00F772C1"/>
    <w:rsid w:val="00F7736E"/>
    <w:rsid w:val="00F8026D"/>
    <w:rsid w:val="00F8245F"/>
    <w:rsid w:val="00F91629"/>
    <w:rsid w:val="00F91E2A"/>
    <w:rsid w:val="00FA153F"/>
    <w:rsid w:val="00FA1D78"/>
    <w:rsid w:val="00FA1F7E"/>
    <w:rsid w:val="00FA280F"/>
    <w:rsid w:val="00FB0DFC"/>
    <w:rsid w:val="00FB2186"/>
    <w:rsid w:val="00FD0133"/>
    <w:rsid w:val="00FD6206"/>
    <w:rsid w:val="00FF08E8"/>
    <w:rsid w:val="00FF32C3"/>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57A2"/>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rsid w:val="005C57A2"/>
  </w:style>
  <w:style w:type="paragraph" w:customStyle="1" w:styleId="zSoquijdatCabinetProcureurDef">
    <w:name w:val="zSoquij_datCabinetProcureurDef"/>
    <w:basedOn w:val="Normal"/>
    <w:rsid w:val="005C57A2"/>
  </w:style>
  <w:style w:type="paragraph" w:customStyle="1" w:styleId="zSoquijdatCabinetProcureurDem">
    <w:name w:val="zSoquij_datCabinetProcureurDem"/>
    <w:basedOn w:val="Normal"/>
    <w:rsid w:val="005C57A2"/>
  </w:style>
  <w:style w:type="paragraph" w:customStyle="1" w:styleId="zSoquijdatDateJugement">
    <w:name w:val="zSoquij_datDateJugement"/>
    <w:basedOn w:val="Normal"/>
    <w:rsid w:val="005B5689"/>
  </w:style>
  <w:style w:type="paragraph" w:customStyle="1" w:styleId="zSoquijdatGreffe">
    <w:name w:val="zSoquij_datGreffe"/>
    <w:basedOn w:val="Normal"/>
    <w:rsid w:val="005C57A2"/>
  </w:style>
  <w:style w:type="paragraph" w:customStyle="1" w:styleId="zSoquijdatJuge">
    <w:name w:val="zSoquij_datJuge"/>
    <w:basedOn w:val="Normal"/>
    <w:rsid w:val="005B5689"/>
    <w:rPr>
      <w:b/>
    </w:rPr>
  </w:style>
  <w:style w:type="paragraph" w:customStyle="1" w:styleId="zSoquijdatMembreE">
    <w:name w:val="zSoquij_datMembreE"/>
    <w:basedOn w:val="Normal"/>
    <w:rsid w:val="005C57A2"/>
  </w:style>
  <w:style w:type="paragraph" w:customStyle="1" w:styleId="zSoquijdatMembreS">
    <w:name w:val="zSoquij_datMembreS"/>
    <w:basedOn w:val="Normal"/>
    <w:rsid w:val="005C57A2"/>
  </w:style>
  <w:style w:type="paragraph" w:customStyle="1" w:styleId="articlesdelaLSST">
    <w:name w:val="articles de la LSST"/>
    <w:basedOn w:val="Normal"/>
    <w:rsid w:val="005C57A2"/>
    <w:pPr>
      <w:ind w:left="720" w:right="720"/>
      <w:jc w:val="both"/>
    </w:pPr>
    <w:rPr>
      <w:sz w:val="20"/>
    </w:rPr>
  </w:style>
  <w:style w:type="paragraph" w:customStyle="1" w:styleId="zSoquijdatNCSST">
    <w:name w:val="zSoquij_datNCSST"/>
    <w:basedOn w:val="Normal"/>
    <w:rsid w:val="005C57A2"/>
  </w:style>
  <w:style w:type="paragraph" w:customStyle="1" w:styleId="zSoquijdatNoDossier">
    <w:name w:val="zSoquij_datNoDossier"/>
    <w:basedOn w:val="Normal"/>
    <w:rsid w:val="005C57A2"/>
  </w:style>
  <w:style w:type="paragraph" w:customStyle="1" w:styleId="zSoquijdatNomPartieDef">
    <w:name w:val="zSoquij_datNomPartieDef"/>
    <w:basedOn w:val="Normal"/>
    <w:rsid w:val="005C57A2"/>
  </w:style>
  <w:style w:type="paragraph" w:customStyle="1" w:styleId="zSoquijdatNomPartieDem">
    <w:name w:val="zSoquij_datNomPartieDem"/>
    <w:basedOn w:val="Normal"/>
    <w:rsid w:val="005C57A2"/>
  </w:style>
  <w:style w:type="paragraph" w:customStyle="1" w:styleId="zSoquijdatNomPartieInt">
    <w:name w:val="zSoquij_datNomPartieInt"/>
    <w:basedOn w:val="Normal"/>
    <w:rsid w:val="005C57A2"/>
  </w:style>
  <w:style w:type="paragraph" w:customStyle="1" w:styleId="zSoquijdatNomProcureurDef">
    <w:name w:val="zSoquij_datNomProcureurDef"/>
    <w:basedOn w:val="Normal"/>
    <w:rsid w:val="005C57A2"/>
  </w:style>
  <w:style w:type="paragraph" w:customStyle="1" w:styleId="zSoquijdatNomProcureurDem">
    <w:name w:val="zSoquij_datNomProcureurDem"/>
    <w:basedOn w:val="Normal"/>
    <w:rsid w:val="005C57A2"/>
  </w:style>
  <w:style w:type="paragraph" w:customStyle="1" w:styleId="zSoquijdatQtePartieDef">
    <w:name w:val="zSoquij_datQtePartieDef"/>
    <w:basedOn w:val="Normal"/>
    <w:rsid w:val="005C57A2"/>
  </w:style>
  <w:style w:type="paragraph" w:customStyle="1" w:styleId="zSoquijdatQtePartieDem">
    <w:name w:val="zSoquij_datQtePartieDem"/>
    <w:basedOn w:val="Normal"/>
    <w:rsid w:val="005C57A2"/>
  </w:style>
  <w:style w:type="paragraph" w:customStyle="1" w:styleId="zSoquijdatQtePartieInt">
    <w:name w:val="zSoquij_datQtePartieInt"/>
    <w:basedOn w:val="Normal"/>
    <w:rsid w:val="005C57A2"/>
  </w:style>
  <w:style w:type="paragraph" w:customStyle="1" w:styleId="zSoquijlblProcureurDef">
    <w:name w:val="zSoquij_lblProcureurDef"/>
    <w:basedOn w:val="Normal"/>
    <w:rsid w:val="005C57A2"/>
  </w:style>
  <w:style w:type="paragraph" w:customStyle="1" w:styleId="zSoquijlblProcureurDem">
    <w:name w:val="zSoquij_lblProcureurDem"/>
    <w:basedOn w:val="Normal"/>
    <w:rsid w:val="005C57A2"/>
  </w:style>
  <w:style w:type="character" w:styleId="Appelnotedebasdep">
    <w:name w:val="footnote reference"/>
    <w:basedOn w:val="Policepardfaut"/>
    <w:semiHidden/>
    <w:rsid w:val="005C57A2"/>
    <w:rPr>
      <w:rFonts w:ascii="Arial" w:hAnsi="Arial"/>
      <w:vertAlign w:val="superscript"/>
    </w:rPr>
  </w:style>
  <w:style w:type="paragraph" w:customStyle="1" w:styleId="citation">
    <w:name w:val="citation"/>
    <w:basedOn w:val="Normal"/>
    <w:rsid w:val="005C57A2"/>
    <w:pPr>
      <w:ind w:left="720" w:right="720"/>
      <w:jc w:val="both"/>
    </w:pPr>
    <w:rPr>
      <w:sz w:val="20"/>
    </w:rPr>
  </w:style>
  <w:style w:type="paragraph" w:customStyle="1" w:styleId="corpsdedcision">
    <w:name w:val="corps de décision"/>
    <w:basedOn w:val="Normal"/>
    <w:rsid w:val="005C57A2"/>
    <w:pPr>
      <w:numPr>
        <w:numId w:val="1"/>
      </w:numPr>
      <w:tabs>
        <w:tab w:val="left" w:pos="720"/>
      </w:tabs>
      <w:spacing w:after="360"/>
      <w:jc w:val="both"/>
    </w:pPr>
  </w:style>
  <w:style w:type="paragraph" w:customStyle="1" w:styleId="Dfinitions">
    <w:name w:val="Définitions"/>
    <w:basedOn w:val="citation"/>
    <w:rsid w:val="005C57A2"/>
  </w:style>
  <w:style w:type="paragraph" w:customStyle="1" w:styleId="Dispositif">
    <w:name w:val="Dispositif"/>
    <w:basedOn w:val="Normal"/>
    <w:rsid w:val="005C57A2"/>
    <w:pPr>
      <w:spacing w:after="360"/>
      <w:jc w:val="both"/>
    </w:pPr>
  </w:style>
  <w:style w:type="paragraph" w:styleId="Notedebasdepage">
    <w:name w:val="footnote text"/>
    <w:basedOn w:val="Normal"/>
    <w:link w:val="NotedebasdepageCar"/>
    <w:semiHidden/>
    <w:rsid w:val="005C57A2"/>
  </w:style>
  <w:style w:type="paragraph" w:styleId="En-tte">
    <w:name w:val="header"/>
    <w:basedOn w:val="Normal"/>
    <w:rsid w:val="005C57A2"/>
    <w:pPr>
      <w:tabs>
        <w:tab w:val="center" w:pos="4320"/>
        <w:tab w:val="right" w:pos="8640"/>
      </w:tabs>
    </w:pPr>
  </w:style>
  <w:style w:type="character" w:styleId="Numrodepage">
    <w:name w:val="page number"/>
    <w:basedOn w:val="Policepardfaut"/>
    <w:rsid w:val="005C57A2"/>
    <w:rPr>
      <w:rFonts w:ascii="Arial" w:hAnsi="Arial"/>
      <w:sz w:val="24"/>
    </w:rPr>
  </w:style>
  <w:style w:type="paragraph" w:styleId="Pieddepage">
    <w:name w:val="footer"/>
    <w:basedOn w:val="Normal"/>
    <w:rsid w:val="005C57A2"/>
    <w:pPr>
      <w:tabs>
        <w:tab w:val="center" w:pos="4320"/>
        <w:tab w:val="right" w:pos="8640"/>
      </w:tabs>
    </w:pPr>
  </w:style>
  <w:style w:type="paragraph" w:customStyle="1" w:styleId="zSoquijlblProcureurInt">
    <w:name w:val="zSoquij_lblProcureurInt"/>
    <w:basedOn w:val="Normal"/>
    <w:rsid w:val="005C57A2"/>
  </w:style>
  <w:style w:type="paragraph" w:customStyle="1" w:styleId="articlesdelaLATMP">
    <w:name w:val="articles de la LATMP"/>
    <w:basedOn w:val="Normal"/>
    <w:rsid w:val="005C57A2"/>
    <w:pPr>
      <w:ind w:left="720" w:right="720"/>
      <w:jc w:val="both"/>
    </w:pPr>
    <w:rPr>
      <w:sz w:val="20"/>
    </w:rPr>
  </w:style>
  <w:style w:type="paragraph" w:customStyle="1" w:styleId="Annexes">
    <w:name w:val="Annexes"/>
    <w:basedOn w:val="citation"/>
    <w:rsid w:val="005C57A2"/>
  </w:style>
  <w:style w:type="paragraph" w:customStyle="1" w:styleId="zSoquijdatNomProcureurInt">
    <w:name w:val="zSoquij_datNomProcureurInt"/>
    <w:basedOn w:val="Normal"/>
    <w:rsid w:val="005C57A2"/>
  </w:style>
  <w:style w:type="paragraph" w:customStyle="1" w:styleId="zSoquijdatCabinetProcureurInt">
    <w:name w:val="zSoquij_datCabinetProcureurInt"/>
    <w:basedOn w:val="Normal"/>
    <w:rsid w:val="005C57A2"/>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basedOn w:val="Policepardfaut"/>
    <w:link w:val="Notedebasdepage"/>
    <w:semiHidden/>
    <w:locked/>
    <w:rsid w:val="00BC0A03"/>
    <w:rPr>
      <w:rFonts w:ascii="Arial" w:hAnsi="Arial"/>
      <w:sz w:val="24"/>
      <w:lang w:val="fr-CA" w:eastAsia="fr-CA" w:bidi="ar-SA"/>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CA" w:eastAsia="fr-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3713</Words>
  <Characters>20426</Characters>
  <Application>Microsoft Office Word</Application>
  <DocSecurity>0</DocSecurity>
  <Lines>170</Lines>
  <Paragraphs>48</Paragraphs>
  <ScaleCrop>false</ScaleCrop>
  <Company/>
  <LinksUpToDate>false</LinksUpToDate>
  <CharactersWithSpaces>24091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2016-05-19T14:47:00Z</dcterms:created>
  <dcterms:modified xsi:type="dcterms:W3CDTF">2016-05-19T14:47:00Z</dcterms:modified>
</cp:coreProperties>
</file>