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trPr>
          <w:cantSplit/>
        </w:trPr>
        <w:tc>
          <w:tcPr>
            <w:tcW w:w="4795" w:type="dxa"/>
          </w:tcPr>
          <w:p w:rsidR="008A7FD1" w:rsidRPr="006E60E4" w:rsidRDefault="006E60E4" w:rsidP="006E60E4">
            <w:pPr>
              <w:pStyle w:val="zSoquijdatRepertorie"/>
              <w:rPr>
                <w:rFonts w:cs="Arial"/>
              </w:rPr>
            </w:pPr>
            <w:bookmarkStart w:id="0" w:name="_GoBack"/>
            <w:bookmarkEnd w:id="0"/>
            <w:r>
              <w:rPr>
                <w:rFonts w:cs="Arial"/>
              </w:rPr>
              <w:t>Leduc et Anciens Combattants Canada</w:t>
            </w:r>
          </w:p>
        </w:tc>
        <w:tc>
          <w:tcPr>
            <w:tcW w:w="2477" w:type="dxa"/>
          </w:tcPr>
          <w:p w:rsidR="008A7FD1" w:rsidRPr="00E36505" w:rsidRDefault="00E36505" w:rsidP="00E36505">
            <w:pPr>
              <w:pStyle w:val="zSoquijdatRefNeutre"/>
              <w:rPr>
                <w:rFonts w:cs="Arial"/>
              </w:rPr>
            </w:pPr>
            <w:r w:rsidRPr="00E36505">
              <w:rPr>
                <w:rFonts w:cs="Arial"/>
              </w:rPr>
              <w:t>2022 QCTAT 4960</w:t>
            </w:r>
          </w:p>
        </w:tc>
      </w:tr>
    </w:tbl>
    <w:p w:rsidR="008A7FD1" w:rsidRDefault="008A7FD1"/>
    <w:tbl>
      <w:tblPr>
        <w:tblW w:w="9568" w:type="dxa"/>
        <w:tblLayout w:type="fixed"/>
        <w:tblCellMar>
          <w:left w:w="70" w:type="dxa"/>
          <w:right w:w="70" w:type="dxa"/>
        </w:tblCellMar>
        <w:tblLook w:val="0000" w:firstRow="0" w:lastRow="0" w:firstColumn="0" w:lastColumn="0" w:noHBand="0" w:noVBand="0"/>
      </w:tblPr>
      <w:tblGrid>
        <w:gridCol w:w="3614"/>
        <w:gridCol w:w="1134"/>
        <w:gridCol w:w="72"/>
        <w:gridCol w:w="637"/>
        <w:gridCol w:w="4111"/>
      </w:tblGrid>
      <w:tr w:rsidR="00C74B6F" w:rsidTr="002A374B">
        <w:trPr>
          <w:cantSplit/>
        </w:trPr>
        <w:tc>
          <w:tcPr>
            <w:tcW w:w="9568" w:type="dxa"/>
            <w:gridSpan w:val="5"/>
          </w:tcPr>
          <w:p w:rsidR="00C74B6F" w:rsidRPr="00BE1981" w:rsidRDefault="00C74B6F">
            <w:pPr>
              <w:rPr>
                <w:szCs w:val="24"/>
              </w:rPr>
            </w:pPr>
          </w:p>
        </w:tc>
      </w:tr>
      <w:tr w:rsidR="00C74B6F" w:rsidTr="002A374B">
        <w:trPr>
          <w:cantSplit/>
        </w:trPr>
        <w:tc>
          <w:tcPr>
            <w:tcW w:w="9568" w:type="dxa"/>
            <w:gridSpan w:val="5"/>
            <w:vAlign w:val="center"/>
          </w:tcPr>
          <w:p w:rsidR="00C74B6F" w:rsidRPr="000E1320" w:rsidRDefault="000E1320">
            <w:pPr>
              <w:jc w:val="center"/>
              <w:rPr>
                <w:sz w:val="36"/>
                <w:szCs w:val="36"/>
              </w:rPr>
            </w:pPr>
            <w:r w:rsidRPr="000E1320">
              <w:rPr>
                <w:b/>
                <w:sz w:val="36"/>
                <w:szCs w:val="36"/>
              </w:rPr>
              <w:t>TRIBUNAL ADMINISTRATIF DU TRAVAIL</w:t>
            </w:r>
          </w:p>
        </w:tc>
      </w:tr>
      <w:tr w:rsidR="00C74B6F" w:rsidTr="002A374B">
        <w:trPr>
          <w:cantSplit/>
        </w:trPr>
        <w:tc>
          <w:tcPr>
            <w:tcW w:w="9568" w:type="dxa"/>
            <w:gridSpan w:val="5"/>
          </w:tcPr>
          <w:p w:rsidR="00C74B6F" w:rsidRPr="00BE7014" w:rsidRDefault="006F0154" w:rsidP="009A67E7">
            <w:pPr>
              <w:pStyle w:val="zSoquijdatDivision"/>
            </w:pPr>
            <w:r w:rsidRPr="00BE7014">
              <w:t>(</w:t>
            </w:r>
            <w:r w:rsidR="00B5294F" w:rsidRPr="00441ADA">
              <w:t>Division de la santé et de la sécurité du travail</w:t>
            </w:r>
            <w:r w:rsidRPr="00BE7014">
              <w:t>)</w:t>
            </w:r>
          </w:p>
        </w:tc>
      </w:tr>
      <w:tr w:rsidR="00C74B6F" w:rsidTr="002A374B">
        <w:trPr>
          <w:cantSplit/>
        </w:trPr>
        <w:tc>
          <w:tcPr>
            <w:tcW w:w="9568" w:type="dxa"/>
            <w:gridSpan w:val="5"/>
          </w:tcPr>
          <w:p w:rsidR="002B2FC3" w:rsidRDefault="002B2FC3" w:rsidP="002B2FC3"/>
        </w:tc>
      </w:tr>
      <w:tr w:rsidR="00A84FC6" w:rsidTr="002A374B">
        <w:trPr>
          <w:cantSplit/>
        </w:trPr>
        <w:tc>
          <w:tcPr>
            <w:tcW w:w="9568" w:type="dxa"/>
            <w:gridSpan w:val="5"/>
          </w:tcPr>
          <w:p w:rsidR="00A84FC6" w:rsidRDefault="00A84FC6" w:rsidP="002B2FC3"/>
        </w:tc>
      </w:tr>
      <w:tr w:rsidR="00C74B6F" w:rsidTr="005E654C">
        <w:tc>
          <w:tcPr>
            <w:tcW w:w="3614" w:type="dxa"/>
          </w:tcPr>
          <w:p w:rsidR="00C74B6F" w:rsidRDefault="0084255F">
            <w:bookmarkStart w:id="1" w:name="region" w:colFirst="1" w:colLast="1"/>
            <w:r>
              <w:t>Région :</w:t>
            </w:r>
          </w:p>
        </w:tc>
        <w:tc>
          <w:tcPr>
            <w:tcW w:w="5954" w:type="dxa"/>
            <w:gridSpan w:val="4"/>
          </w:tcPr>
          <w:p w:rsidR="00C74B6F" w:rsidRDefault="00410B6C" w:rsidP="00F4095A">
            <w:pPr>
              <w:pStyle w:val="zSoquijdatGreffe"/>
            </w:pPr>
            <w:r>
              <w:t>Montérégie</w:t>
            </w:r>
          </w:p>
        </w:tc>
      </w:tr>
      <w:bookmarkEnd w:id="1"/>
      <w:tr w:rsidR="00C74B6F" w:rsidTr="002A374B">
        <w:trPr>
          <w:cantSplit/>
        </w:trPr>
        <w:tc>
          <w:tcPr>
            <w:tcW w:w="9568" w:type="dxa"/>
            <w:gridSpan w:val="5"/>
          </w:tcPr>
          <w:p w:rsidR="00C74B6F" w:rsidRDefault="00C74B6F"/>
        </w:tc>
      </w:tr>
      <w:tr w:rsidR="00C74B6F" w:rsidTr="005E654C">
        <w:tc>
          <w:tcPr>
            <w:tcW w:w="3614" w:type="dxa"/>
          </w:tcPr>
          <w:p w:rsidR="00C74B6F" w:rsidRDefault="0084255F">
            <w:bookmarkStart w:id="2" w:name="ref_dossier" w:colFirst="1" w:colLast="1"/>
            <w:r>
              <w:t>Dossier</w:t>
            </w:r>
            <w:bookmarkStart w:id="3" w:name="dossiers"/>
            <w:bookmarkEnd w:id="3"/>
            <w:r>
              <w:t> :</w:t>
            </w:r>
          </w:p>
        </w:tc>
        <w:tc>
          <w:tcPr>
            <w:tcW w:w="5954" w:type="dxa"/>
            <w:gridSpan w:val="4"/>
          </w:tcPr>
          <w:p w:rsidR="00C74B6F" w:rsidRDefault="00410B6C" w:rsidP="00F4095A">
            <w:pPr>
              <w:pStyle w:val="zSoquijdatNoDossier"/>
            </w:pPr>
            <w:r>
              <w:t>1253346-62-2111</w:t>
            </w:r>
          </w:p>
        </w:tc>
      </w:tr>
      <w:bookmarkEnd w:id="2"/>
      <w:tr w:rsidR="00C74B6F" w:rsidTr="002A374B">
        <w:trPr>
          <w:cantSplit/>
        </w:trPr>
        <w:tc>
          <w:tcPr>
            <w:tcW w:w="9568" w:type="dxa"/>
            <w:gridSpan w:val="5"/>
          </w:tcPr>
          <w:p w:rsidR="00C74B6F" w:rsidRDefault="00D44BCF">
            <w:r>
              <w:fldChar w:fldCharType="begin"/>
            </w:r>
            <w:r>
              <w:instrText xml:space="preserve"> AUTOTEXTLIST  \* Upper  \* MERGEFORMAT </w:instrText>
            </w:r>
            <w:r>
              <w:fldChar w:fldCharType="end"/>
            </w:r>
          </w:p>
        </w:tc>
      </w:tr>
      <w:tr w:rsidR="00C74B6F" w:rsidTr="005E654C">
        <w:tc>
          <w:tcPr>
            <w:tcW w:w="3614" w:type="dxa"/>
          </w:tcPr>
          <w:p w:rsidR="00C74B6F" w:rsidRDefault="008C79A7" w:rsidP="00B5294F">
            <w:pPr>
              <w:ind w:right="46"/>
            </w:pPr>
            <w:r>
              <w:t xml:space="preserve">Dossier </w:t>
            </w:r>
            <w:r w:rsidR="00B5294F">
              <w:rPr>
                <w:szCs w:val="24"/>
              </w:rPr>
              <w:t>CNESST</w:t>
            </w:r>
            <w:r w:rsidRPr="008C79A7">
              <w:rPr>
                <w:szCs w:val="24"/>
              </w:rPr>
              <w:t xml:space="preserve"> :</w:t>
            </w:r>
          </w:p>
        </w:tc>
        <w:tc>
          <w:tcPr>
            <w:tcW w:w="5954" w:type="dxa"/>
            <w:gridSpan w:val="4"/>
          </w:tcPr>
          <w:p w:rsidR="00C74B6F" w:rsidRDefault="00410B6C" w:rsidP="004D6CEA">
            <w:pPr>
              <w:pStyle w:val="zSoquijdatNCSST"/>
            </w:pPr>
            <w:r>
              <w:t>508524956</w:t>
            </w:r>
          </w:p>
        </w:tc>
      </w:tr>
      <w:tr w:rsidR="00C74B6F" w:rsidTr="002A374B">
        <w:trPr>
          <w:cantSplit/>
        </w:trPr>
        <w:tc>
          <w:tcPr>
            <w:tcW w:w="9568" w:type="dxa"/>
            <w:gridSpan w:val="5"/>
          </w:tcPr>
          <w:p w:rsidR="00C74B6F" w:rsidRDefault="00C74B6F"/>
        </w:tc>
      </w:tr>
      <w:tr w:rsidR="00C74B6F" w:rsidTr="005E654C">
        <w:tc>
          <w:tcPr>
            <w:tcW w:w="3614" w:type="dxa"/>
          </w:tcPr>
          <w:p w:rsidR="00C74B6F" w:rsidRDefault="00C74B6F">
            <w:bookmarkStart w:id="4" w:name="assesseur"/>
            <w:bookmarkEnd w:id="4"/>
          </w:p>
        </w:tc>
        <w:tc>
          <w:tcPr>
            <w:tcW w:w="5954" w:type="dxa"/>
            <w:gridSpan w:val="4"/>
          </w:tcPr>
          <w:p w:rsidR="00C74B6F" w:rsidRDefault="00C74B6F" w:rsidP="00F4095A">
            <w:pPr>
              <w:pStyle w:val="zSoquijdatAssesseurs"/>
            </w:pPr>
          </w:p>
        </w:tc>
      </w:tr>
      <w:tr w:rsidR="006E3DD8" w:rsidTr="005E654C">
        <w:trPr>
          <w:cantSplit/>
        </w:trPr>
        <w:tc>
          <w:tcPr>
            <w:tcW w:w="3614" w:type="dxa"/>
          </w:tcPr>
          <w:p w:rsidR="006E3DD8" w:rsidRDefault="00B5294F" w:rsidP="006E3DD8">
            <w:pPr>
              <w:tabs>
                <w:tab w:val="left" w:pos="2672"/>
              </w:tabs>
            </w:pPr>
            <w:r>
              <w:t>Longueuil</w:t>
            </w:r>
            <w:r w:rsidR="00C04E32">
              <w:t>,</w:t>
            </w:r>
          </w:p>
        </w:tc>
        <w:tc>
          <w:tcPr>
            <w:tcW w:w="5954" w:type="dxa"/>
            <w:gridSpan w:val="4"/>
          </w:tcPr>
          <w:p w:rsidR="006E3DD8" w:rsidRDefault="00C04E32" w:rsidP="003F762E">
            <w:pPr>
              <w:pStyle w:val="zSoquijdatDateJugement"/>
            </w:pPr>
            <w:r>
              <w:t xml:space="preserve">le </w:t>
            </w:r>
            <w:r w:rsidR="003F762E">
              <w:t>1</w:t>
            </w:r>
            <w:r w:rsidR="003F762E" w:rsidRPr="003F762E">
              <w:rPr>
                <w:vertAlign w:val="superscript"/>
              </w:rPr>
              <w:t>er</w:t>
            </w:r>
            <w:r w:rsidR="003F762E">
              <w:t xml:space="preserve"> novembre 2022</w:t>
            </w:r>
          </w:p>
        </w:tc>
      </w:tr>
      <w:tr w:rsidR="00942AB8" w:rsidTr="002A374B">
        <w:trPr>
          <w:cantSplit/>
        </w:trPr>
        <w:tc>
          <w:tcPr>
            <w:tcW w:w="9568" w:type="dxa"/>
            <w:gridSpan w:val="5"/>
          </w:tcPr>
          <w:p w:rsidR="00942AB8" w:rsidRDefault="00942AB8" w:rsidP="00FA153F">
            <w:r>
              <w:t>______________________________________________________________________</w:t>
            </w:r>
          </w:p>
        </w:tc>
      </w:tr>
      <w:tr w:rsidR="00942AB8" w:rsidTr="002A374B">
        <w:trPr>
          <w:cantSplit/>
          <w:trHeight w:val="148"/>
        </w:trPr>
        <w:tc>
          <w:tcPr>
            <w:tcW w:w="9568" w:type="dxa"/>
            <w:gridSpan w:val="5"/>
          </w:tcPr>
          <w:p w:rsidR="00942AB8" w:rsidRDefault="00942AB8" w:rsidP="00FA153F"/>
        </w:tc>
      </w:tr>
      <w:tr w:rsidR="0035375B" w:rsidTr="00A12E55">
        <w:trPr>
          <w:cantSplit/>
          <w:trHeight w:val="148"/>
        </w:trPr>
        <w:tc>
          <w:tcPr>
            <w:tcW w:w="5457" w:type="dxa"/>
            <w:gridSpan w:val="4"/>
          </w:tcPr>
          <w:p w:rsidR="0035375B" w:rsidRPr="00942AB8" w:rsidRDefault="0035375B" w:rsidP="00B5294F">
            <w:pPr>
              <w:rPr>
                <w:b/>
                <w:bCs/>
              </w:rPr>
            </w:pPr>
            <w:bookmarkStart w:id="5" w:name="ref_commissaire" w:colFirst="1" w:colLast="1"/>
            <w:r w:rsidRPr="00942AB8">
              <w:rPr>
                <w:b/>
                <w:bCs/>
              </w:rPr>
              <w:t>DEVANT L</w:t>
            </w:r>
            <w:r w:rsidR="00B5294F">
              <w:rPr>
                <w:b/>
                <w:bCs/>
              </w:rPr>
              <w:t>E</w:t>
            </w:r>
            <w:r w:rsidRPr="00942AB8">
              <w:rPr>
                <w:b/>
                <w:bCs/>
              </w:rPr>
              <w:t xml:space="preserve"> JUGE ADMINISTRATI</w:t>
            </w:r>
            <w:r w:rsidR="00B5294F">
              <w:rPr>
                <w:b/>
                <w:bCs/>
              </w:rPr>
              <w:t>F</w:t>
            </w:r>
            <w:r w:rsidRPr="00942AB8">
              <w:rPr>
                <w:b/>
                <w:bCs/>
              </w:rPr>
              <w:t> :</w:t>
            </w:r>
          </w:p>
        </w:tc>
        <w:tc>
          <w:tcPr>
            <w:tcW w:w="4111" w:type="dxa"/>
          </w:tcPr>
          <w:p w:rsidR="0035375B" w:rsidRPr="00942AB8" w:rsidRDefault="00B5294F" w:rsidP="005B5689">
            <w:pPr>
              <w:pStyle w:val="zSoquijdatJuge"/>
              <w:rPr>
                <w:bCs/>
              </w:rPr>
            </w:pPr>
            <w:r>
              <w:t>Renaud Gauthier</w:t>
            </w:r>
          </w:p>
        </w:tc>
      </w:tr>
      <w:bookmarkEnd w:id="5"/>
      <w:tr w:rsidR="00942AB8" w:rsidTr="002A374B">
        <w:trPr>
          <w:cantSplit/>
          <w:trHeight w:val="148"/>
        </w:trPr>
        <w:tc>
          <w:tcPr>
            <w:tcW w:w="9568" w:type="dxa"/>
            <w:gridSpan w:val="5"/>
          </w:tcPr>
          <w:p w:rsidR="00942AB8" w:rsidRDefault="00942AB8" w:rsidP="00FA153F">
            <w:r>
              <w:t>______________________________________________________________________</w:t>
            </w:r>
          </w:p>
        </w:tc>
      </w:tr>
      <w:tr w:rsidR="00942AB8" w:rsidTr="002A374B">
        <w:tc>
          <w:tcPr>
            <w:tcW w:w="9568" w:type="dxa"/>
            <w:gridSpan w:val="5"/>
          </w:tcPr>
          <w:p w:rsidR="00942AB8" w:rsidRDefault="00942AB8"/>
        </w:tc>
      </w:tr>
      <w:tr w:rsidR="00942AB8" w:rsidTr="00D40ABA">
        <w:tc>
          <w:tcPr>
            <w:tcW w:w="4748" w:type="dxa"/>
            <w:gridSpan w:val="2"/>
          </w:tcPr>
          <w:p w:rsidR="00942AB8" w:rsidRDefault="00942AB8">
            <w:bookmarkStart w:id="6" w:name="bloc_parties_gauche"/>
            <w:bookmarkEnd w:id="6"/>
          </w:p>
        </w:tc>
        <w:tc>
          <w:tcPr>
            <w:tcW w:w="4820" w:type="dxa"/>
            <w:gridSpan w:val="3"/>
          </w:tcPr>
          <w:p w:rsidR="00942AB8" w:rsidRDefault="00942AB8"/>
        </w:tc>
      </w:tr>
      <w:tr w:rsidR="00942AB8" w:rsidTr="00D40ABA">
        <w:tc>
          <w:tcPr>
            <w:tcW w:w="4748" w:type="dxa"/>
            <w:gridSpan w:val="2"/>
          </w:tcPr>
          <w:p w:rsidR="00942AB8" w:rsidRDefault="00410B6C">
            <w:pPr>
              <w:pStyle w:val="zSoquijdatNomPartieDem"/>
              <w:rPr>
                <w:b/>
              </w:rPr>
            </w:pPr>
            <w:r>
              <w:rPr>
                <w:b/>
              </w:rPr>
              <w:t>Mélanie Leduc</w:t>
            </w:r>
          </w:p>
        </w:tc>
        <w:tc>
          <w:tcPr>
            <w:tcW w:w="4820" w:type="dxa"/>
            <w:gridSpan w:val="3"/>
          </w:tcPr>
          <w:p w:rsidR="00942AB8" w:rsidRDefault="00942AB8"/>
        </w:tc>
      </w:tr>
      <w:tr w:rsidR="00942AB8" w:rsidTr="00D40ABA">
        <w:tc>
          <w:tcPr>
            <w:tcW w:w="4748" w:type="dxa"/>
            <w:gridSpan w:val="2"/>
          </w:tcPr>
          <w:p w:rsidR="00942AB8" w:rsidRDefault="00410B6C" w:rsidP="007B0DF2">
            <w:pPr>
              <w:pStyle w:val="zSoquijdatQtePartieDem"/>
              <w:tabs>
                <w:tab w:val="left" w:pos="3539"/>
              </w:tabs>
              <w:ind w:left="708"/>
            </w:pPr>
            <w:bookmarkStart w:id="7" w:name="partie_demanderesse"/>
            <w:bookmarkEnd w:id="7"/>
            <w:r>
              <w:t>Partie demanderesse</w:t>
            </w:r>
          </w:p>
        </w:tc>
        <w:tc>
          <w:tcPr>
            <w:tcW w:w="4820" w:type="dxa"/>
            <w:gridSpan w:val="3"/>
          </w:tcPr>
          <w:p w:rsidR="00942AB8" w:rsidRDefault="00942AB8"/>
        </w:tc>
      </w:tr>
      <w:tr w:rsidR="00942AB8" w:rsidTr="00D40ABA">
        <w:tc>
          <w:tcPr>
            <w:tcW w:w="4748" w:type="dxa"/>
            <w:gridSpan w:val="2"/>
          </w:tcPr>
          <w:p w:rsidR="00942AB8" w:rsidRDefault="00942AB8"/>
        </w:tc>
        <w:tc>
          <w:tcPr>
            <w:tcW w:w="4820" w:type="dxa"/>
            <w:gridSpan w:val="3"/>
          </w:tcPr>
          <w:p w:rsidR="00942AB8" w:rsidRDefault="00942AB8"/>
        </w:tc>
      </w:tr>
      <w:tr w:rsidR="00942AB8" w:rsidTr="00D40ABA">
        <w:tc>
          <w:tcPr>
            <w:tcW w:w="4748" w:type="dxa"/>
            <w:gridSpan w:val="2"/>
          </w:tcPr>
          <w:p w:rsidR="00942AB8" w:rsidRDefault="00410B6C" w:rsidP="00D06652">
            <w:pPr>
              <w:pStyle w:val="zSoquijlblLienParties"/>
            </w:pPr>
            <w:r>
              <w:t>et</w:t>
            </w:r>
          </w:p>
        </w:tc>
        <w:tc>
          <w:tcPr>
            <w:tcW w:w="4820" w:type="dxa"/>
            <w:gridSpan w:val="3"/>
          </w:tcPr>
          <w:p w:rsidR="00942AB8" w:rsidRDefault="00942AB8"/>
        </w:tc>
      </w:tr>
      <w:tr w:rsidR="00942AB8" w:rsidTr="00D40ABA">
        <w:tc>
          <w:tcPr>
            <w:tcW w:w="4748" w:type="dxa"/>
            <w:gridSpan w:val="2"/>
          </w:tcPr>
          <w:p w:rsidR="00942AB8" w:rsidRDefault="00942AB8"/>
        </w:tc>
        <w:tc>
          <w:tcPr>
            <w:tcW w:w="4820" w:type="dxa"/>
            <w:gridSpan w:val="3"/>
          </w:tcPr>
          <w:p w:rsidR="00942AB8" w:rsidRDefault="00942AB8"/>
        </w:tc>
      </w:tr>
      <w:tr w:rsidR="00942AB8" w:rsidTr="00D40ABA">
        <w:tc>
          <w:tcPr>
            <w:tcW w:w="4748" w:type="dxa"/>
            <w:gridSpan w:val="2"/>
          </w:tcPr>
          <w:p w:rsidR="00942AB8" w:rsidRDefault="00410B6C">
            <w:pPr>
              <w:pStyle w:val="zSoquijdatNomPartieDef"/>
              <w:rPr>
                <w:b/>
              </w:rPr>
            </w:pPr>
            <w:r>
              <w:rPr>
                <w:b/>
              </w:rPr>
              <w:t>Anciens Combattants Canada</w:t>
            </w:r>
          </w:p>
        </w:tc>
        <w:tc>
          <w:tcPr>
            <w:tcW w:w="4820" w:type="dxa"/>
            <w:gridSpan w:val="3"/>
          </w:tcPr>
          <w:p w:rsidR="00942AB8" w:rsidRDefault="00942AB8"/>
        </w:tc>
      </w:tr>
      <w:tr w:rsidR="00942AB8" w:rsidTr="00D40ABA">
        <w:tc>
          <w:tcPr>
            <w:tcW w:w="4748" w:type="dxa"/>
            <w:gridSpan w:val="2"/>
          </w:tcPr>
          <w:p w:rsidR="00942AB8" w:rsidRDefault="00410B6C">
            <w:pPr>
              <w:pStyle w:val="zSoquijdatQtePartieDef"/>
              <w:ind w:left="708"/>
            </w:pPr>
            <w:r>
              <w:t>Partie mise en cause</w:t>
            </w:r>
          </w:p>
        </w:tc>
        <w:tc>
          <w:tcPr>
            <w:tcW w:w="4820" w:type="dxa"/>
            <w:gridSpan w:val="3"/>
          </w:tcPr>
          <w:p w:rsidR="00942AB8" w:rsidRDefault="00942AB8"/>
        </w:tc>
      </w:tr>
      <w:tr w:rsidR="000C467C" w:rsidTr="00D40ABA">
        <w:trPr>
          <w:gridAfter w:val="2"/>
          <w:wAfter w:w="4748" w:type="dxa"/>
        </w:trPr>
        <w:tc>
          <w:tcPr>
            <w:tcW w:w="4820" w:type="dxa"/>
            <w:gridSpan w:val="3"/>
          </w:tcPr>
          <w:p w:rsidR="000C467C" w:rsidRDefault="000C467C"/>
        </w:tc>
      </w:tr>
      <w:tr w:rsidR="000C467C" w:rsidTr="00D40ABA">
        <w:trPr>
          <w:gridAfter w:val="2"/>
          <w:wAfter w:w="4748" w:type="dxa"/>
        </w:trPr>
        <w:tc>
          <w:tcPr>
            <w:tcW w:w="4820" w:type="dxa"/>
            <w:gridSpan w:val="3"/>
          </w:tcPr>
          <w:p w:rsidR="000C467C" w:rsidRDefault="000C467C">
            <w:r>
              <w:t>et</w:t>
            </w:r>
          </w:p>
        </w:tc>
      </w:tr>
      <w:tr w:rsidR="000C467C" w:rsidTr="00D40ABA">
        <w:trPr>
          <w:gridAfter w:val="2"/>
          <w:wAfter w:w="4748" w:type="dxa"/>
        </w:trPr>
        <w:tc>
          <w:tcPr>
            <w:tcW w:w="4820" w:type="dxa"/>
            <w:gridSpan w:val="3"/>
          </w:tcPr>
          <w:p w:rsidR="000C467C" w:rsidRDefault="000C467C"/>
        </w:tc>
      </w:tr>
      <w:tr w:rsidR="00942AB8" w:rsidTr="00D40ABA">
        <w:tc>
          <w:tcPr>
            <w:tcW w:w="4748" w:type="dxa"/>
            <w:gridSpan w:val="2"/>
          </w:tcPr>
          <w:p w:rsidR="00942AB8" w:rsidRDefault="00410B6C">
            <w:pPr>
              <w:pStyle w:val="zSoquijdatNomPartieInt"/>
              <w:rPr>
                <w:b/>
              </w:rPr>
            </w:pPr>
            <w:r>
              <w:rPr>
                <w:b/>
              </w:rPr>
              <w:t>Emploi et Développement Social Canada</w:t>
            </w:r>
          </w:p>
        </w:tc>
        <w:tc>
          <w:tcPr>
            <w:tcW w:w="4820" w:type="dxa"/>
            <w:gridSpan w:val="3"/>
          </w:tcPr>
          <w:p w:rsidR="00942AB8" w:rsidRDefault="00942AB8"/>
        </w:tc>
      </w:tr>
      <w:tr w:rsidR="00942AB8" w:rsidTr="00D40ABA">
        <w:tc>
          <w:tcPr>
            <w:tcW w:w="4748" w:type="dxa"/>
            <w:gridSpan w:val="2"/>
          </w:tcPr>
          <w:p w:rsidR="00942AB8" w:rsidRDefault="00410B6C">
            <w:pPr>
              <w:pStyle w:val="zSoquijdatQtePartieInt"/>
              <w:ind w:left="708"/>
            </w:pPr>
            <w:r>
              <w:t>Partie intervenante</w:t>
            </w:r>
          </w:p>
        </w:tc>
        <w:tc>
          <w:tcPr>
            <w:tcW w:w="4820" w:type="dxa"/>
            <w:gridSpan w:val="3"/>
          </w:tcPr>
          <w:p w:rsidR="00942AB8" w:rsidRDefault="00942AB8"/>
        </w:tc>
      </w:tr>
      <w:tr w:rsidR="00942AB8" w:rsidTr="00D40ABA">
        <w:tc>
          <w:tcPr>
            <w:tcW w:w="4748" w:type="dxa"/>
            <w:gridSpan w:val="2"/>
          </w:tcPr>
          <w:p w:rsidR="00942AB8" w:rsidRDefault="00942AB8"/>
        </w:tc>
        <w:tc>
          <w:tcPr>
            <w:tcW w:w="4820" w:type="dxa"/>
            <w:gridSpan w:val="3"/>
          </w:tcPr>
          <w:p w:rsidR="00942AB8" w:rsidRDefault="00942AB8"/>
        </w:tc>
      </w:tr>
    </w:tbl>
    <w:p w:rsidR="00C74B6F" w:rsidRDefault="00C74B6F">
      <w:r>
        <w:t>______________________________________________________________________</w:t>
      </w:r>
    </w:p>
    <w:p w:rsidR="00C74B6F" w:rsidRDefault="00C74B6F"/>
    <w:p w:rsidR="00C74B6F" w:rsidRPr="005B0612" w:rsidRDefault="00C74B6F" w:rsidP="008B042E">
      <w:pPr>
        <w:jc w:val="center"/>
        <w:rPr>
          <w:b/>
          <w:bCs/>
        </w:rPr>
      </w:pPr>
      <w:bookmarkStart w:id="8" w:name="decision"/>
      <w:r w:rsidRPr="005B0612">
        <w:rPr>
          <w:b/>
          <w:bCs/>
        </w:rPr>
        <w:t>DÉCISION</w:t>
      </w:r>
      <w:bookmarkEnd w:id="8"/>
    </w:p>
    <w:p w:rsidR="00C74B6F" w:rsidRDefault="00C74B6F">
      <w:pPr>
        <w:jc w:val="center"/>
      </w:pPr>
      <w:r>
        <w:t>______________________________________________________________________</w:t>
      </w:r>
    </w:p>
    <w:p w:rsidR="00C74B6F" w:rsidRDefault="00C74B6F"/>
    <w:p w:rsidR="00082A97" w:rsidRPr="00B51F99" w:rsidRDefault="00082A97" w:rsidP="00F10236">
      <w:pPr>
        <w:pStyle w:val="corpsdedcision"/>
        <w:numPr>
          <w:ilvl w:val="0"/>
          <w:numId w:val="0"/>
        </w:numPr>
        <w:rPr>
          <w:u w:val="single"/>
        </w:rPr>
      </w:pPr>
      <w:r>
        <w:rPr>
          <w:b/>
          <w:bCs/>
          <w:u w:val="single"/>
        </w:rPr>
        <w:t>L’APERÇU</w:t>
      </w:r>
    </w:p>
    <w:p w:rsidR="00C74B6F" w:rsidRDefault="00410B6C">
      <w:pPr>
        <w:pStyle w:val="corpsdedcision"/>
      </w:pPr>
      <w:r>
        <w:t>Madame Mélanie Leduc occupe l’emploi de commissaire pour l’employeur, Anciens Combattants Canada. Dans le cadre de ses fonctions, la travailleuse doit se déplacer fréquemment en avion</w:t>
      </w:r>
      <w:r w:rsidR="00854749">
        <w:t>, afin de participer à des audiences partout au Canada</w:t>
      </w:r>
      <w:r>
        <w:t xml:space="preserve">. Elle allègue avoir subi une lésion professionnelle le 12 février 2020, soit des otites sévères, </w:t>
      </w:r>
      <w:r w:rsidR="002F191E">
        <w:t>au moment de</w:t>
      </w:r>
      <w:r>
        <w:t xml:space="preserve"> l’atterrissage de l’avion dans lequel elle se trouvait.</w:t>
      </w:r>
    </w:p>
    <w:p w:rsidR="00410B6C" w:rsidRPr="00410B6C" w:rsidRDefault="00410B6C" w:rsidP="006265F9">
      <w:pPr>
        <w:pStyle w:val="corpsdedcision"/>
      </w:pPr>
      <w:r>
        <w:t xml:space="preserve">Le 16 novembre 2021, la Commission des normes, de l’équité, de la santé et de la sécurité du travail déclare, à la suite d’une révision administrative, que la travailleuse n’a pas subi de lésion professionnelle et qu’elle n’a pas droit aux prestations prévues à la </w:t>
      </w:r>
      <w:r w:rsidRPr="00C57EEB">
        <w:rPr>
          <w:i/>
          <w:iCs/>
        </w:rPr>
        <w:t>Loi sur les accidents du travail et les maladies professionnelles</w:t>
      </w:r>
      <w:r>
        <w:rPr>
          <w:rStyle w:val="Appelnotedebasdep"/>
        </w:rPr>
        <w:footnoteReference w:id="1"/>
      </w:r>
      <w:r>
        <w:rPr>
          <w:iCs/>
        </w:rPr>
        <w:t>. La travailleuse conteste cette décision devant le Tribunal.</w:t>
      </w:r>
    </w:p>
    <w:p w:rsidR="00410B6C" w:rsidRDefault="006C3394" w:rsidP="006265F9">
      <w:pPr>
        <w:pStyle w:val="corpsdedcision"/>
      </w:pPr>
      <w:r>
        <w:t>La travailleuse demande au Tribunal d’infirmer la décision de la Commission et de reconnaitre que les otites correspondent à une lésion professionnelle. Elle soumet que les professionnels de la santé rencontrés ont reconnu le lien entre son déplacement en avion et l’apparition des otites. L’employeur, absent à l’audience, ne fait aucun commentaire.</w:t>
      </w:r>
    </w:p>
    <w:p w:rsidR="006C3394" w:rsidRDefault="006C3394" w:rsidP="006265F9">
      <w:pPr>
        <w:pStyle w:val="corpsdedcision"/>
      </w:pPr>
      <w:r>
        <w:t xml:space="preserve">Pour les motifs qui suivent, le Tribunal accueille la contestation de la travailleuse. </w:t>
      </w:r>
      <w:r w:rsidR="00854749">
        <w:t>Cette dernière</w:t>
      </w:r>
      <w:r>
        <w:t xml:space="preserve"> démontre de façon prépondérante avoir subi une lésio</w:t>
      </w:r>
      <w:r w:rsidR="005F7F61">
        <w:t>n professionnelle</w:t>
      </w:r>
      <w:r w:rsidR="00854749">
        <w:t xml:space="preserve"> à l’occasion du travail</w:t>
      </w:r>
      <w:r w:rsidR="005F7F61">
        <w:t xml:space="preserve"> le 12 février </w:t>
      </w:r>
      <w:r>
        <w:t>2020, attribuable à la pressurisation de la cabine d’avion durant l’atterrissage.</w:t>
      </w:r>
    </w:p>
    <w:p w:rsidR="00082A97" w:rsidRDefault="00082A97" w:rsidP="006265F9">
      <w:pPr>
        <w:pStyle w:val="corpsdedcision"/>
        <w:numPr>
          <w:ilvl w:val="0"/>
          <w:numId w:val="0"/>
        </w:numPr>
        <w:rPr>
          <w:b/>
          <w:bCs/>
          <w:u w:val="single"/>
        </w:rPr>
      </w:pPr>
      <w:r w:rsidRPr="00B51F99">
        <w:rPr>
          <w:b/>
          <w:bCs/>
          <w:u w:val="single"/>
        </w:rPr>
        <w:t>L</w:t>
      </w:r>
      <w:r>
        <w:rPr>
          <w:b/>
          <w:bCs/>
          <w:u w:val="single"/>
        </w:rPr>
        <w:t>’ANALYSE</w:t>
      </w:r>
    </w:p>
    <w:p w:rsidR="00EA597F" w:rsidRPr="0007198B" w:rsidRDefault="00EA597F" w:rsidP="006265F9">
      <w:pPr>
        <w:pStyle w:val="corpsdedcision"/>
      </w:pPr>
      <w:r>
        <w:t xml:space="preserve">Le Tribunal doit déterminer si la travailleuse a subi une lésion professionnelle le 12 février 2020, soit des otites sévères. </w:t>
      </w:r>
      <w:r w:rsidRPr="0007198B">
        <w:t>L’article 2 de la Loi définit la lésion professionnelle comme étant « </w:t>
      </w:r>
      <w:r w:rsidRPr="0007198B">
        <w:rPr>
          <w:i/>
          <w:sz w:val="22"/>
          <w:szCs w:val="22"/>
        </w:rPr>
        <w:t>une blessure ou une maladie qui survient par le fait ou à l’occasion d’un accident du travail, ou une maladie professionnelle, y compris la récidive, la rechute ou l’aggravation</w:t>
      </w:r>
      <w:r w:rsidRPr="0007198B">
        <w:t> ».</w:t>
      </w:r>
    </w:p>
    <w:p w:rsidR="004D45EB" w:rsidRDefault="00EA597F" w:rsidP="006265F9">
      <w:pPr>
        <w:pStyle w:val="corpsdedcision"/>
      </w:pPr>
      <w:r>
        <w:t xml:space="preserve">En l’espèce, </w:t>
      </w:r>
      <w:r w:rsidR="004D45EB">
        <w:t>les explications de la travailleuse suggèrent fortement qu’elle considère avoi</w:t>
      </w:r>
      <w:r w:rsidR="00D11E14">
        <w:t>r subi un accident du travail</w:t>
      </w:r>
      <w:r w:rsidR="004D45EB">
        <w:t xml:space="preserve">. Elle </w:t>
      </w:r>
      <w:r w:rsidR="00D11E14">
        <w:t>indique</w:t>
      </w:r>
      <w:r w:rsidR="004D45EB">
        <w:t xml:space="preserve"> </w:t>
      </w:r>
      <w:r w:rsidR="00854749">
        <w:t>qu’une douleur aigu</w:t>
      </w:r>
      <w:r w:rsidR="00CA0F08">
        <w:t>ë</w:t>
      </w:r>
      <w:r w:rsidR="00854749">
        <w:t xml:space="preserve"> aux oreilles apparait </w:t>
      </w:r>
      <w:r w:rsidR="004D45EB">
        <w:t xml:space="preserve">à un moment précis, soit </w:t>
      </w:r>
      <w:r w:rsidR="00854749">
        <w:t>lors des instants qui précèdent</w:t>
      </w:r>
      <w:r w:rsidR="004D45EB">
        <w:t xml:space="preserve"> l’atterrissage d’un avion en </w:t>
      </w:r>
      <w:r w:rsidR="00854749">
        <w:t>direction</w:t>
      </w:r>
      <w:r w:rsidR="004D45EB">
        <w:t xml:space="preserve"> de </w:t>
      </w:r>
      <w:r w:rsidR="00854749">
        <w:t>Toronto</w:t>
      </w:r>
      <w:r w:rsidR="004D45EB">
        <w:t xml:space="preserve">, le </w:t>
      </w:r>
      <w:r w:rsidR="00854749">
        <w:t>12 février 2020</w:t>
      </w:r>
      <w:r w:rsidR="004D45EB">
        <w:t>. Elle n’allègue pas que la douleur aux oreilles et les autres symptômes se seraient manifesté</w:t>
      </w:r>
      <w:r w:rsidR="00D11E14">
        <w:t>s</w:t>
      </w:r>
      <w:r w:rsidR="004D45EB">
        <w:t xml:space="preserve"> de façon graduelle, ce qui aurait pu suggérer une maladie. Le Tribunal analysera donc sa réclamation en tant qu’accident du travail.</w:t>
      </w:r>
    </w:p>
    <w:p w:rsidR="00EA597F" w:rsidRDefault="00EA597F" w:rsidP="000C467C">
      <w:pPr>
        <w:pStyle w:val="corpsdedcision"/>
        <w:spacing w:after="300"/>
      </w:pPr>
      <w:r w:rsidRPr="0007198B">
        <w:t>L’article 28 de la Loi prévoit une présomption afin d’alléger le fardeau de preuve d</w:t>
      </w:r>
      <w:r>
        <w:t>e la travailleuse si elle</w:t>
      </w:r>
      <w:r w:rsidRPr="0007198B">
        <w:t xml:space="preserve"> démontre de façon prépondérante :</w:t>
      </w:r>
    </w:p>
    <w:p w:rsidR="00EA597F" w:rsidRDefault="00EA597F" w:rsidP="000C467C">
      <w:pPr>
        <w:pStyle w:val="corpsdedcision"/>
        <w:numPr>
          <w:ilvl w:val="0"/>
          <w:numId w:val="12"/>
        </w:numPr>
        <w:spacing w:after="300"/>
      </w:pPr>
      <w:r>
        <w:t>Une blessure;</w:t>
      </w:r>
    </w:p>
    <w:p w:rsidR="00EA597F" w:rsidRDefault="00EA597F" w:rsidP="000C467C">
      <w:pPr>
        <w:pStyle w:val="corpsdedcision"/>
        <w:numPr>
          <w:ilvl w:val="0"/>
          <w:numId w:val="12"/>
        </w:numPr>
        <w:spacing w:after="300"/>
      </w:pPr>
      <w:r>
        <w:t>Qui arrive sur les lieux du travail;</w:t>
      </w:r>
    </w:p>
    <w:p w:rsidR="00EA597F" w:rsidRPr="0007198B" w:rsidRDefault="00EA597F" w:rsidP="00EA597F">
      <w:pPr>
        <w:pStyle w:val="corpsdedcision"/>
        <w:numPr>
          <w:ilvl w:val="0"/>
          <w:numId w:val="12"/>
        </w:numPr>
      </w:pPr>
      <w:r>
        <w:t>Alors qu’elle est à son travail.</w:t>
      </w:r>
    </w:p>
    <w:p w:rsidR="00EA597F" w:rsidRDefault="00854749" w:rsidP="006265F9">
      <w:pPr>
        <w:pStyle w:val="corpsdedcision"/>
      </w:pPr>
      <w:r>
        <w:t>En l’espèce, cette présomption ne s’applique pas à la réclamation de la travailleuse. En effet, elle convient qu’elle n’est pas sur les lieux du travail, en train d’exercer ses fonctions de commissaire, au moment de l’accident allégué. Elle est plutôt en déplacement pour retourner chez elle, dans la région de Montréal, à la suite d’une audience à Edmonton.</w:t>
      </w:r>
    </w:p>
    <w:p w:rsidR="00854749" w:rsidRDefault="00854749" w:rsidP="006265F9">
      <w:pPr>
        <w:pStyle w:val="corpsdedcision"/>
      </w:pPr>
      <w:r>
        <w:t xml:space="preserve">Par conséquent, le Tribunal doit analyser la réclamation sous l’angle </w:t>
      </w:r>
      <w:r w:rsidR="005B6630">
        <w:t>de l’article 2 de la Loi. Cet article</w:t>
      </w:r>
      <w:r w:rsidR="005F7E4D">
        <w:rPr>
          <w:rFonts w:cs="Arial"/>
          <w:color w:val="000000"/>
        </w:rPr>
        <w:t xml:space="preserve"> définit l’accident du travail comme étant un événement imprévu et soudain, attribuable à toute cause, survenant par le fait ou à l’occasion du travail et entrainant une lésion professionnelle.</w:t>
      </w:r>
    </w:p>
    <w:p w:rsidR="00164637" w:rsidRDefault="00164637" w:rsidP="006265F9">
      <w:pPr>
        <w:pStyle w:val="corpsdedcision"/>
        <w:numPr>
          <w:ilvl w:val="0"/>
          <w:numId w:val="0"/>
        </w:numPr>
        <w:rPr>
          <w:u w:val="single"/>
        </w:rPr>
      </w:pPr>
      <w:r w:rsidRPr="00164637">
        <w:rPr>
          <w:u w:val="single"/>
        </w:rPr>
        <w:t>L’événement imprévu et soudain</w:t>
      </w:r>
    </w:p>
    <w:p w:rsidR="000D1A54" w:rsidRDefault="006C6903" w:rsidP="006265F9">
      <w:pPr>
        <w:pStyle w:val="corpsdedcision"/>
      </w:pPr>
      <w:r>
        <w:t xml:space="preserve">La travailleuse doit tout d’abord démontrer la survenance d’un événement imprévu et soudain. </w:t>
      </w:r>
      <w:r w:rsidR="000D1A54" w:rsidRPr="000B3ADD">
        <w:t>La jurisprudence définit cette notion comme un événement qui arrive de façon fortuite ou inattendue et qui se manifeste brusquement ou instantanément</w:t>
      </w:r>
      <w:r w:rsidR="000D1A54" w:rsidRPr="000B3ADD">
        <w:rPr>
          <w:rStyle w:val="Appelnotedebasdep"/>
        </w:rPr>
        <w:footnoteReference w:id="2"/>
      </w:r>
      <w:r w:rsidR="000D1A54" w:rsidRPr="000B3ADD">
        <w:t xml:space="preserve">. Cet événement peut tout de même survenir </w:t>
      </w:r>
      <w:r w:rsidR="000D1A54">
        <w:t>dans le cadre d’un geste délibéré ou de l’exécution de tâches normales du</w:t>
      </w:r>
      <w:r w:rsidR="000D1A54" w:rsidRPr="000B3ADD">
        <w:t xml:space="preserve"> travail</w:t>
      </w:r>
      <w:r w:rsidR="000D1A54" w:rsidRPr="000B3ADD">
        <w:rPr>
          <w:rStyle w:val="Appelnotedebasdep"/>
        </w:rPr>
        <w:footnoteReference w:id="3"/>
      </w:r>
      <w:r w:rsidR="000D1A54" w:rsidRPr="000B3ADD">
        <w:t xml:space="preserve">. </w:t>
      </w:r>
      <w:r w:rsidR="000D1A54">
        <w:t>Il peut s’agir également d’un fait contigu, indivisible ou encore concomitant à d’autres événements</w:t>
      </w:r>
      <w:r w:rsidR="000D1A54">
        <w:rPr>
          <w:rStyle w:val="Appelnotedebasdep"/>
        </w:rPr>
        <w:footnoteReference w:id="4"/>
      </w:r>
      <w:r w:rsidR="000D1A54">
        <w:t xml:space="preserve">. </w:t>
      </w:r>
      <w:r w:rsidR="00D11E14">
        <w:t>Finalement</w:t>
      </w:r>
      <w:r w:rsidR="000D1A54" w:rsidRPr="000B3ADD">
        <w:t xml:space="preserve">, cette notion s’interprète de façon large et peut inclure, dans certaines circonstances, </w:t>
      </w:r>
      <w:r w:rsidR="000D1A54" w:rsidRPr="000B3ADD">
        <w:rPr>
          <w:rFonts w:cs="Arial"/>
          <w:color w:val="000000"/>
          <w:shd w:val="clear" w:color="auto" w:fill="FFFFFF"/>
        </w:rPr>
        <w:t>un cumul d’événements qui surviendraient sur une période de temps plus longue</w:t>
      </w:r>
      <w:r w:rsidR="000D1A54" w:rsidRPr="000B3ADD">
        <w:rPr>
          <w:rStyle w:val="Appelnotedebasdep"/>
        </w:rPr>
        <w:footnoteReference w:id="5"/>
      </w:r>
      <w:r w:rsidR="000D1A54" w:rsidRPr="000B3ADD">
        <w:t>.</w:t>
      </w:r>
    </w:p>
    <w:p w:rsidR="000D1A54" w:rsidRDefault="0076263A" w:rsidP="006265F9">
      <w:pPr>
        <w:pStyle w:val="corpsdedcision"/>
      </w:pPr>
      <w:r>
        <w:t>Par ailleurs, l</w:t>
      </w:r>
      <w:r w:rsidR="000D1A54">
        <w:t xml:space="preserve">a preuve de la survenance d’un événement imprévu et soudain peut se faire par présomption de fait, en présence </w:t>
      </w:r>
      <w:r w:rsidR="00E017A6">
        <w:t>d’é</w:t>
      </w:r>
      <w:r>
        <w:t>léments circonstanciels</w:t>
      </w:r>
      <w:r w:rsidR="00E017A6">
        <w:t xml:space="preserve"> </w:t>
      </w:r>
      <w:r w:rsidR="000D1A54">
        <w:t>suffisamment précis, graves et concordants</w:t>
      </w:r>
      <w:r w:rsidR="000D1A54">
        <w:rPr>
          <w:rStyle w:val="Appelnotedebasdep"/>
        </w:rPr>
        <w:footnoteReference w:id="6"/>
      </w:r>
      <w:r w:rsidR="000D1A54">
        <w:t>.</w:t>
      </w:r>
      <w:r w:rsidR="00E017A6">
        <w:t xml:space="preserve"> Une preuve directe n’est donc pas obligatoire, dépendamment des circonstances.</w:t>
      </w:r>
    </w:p>
    <w:p w:rsidR="00E017A6" w:rsidRPr="000B3ADD" w:rsidRDefault="003D3C5A" w:rsidP="000D1A54">
      <w:pPr>
        <w:pStyle w:val="corpsdedcision"/>
      </w:pPr>
      <w:r>
        <w:t xml:space="preserve">Dans le présent dossier, la preuve permet de présumer qu’un événement imprévu et soudain survient le </w:t>
      </w:r>
      <w:r w:rsidR="003651F4">
        <w:t>12 février 2020</w:t>
      </w:r>
      <w:r>
        <w:t xml:space="preserve">. En effet, </w:t>
      </w:r>
      <w:r w:rsidR="0076263A">
        <w:t>l’atterrissage</w:t>
      </w:r>
      <w:r w:rsidR="006F72D1">
        <w:t xml:space="preserve"> de l’avion</w:t>
      </w:r>
      <w:r>
        <w:t xml:space="preserve">, comme le relate la travailleuse, </w:t>
      </w:r>
      <w:r w:rsidR="006F72D1">
        <w:t xml:space="preserve">correspond à une série </w:t>
      </w:r>
      <w:r w:rsidR="00050656">
        <w:t>d’éléments</w:t>
      </w:r>
      <w:r w:rsidR="006F72D1">
        <w:t xml:space="preserve"> suffisamment graves et précis pour conclure au caractère imp</w:t>
      </w:r>
      <w:r w:rsidR="000C467C">
        <w:t>révu et soudain de l’événement.</w:t>
      </w:r>
    </w:p>
    <w:p w:rsidR="005F7E4D" w:rsidRDefault="0076263A" w:rsidP="005F7E4D">
      <w:pPr>
        <w:pStyle w:val="corpsdedcision"/>
      </w:pPr>
      <w:r>
        <w:t xml:space="preserve">La travailleuse, à titre de commissaire, doit se </w:t>
      </w:r>
      <w:r w:rsidR="00671A55">
        <w:t>rendre</w:t>
      </w:r>
      <w:r>
        <w:t xml:space="preserve"> partout au Canada afin de participer aux audiences d’un </w:t>
      </w:r>
      <w:r w:rsidRPr="002C48EA">
        <w:t xml:space="preserve">tribunal administratif. </w:t>
      </w:r>
      <w:r w:rsidR="00671A55" w:rsidRPr="002C48EA">
        <w:t>Pour y parvenir, elle se déplace fréquemment en avion, aux frais de l’employeur.</w:t>
      </w:r>
    </w:p>
    <w:p w:rsidR="00B87614" w:rsidRDefault="00671A55" w:rsidP="005F7E4D">
      <w:pPr>
        <w:pStyle w:val="corpsdedcision"/>
      </w:pPr>
      <w:r>
        <w:t xml:space="preserve">Le 10 février 2020, la travailleuse </w:t>
      </w:r>
      <w:r w:rsidR="00DA680E">
        <w:t>se rend</w:t>
      </w:r>
      <w:r>
        <w:t xml:space="preserve"> à Edmonton, pour une assignation d’une durée de trois jours. Le vol direct, de Montréal à Edmonton, se déroule sans problème. Le lendemain de son arrivée, la travailleuse ressent des symptômes légers de rhume, soit une congestion nasale. Elle se </w:t>
      </w:r>
      <w:r w:rsidR="00B87614">
        <w:t>rend dans une pharmacie et informe le pharmacien qu’elle doit prendre l’avion le jour suivant. On lui vend un vaporisateur nasal et des décongestionnants.</w:t>
      </w:r>
    </w:p>
    <w:p w:rsidR="00671A55" w:rsidRDefault="00B87614" w:rsidP="005F7E4D">
      <w:pPr>
        <w:pStyle w:val="corpsdedcision"/>
      </w:pPr>
      <w:r>
        <w:t>Le trajet du retour, le 12 février 2020, s’effectue avec une escale à Toronto. Lors de l’atterrissage du premier vol, les deux oreilles de la travailleuse se bouchent complètement et elle ressent une douleur intense</w:t>
      </w:r>
      <w:r w:rsidR="00CE0066">
        <w:t>, qui affecte plus particulièrement l’oreille gauche</w:t>
      </w:r>
      <w:r>
        <w:t>. Elle remarque une diminution importante de son audition</w:t>
      </w:r>
      <w:r w:rsidR="00CE0066">
        <w:t xml:space="preserve"> qui persiste dans le temps</w:t>
      </w:r>
      <w:r>
        <w:t xml:space="preserve">. Après avoir débarqué de l’avion, elle se rend au service à la clientèle de la compagnie aérienne et informe un agent de la situation. On l’installe alors en première classe pour le vol Toronto-Montréal et les agents lui </w:t>
      </w:r>
      <w:r w:rsidR="00CE0066">
        <w:t>donnent des consignes afin d’essayer de diminuer son inconfort.</w:t>
      </w:r>
    </w:p>
    <w:p w:rsidR="00CE0066" w:rsidRDefault="00CE0066" w:rsidP="005F7E4D">
      <w:pPr>
        <w:pStyle w:val="corpsdedcision"/>
      </w:pPr>
      <w:r>
        <w:t xml:space="preserve">La travailleuse </w:t>
      </w:r>
      <w:r w:rsidR="00B906B1">
        <w:t>atterrit</w:t>
      </w:r>
      <w:r>
        <w:t xml:space="preserve"> à Montréal vers 22</w:t>
      </w:r>
      <w:r w:rsidR="00E11661">
        <w:t> </w:t>
      </w:r>
      <w:r>
        <w:t>h. Ses oreilles sont toujours bouchées, avec présence d’un bourdonnement consta</w:t>
      </w:r>
      <w:r w:rsidR="003651F4">
        <w:t>n</w:t>
      </w:r>
      <w:r>
        <w:t xml:space="preserve">t. Le lendemain, soit le 13 février 2020, elle se rend dans une clinique médicale afin de rencontrer un médecin. </w:t>
      </w:r>
      <w:r w:rsidR="00387822">
        <w:t>Ce dernier</w:t>
      </w:r>
      <w:r>
        <w:t xml:space="preserve"> retient, selon la note clinique déposée en preuve, </w:t>
      </w:r>
      <w:r w:rsidR="00387822">
        <w:t>que la travailleuse souffre d’une douleur importante à l’oreille gauche depuis la descente de l’avion dans lequel elle se trouvait. Il ajoute que la travailleuse présente d’autres symptômes compatibles avec une sinusite (douleur maxillaire, céphalées, toux) et lui prescrit des antibiotiques.</w:t>
      </w:r>
    </w:p>
    <w:p w:rsidR="00387822" w:rsidRDefault="00387822" w:rsidP="005F7E4D">
      <w:pPr>
        <w:pStyle w:val="corpsdedcision"/>
      </w:pPr>
      <w:r>
        <w:t xml:space="preserve">Dans les jours qui suivent, les symptômes aux oreilles persistent et la travailleuse prend un rendez-vous avec une oto-rhino-laryngologiste, qui la rencontre finalement le 20 février 2020. La spécialiste retient le diagnostic d’otites sévères très importantes bilatérales, avec échec du traitement médical. Elle procède la journée même à </w:t>
      </w:r>
      <w:r w:rsidR="00B906B1">
        <w:t xml:space="preserve">une myringotomie, soit </w:t>
      </w:r>
      <w:r>
        <w:t>la p</w:t>
      </w:r>
      <w:r w:rsidR="00B906B1">
        <w:t xml:space="preserve">ose de tubes dans les oreilles. La travailleuse est alors </w:t>
      </w:r>
      <w:r w:rsidR="00050656">
        <w:t xml:space="preserve">mise </w:t>
      </w:r>
      <w:r w:rsidR="00B906B1">
        <w:t>en arrêt de travail pour deux semaines</w:t>
      </w:r>
      <w:r w:rsidR="00050656">
        <w:t>. Elle reprend ses activités professionnelles par la suite.</w:t>
      </w:r>
    </w:p>
    <w:p w:rsidR="00B906B1" w:rsidRDefault="004D2EBF" w:rsidP="005F7E4D">
      <w:pPr>
        <w:pStyle w:val="corpsdedcision"/>
      </w:pPr>
      <w:r>
        <w:t xml:space="preserve">Le Tribunal retient que les circonstances relatives à l’atterrissage de l’avion à Toronto, telles que décrites par la travailleuse, correspondent à un événement imprévu et soudain au sens de l’article 2 de la Loi. Il est vrai que la travailleuse n’identifie pas d’incident </w:t>
      </w:r>
      <w:r w:rsidR="00CC0888">
        <w:t>spécifique</w:t>
      </w:r>
      <w:r>
        <w:t xml:space="preserve"> au moment de l’atterrissage. Cependant, en conformité avec les principes jurisprudentiels applicables, elle n’a pas l’obligation de présenter une telle preuve. Les faits mis en preuve permettent</w:t>
      </w:r>
      <w:r w:rsidR="006E59A7">
        <w:t xml:space="preserve"> en effet</w:t>
      </w:r>
      <w:r>
        <w:t xml:space="preserve"> d’inférer le caractère imprévu et soudain de l’événement.</w:t>
      </w:r>
    </w:p>
    <w:p w:rsidR="004D2EBF" w:rsidRDefault="004D2EBF" w:rsidP="00A8665E">
      <w:pPr>
        <w:pStyle w:val="corpsdedcision"/>
      </w:pPr>
      <w:r>
        <w:t>Tout d’abord, la travailleuse rapporte l’apparition des symptômes</w:t>
      </w:r>
      <w:r w:rsidR="008D029C">
        <w:t xml:space="preserve"> majeurs</w:t>
      </w:r>
      <w:r>
        <w:t>, soit une douleur intense qui concerne les deux oreil</w:t>
      </w:r>
      <w:r w:rsidR="008D029C">
        <w:t xml:space="preserve">les, avec sensation de blocage, au moment précis où l’avion atterrit à Toronto. L’apparition de la douleur à ce moment </w:t>
      </w:r>
      <w:r w:rsidR="006E59A7">
        <w:t>spécifique</w:t>
      </w:r>
      <w:r w:rsidR="008D029C">
        <w:t xml:space="preserve"> suggère fortement l’existence d’un lien avec l’atterrissage.</w:t>
      </w:r>
    </w:p>
    <w:p w:rsidR="008D029C" w:rsidRDefault="008D029C" w:rsidP="00A8665E">
      <w:pPr>
        <w:pStyle w:val="corpsdedcision"/>
      </w:pPr>
      <w:r>
        <w:t>Par ailleurs, la descente en</w:t>
      </w:r>
      <w:r w:rsidR="00B569CC">
        <w:t xml:space="preserve"> avion est directement associée à</w:t>
      </w:r>
      <w:r w:rsidR="002C48EA">
        <w:t xml:space="preserve"> </w:t>
      </w:r>
      <w:r>
        <w:t xml:space="preserve">un risque accru de subir un traumatisme au niveau des tympans. À ce sujet, l’otite barotraumatique correspond à une lésion des tissus de l’oreille </w:t>
      </w:r>
      <w:r w:rsidR="00353AFE">
        <w:t xml:space="preserve">moyenne </w:t>
      </w:r>
      <w:r>
        <w:t>provoquée par une augmentation brutale de la pression, comme en plongée sous-marine ou lors de la perte d’altitude d’un avion.</w:t>
      </w:r>
      <w:r w:rsidR="00353AFE">
        <w:t xml:space="preserve"> Le barotraumatisme est attribuable à un dysfonctionnement de la tromp</w:t>
      </w:r>
      <w:r w:rsidR="000C467C">
        <w:t>e </w:t>
      </w:r>
      <w:r w:rsidR="00353AFE">
        <w:t xml:space="preserve">d’Eustache et </w:t>
      </w:r>
      <w:r w:rsidR="00CC0888">
        <w:t>peut survenir en phase</w:t>
      </w:r>
      <w:r w:rsidR="00353AFE">
        <w:t xml:space="preserve"> de compression, qui arrive notamment</w:t>
      </w:r>
      <w:r w:rsidR="00CC0888">
        <w:t xml:space="preserve"> </w:t>
      </w:r>
      <w:r w:rsidR="00DF70F0">
        <w:t>durant</w:t>
      </w:r>
      <w:r w:rsidR="00CC0888">
        <w:t xml:space="preserve"> l’atterrissage</w:t>
      </w:r>
      <w:r w:rsidR="00353AFE">
        <w:t>. Les symptômes associés sont une otalgie croissante avec compression, accompagnée d’acouphène, d’hypoacousie et de sensation d’oreille pleine</w:t>
      </w:r>
      <w:r w:rsidR="00353AFE">
        <w:rPr>
          <w:rStyle w:val="Appelnotedebasdep"/>
        </w:rPr>
        <w:footnoteReference w:id="7"/>
      </w:r>
      <w:r w:rsidR="00353AFE">
        <w:t>.</w:t>
      </w:r>
    </w:p>
    <w:p w:rsidR="00353AFE" w:rsidRDefault="00353AFE" w:rsidP="00A8665E">
      <w:pPr>
        <w:pStyle w:val="corpsdedcision"/>
      </w:pPr>
      <w:r>
        <w:t xml:space="preserve">Les symptômes rapportés par la travailleuse, qui apparaissent au moment précis de l’atterrissage, correspondent en tous points aux </w:t>
      </w:r>
      <w:r w:rsidR="001C48BD">
        <w:t>manifestations</w:t>
      </w:r>
      <w:r>
        <w:t xml:space="preserve"> d’une otite qui découle d’un barotraumatisme.</w:t>
      </w:r>
      <w:r w:rsidR="001C48BD">
        <w:t xml:space="preserve"> </w:t>
      </w:r>
      <w:r w:rsidR="000D532D">
        <w:t>Le Tribunal en déduit</w:t>
      </w:r>
      <w:r w:rsidR="001C48BD">
        <w:t xml:space="preserve"> que la travailleuse a subi une augmentation rapide et brutale de la pression atmosphérique </w:t>
      </w:r>
      <w:r w:rsidR="005F3121">
        <w:t>durant l’atterrissage</w:t>
      </w:r>
      <w:r w:rsidR="001C48BD">
        <w:t xml:space="preserve">, ce qui </w:t>
      </w:r>
      <w:r w:rsidR="00DF70F0">
        <w:t>représente</w:t>
      </w:r>
      <w:r w:rsidR="001C48BD">
        <w:t xml:space="preserve"> </w:t>
      </w:r>
      <w:r w:rsidR="00CC0888">
        <w:t>selon toute vraisemblance</w:t>
      </w:r>
      <w:r w:rsidR="001C48BD">
        <w:t xml:space="preserve"> un événement imprévu et soudain.</w:t>
      </w:r>
    </w:p>
    <w:p w:rsidR="00CC0888" w:rsidRDefault="00CC0888" w:rsidP="00A8665E">
      <w:pPr>
        <w:pStyle w:val="corpsdedcision"/>
      </w:pPr>
      <w:r>
        <w:t xml:space="preserve">De plus, les symptômes rapportés par la travailleuse ne peuvent pas être associés à une cause différente. Il est vrai que la travailleuse rapporte des symptômes légers, attribuables à un rhume ou une sinusite, </w:t>
      </w:r>
      <w:r w:rsidR="005F3121">
        <w:t>durant son assignation à Edmonton</w:t>
      </w:r>
      <w:r>
        <w:t>. Cependant, elle nie la présence de douleur aux oreilles avant l’atterrissage à Toronto. À ce sujet, le Tribunal ne voit aucun motif d’écarter le témoignage de la travailleuse, qui n’a pas été contredit et qui s’exprime sans hésitation</w:t>
      </w:r>
      <w:r w:rsidR="00F4401F">
        <w:t xml:space="preserve"> durant l’audience</w:t>
      </w:r>
      <w:r>
        <w:t>.</w:t>
      </w:r>
    </w:p>
    <w:p w:rsidR="00CC0888" w:rsidRDefault="00CC0888" w:rsidP="00A8665E">
      <w:pPr>
        <w:pStyle w:val="corpsdedcision"/>
      </w:pPr>
      <w:r>
        <w:t>Finalement, l’existence d’une légère condition personnelle, comme en l’espèce, demeure insuffisante pour rejeter la réclamation de la travailleuse. Aucune preuve médicale ne suggère que cette condition aurait contribué</w:t>
      </w:r>
      <w:r w:rsidR="00A32DEE">
        <w:t xml:space="preserve"> directement </w:t>
      </w:r>
      <w:r>
        <w:t>à l</w:t>
      </w:r>
      <w:r w:rsidR="00A32DEE">
        <w:t xml:space="preserve">’apparition des otites sévères. </w:t>
      </w:r>
      <w:r w:rsidR="009B16AA">
        <w:t xml:space="preserve">De plus, </w:t>
      </w:r>
      <w:r w:rsidRPr="00CC0888">
        <w:t>il faut prendre la personne humaine comme elle est, avec son âge, ses faiblesses et ses vicissitudes,</w:t>
      </w:r>
      <w:r w:rsidR="009B16AA">
        <w:t xml:space="preserve"> à moins de circonstances particulières,</w:t>
      </w:r>
      <w:r w:rsidRPr="00CC0888">
        <w:t xml:space="preserve"> comme l’indique la Cour d’appel dans l’affaire </w:t>
      </w:r>
      <w:r w:rsidRPr="009B16AA">
        <w:rPr>
          <w:i/>
        </w:rPr>
        <w:t>Chaput</w:t>
      </w:r>
      <w:r w:rsidRPr="00CC0888">
        <w:t xml:space="preserve"> et </w:t>
      </w:r>
      <w:r w:rsidRPr="009B16AA">
        <w:rPr>
          <w:i/>
        </w:rPr>
        <w:t>Société de transport de la C</w:t>
      </w:r>
      <w:r w:rsidR="009B16AA" w:rsidRPr="009B16AA">
        <w:rPr>
          <w:i/>
        </w:rPr>
        <w:t>ommunauté urbaine de Montréal</w:t>
      </w:r>
      <w:r w:rsidR="009B16AA">
        <w:rPr>
          <w:rStyle w:val="Appelnotedebasdep"/>
        </w:rPr>
        <w:footnoteReference w:id="8"/>
      </w:r>
      <w:r w:rsidRPr="00CC0888">
        <w:t>.</w:t>
      </w:r>
    </w:p>
    <w:p w:rsidR="009B16AA" w:rsidRDefault="00C61C21" w:rsidP="00A8665E">
      <w:pPr>
        <w:pStyle w:val="corpsdedcision"/>
        <w:keepLines/>
      </w:pPr>
      <w:r>
        <w:t>Relativement à la notion d’événement imprévu et soudain, l</w:t>
      </w:r>
      <w:r w:rsidR="00073E6F">
        <w:t>e Tribunal note que la Commission d’appel en matière de lésions professionnelles et la Commission des lésions professionnelle arrive</w:t>
      </w:r>
      <w:r w:rsidR="00C3515B">
        <w:t>nt</w:t>
      </w:r>
      <w:r w:rsidR="00073E6F">
        <w:t xml:space="preserve"> à la même conclusion dans deux affaires qui présentent une trame factuelle similaire à la réclamation de la travailleuse.</w:t>
      </w:r>
    </w:p>
    <w:p w:rsidR="00073E6F" w:rsidRDefault="00073E6F" w:rsidP="006265F9">
      <w:pPr>
        <w:pStyle w:val="corpsdedcision"/>
      </w:pPr>
      <w:r>
        <w:t xml:space="preserve">Dans </w:t>
      </w:r>
      <w:r w:rsidRPr="001023F6">
        <w:t xml:space="preserve">l’affaire </w:t>
      </w:r>
      <w:r w:rsidR="003F12E6" w:rsidRPr="001023F6">
        <w:rPr>
          <w:i/>
        </w:rPr>
        <w:t>Chevrette</w:t>
      </w:r>
      <w:r w:rsidR="003F12E6" w:rsidRPr="001023F6">
        <w:t xml:space="preserve"> et </w:t>
      </w:r>
      <w:r w:rsidR="003F12E6" w:rsidRPr="001023F6">
        <w:rPr>
          <w:i/>
        </w:rPr>
        <w:t>Commission Canadienne des Grains</w:t>
      </w:r>
      <w:r w:rsidRPr="001023F6">
        <w:rPr>
          <w:rStyle w:val="Appelnotedebasdep"/>
        </w:rPr>
        <w:footnoteReference w:id="9"/>
      </w:r>
      <w:r w:rsidR="00C3515B" w:rsidRPr="001023F6">
        <w:t>, le travailleur</w:t>
      </w:r>
      <w:r w:rsidR="00C3515B">
        <w:t xml:space="preserve"> constate que son oreille droite bouche lors de la descente de l’avion dans lequel il se trouve. Il consulte rapidement un oto-rhino-laryngologiste qui diagnostique une otite moyenne et pratique une myringotomie. </w:t>
      </w:r>
      <w:r w:rsidR="00C61C21">
        <w:t>Concernant</w:t>
      </w:r>
      <w:r w:rsidR="00C3515B">
        <w:t xml:space="preserve"> la démonstration d’un événement imprévu et soudain, la Commission d’appel en matière des lésions professionnelles écrit ce qui suit :</w:t>
      </w:r>
    </w:p>
    <w:p w:rsidR="00C3515B" w:rsidRPr="00E11661" w:rsidRDefault="00C3515B" w:rsidP="00A8665E">
      <w:pPr>
        <w:pStyle w:val="citation"/>
        <w:spacing w:after="300"/>
        <w:rPr>
          <w:highlight w:val="green"/>
        </w:rPr>
      </w:pPr>
      <w:r w:rsidRPr="002C48EA">
        <w:t>Ainsi, compte tenu que le travailleur n’était pas, selon la preuve, déjà atteint d’une otite avant le vol du 6 mars 1986, que son oreille droite n’a pas « débouchée » après ce vol comme c’était habituellement le cas, qu’une intervention chirurgicale a dû être pratiquée, la Commission d’appel est d’avis que de ces faits non contredits</w:t>
      </w:r>
      <w:r>
        <w:t xml:space="preserve"> </w:t>
      </w:r>
      <w:r w:rsidR="00B569CC">
        <w:t xml:space="preserve">se dégagent </w:t>
      </w:r>
      <w:r>
        <w:t xml:space="preserve">une </w:t>
      </w:r>
      <w:r w:rsidRPr="002C48EA">
        <w:t xml:space="preserve">présomption à l’effet qu’il a dû se produire quelque chose d’imprévu et soudain lors du vol du 6 mars </w:t>
      </w:r>
      <w:r w:rsidRPr="00B57EB8">
        <w:t>1986.</w:t>
      </w:r>
    </w:p>
    <w:p w:rsidR="00C3515B" w:rsidRDefault="00C3515B" w:rsidP="00A8665E">
      <w:pPr>
        <w:pStyle w:val="citation"/>
        <w:spacing w:after="300"/>
      </w:pPr>
      <w:r w:rsidRPr="001023F6">
        <w:t>La preuve ne révèle rien d’autre qui puisse expliquer l’otite diagnostiquée, le 13 mars 1986. Ce n’est pas parce qu’aucun événement précis ne peut être identifié qu’on ne peut conclure à un accident du travail et, éventuellement, à une indemnisation du travailleur.</w:t>
      </w:r>
    </w:p>
    <w:p w:rsidR="00B57EB8" w:rsidRDefault="00B57EB8" w:rsidP="00B57EB8">
      <w:pPr>
        <w:pStyle w:val="citation"/>
        <w:spacing w:after="360"/>
        <w:rPr>
          <w:sz w:val="24"/>
          <w:szCs w:val="24"/>
        </w:rPr>
      </w:pPr>
      <w:r w:rsidRPr="00B569CC">
        <w:rPr>
          <w:sz w:val="24"/>
          <w:szCs w:val="24"/>
        </w:rPr>
        <w:t>[Transcription textuelle]</w:t>
      </w:r>
    </w:p>
    <w:p w:rsidR="00C3515B" w:rsidRDefault="00C3515B" w:rsidP="003F12E6">
      <w:pPr>
        <w:pStyle w:val="corpsdedcision"/>
      </w:pPr>
      <w:r>
        <w:t xml:space="preserve">La Commission des lésions professionnelles reprend un raisonnement semblable dans l’affaire </w:t>
      </w:r>
      <w:r w:rsidR="003F12E6" w:rsidRPr="003F12E6">
        <w:rPr>
          <w:i/>
        </w:rPr>
        <w:t>Frégeau</w:t>
      </w:r>
      <w:r w:rsidR="003F12E6" w:rsidRPr="003F12E6">
        <w:t xml:space="preserve"> et</w:t>
      </w:r>
      <w:r w:rsidR="003F12E6">
        <w:t xml:space="preserve"> </w:t>
      </w:r>
      <w:r w:rsidR="003F12E6" w:rsidRPr="003F12E6">
        <w:rPr>
          <w:i/>
        </w:rPr>
        <w:t>Ministère de la Famille et de l’Enfance</w:t>
      </w:r>
      <w:r>
        <w:rPr>
          <w:rStyle w:val="Appelnotedebasdep"/>
        </w:rPr>
        <w:footnoteReference w:id="10"/>
      </w:r>
      <w:r>
        <w:t xml:space="preserve"> et </w:t>
      </w:r>
      <w:r w:rsidR="00946D7D">
        <w:t>reconnait</w:t>
      </w:r>
      <w:r>
        <w:t xml:space="preserve"> qu’un travailleur a subi une otite barotraumatique lors de l’atterrissage d’un avion.</w:t>
      </w:r>
    </w:p>
    <w:p w:rsidR="00946D7D" w:rsidRPr="00164637" w:rsidRDefault="00946D7D" w:rsidP="00C3515B">
      <w:pPr>
        <w:pStyle w:val="corpsdedcision"/>
      </w:pPr>
      <w:r>
        <w:t>Par conséquent, la travailleuse démontre de façon prépondérante la survenance d’un événement imprévu et soudain, associé à une augmentation de la pression, lors de l’atterrissage de l’avion dans lequel elle prenait place.</w:t>
      </w:r>
    </w:p>
    <w:p w:rsidR="00164637" w:rsidRDefault="00164637" w:rsidP="006265F9">
      <w:pPr>
        <w:pStyle w:val="corpsdedcision"/>
        <w:keepNext/>
        <w:numPr>
          <w:ilvl w:val="0"/>
          <w:numId w:val="0"/>
        </w:numPr>
        <w:rPr>
          <w:u w:val="single"/>
        </w:rPr>
      </w:pPr>
      <w:r w:rsidRPr="00164637">
        <w:rPr>
          <w:u w:val="single"/>
        </w:rPr>
        <w:t>L’événement qui survient à l’occasion du travail</w:t>
      </w:r>
    </w:p>
    <w:p w:rsidR="009F03D9" w:rsidRDefault="008177A4" w:rsidP="006265F9">
      <w:pPr>
        <w:pStyle w:val="corpsdedcision"/>
        <w:keepNext/>
      </w:pPr>
      <w:r>
        <w:t xml:space="preserve">La travailleuse n’allègue pas que l’événement </w:t>
      </w:r>
      <w:r w:rsidR="00B20EBC">
        <w:t xml:space="preserve">du 12 février 2020 </w:t>
      </w:r>
      <w:r>
        <w:t xml:space="preserve">serait survenu par le fait du travail, alors qu’elle exerçait ses </w:t>
      </w:r>
      <w:r w:rsidR="005F3121">
        <w:t>tâches</w:t>
      </w:r>
      <w:r>
        <w:t xml:space="preserve"> de commissaire. En fonction de la description de l’événement, le Tribunal comprend qu’elle considère </w:t>
      </w:r>
      <w:r w:rsidR="00B20EBC">
        <w:t>s’être blessée</w:t>
      </w:r>
      <w:r>
        <w:t xml:space="preserve"> à l’occasion du travail, soit durant un déplacement intimement relié à son travail.</w:t>
      </w:r>
    </w:p>
    <w:p w:rsidR="007A3172" w:rsidRPr="00C10AE0" w:rsidRDefault="007A3172" w:rsidP="000C467C">
      <w:pPr>
        <w:pStyle w:val="corpsdedcision"/>
      </w:pPr>
      <w:r w:rsidRPr="00C10AE0">
        <w:t>La notion d’événement qui survient à l’occasion du travail s’insp</w:t>
      </w:r>
      <w:r>
        <w:t xml:space="preserve">ire notamment des enseignements </w:t>
      </w:r>
      <w:r w:rsidRPr="00C10AE0">
        <w:t>de la Cour sup</w:t>
      </w:r>
      <w:r>
        <w:t xml:space="preserve">rême du Canada dans la décision </w:t>
      </w:r>
      <w:r>
        <w:rPr>
          <w:i/>
        </w:rPr>
        <w:t xml:space="preserve">Workmen's Compensation </w:t>
      </w:r>
      <w:r w:rsidRPr="00C10AE0">
        <w:rPr>
          <w:i/>
        </w:rPr>
        <w:t>Board v. C.P.R.</w:t>
      </w:r>
      <w:r w:rsidRPr="00C10AE0">
        <w:rPr>
          <w:vertAlign w:val="superscript"/>
        </w:rPr>
        <w:footnoteReference w:id="11"/>
      </w:r>
      <w:r w:rsidRPr="00C10AE0">
        <w:t xml:space="preserve"> qui insiste sur l’importance de distinguer ce qui appartient à la sphère professionnelle d’un travailleur, qui donnerait droit à l’indemnisation, de ce qui appartient seulement à sa sphère personnelle.</w:t>
      </w:r>
    </w:p>
    <w:p w:rsidR="007A3172" w:rsidRPr="00C10AE0" w:rsidRDefault="007A3172" w:rsidP="000C467C">
      <w:pPr>
        <w:pStyle w:val="corpsdedcision"/>
      </w:pPr>
      <w:r w:rsidRPr="00C10AE0">
        <w:t>L’événement survenu à l’occasion du travail</w:t>
      </w:r>
      <w:r w:rsidRPr="00C10AE0">
        <w:rPr>
          <w:i/>
        </w:rPr>
        <w:t xml:space="preserve"> </w:t>
      </w:r>
      <w:r w:rsidRPr="00C10AE0">
        <w:t>n’étant pas défini à la Loi, le Tribunal a élaboré une série d’éléments à considérer qui permettent d’évaluer la connexité entre les activités exercées au moment de l’événement et le travail</w:t>
      </w:r>
      <w:r>
        <w:t>. Ces éléments incluent notamment le lieu et le moment de l’événement, la rémunération de l’activité, sa finalité et le caractère de connexité ou d’utilité en regard de l’accomplissement du travail</w:t>
      </w:r>
      <w:r w:rsidRPr="00C10AE0">
        <w:rPr>
          <w:vertAlign w:val="superscript"/>
        </w:rPr>
        <w:footnoteReference w:id="12"/>
      </w:r>
      <w:r>
        <w:t>.</w:t>
      </w:r>
    </w:p>
    <w:p w:rsidR="007A3172" w:rsidRDefault="00C61C21" w:rsidP="000C467C">
      <w:pPr>
        <w:pStyle w:val="corpsdedcision"/>
      </w:pPr>
      <w:r>
        <w:t>La jurisprudence reconnait également</w:t>
      </w:r>
      <w:r w:rsidR="007A3172" w:rsidRPr="00C10AE0">
        <w:t xml:space="preserve"> qu’il n’est pas nécessaire que tous ces éléments soient présents pour établir qu’un événement soit survenu à l’occasion du travail. Chaque cas en étant un d’espèce, certains éléments peuvent avoir plus d’importance que d’autres, bien qu’aucun à lui seul ne soit décisif</w:t>
      </w:r>
      <w:r w:rsidR="007A3172" w:rsidRPr="00C10AE0">
        <w:rPr>
          <w:vertAlign w:val="superscript"/>
        </w:rPr>
        <w:footnoteReference w:id="13"/>
      </w:r>
      <w:r w:rsidR="007A3172" w:rsidRPr="00C10AE0">
        <w:t>.</w:t>
      </w:r>
    </w:p>
    <w:p w:rsidR="007A3172" w:rsidRDefault="007A3172" w:rsidP="000C467C">
      <w:pPr>
        <w:pStyle w:val="corpsdedcision"/>
      </w:pPr>
      <w:r>
        <w:t xml:space="preserve">En l’espèce, la situation </w:t>
      </w:r>
      <w:r w:rsidR="006060DF">
        <w:t xml:space="preserve">de la travailleuse, qui doit se déplacer en avion à l’extérieur du Québec pour accomplir ses fonctions, se rapproche d’un service commandé. </w:t>
      </w:r>
      <w:r w:rsidR="002B331B">
        <w:t xml:space="preserve">Elle demeure essentiellement </w:t>
      </w:r>
      <w:r w:rsidR="006060DF">
        <w:t xml:space="preserve">sous l’autorité de l’employeur durant son séjour à l’extérieur, </w:t>
      </w:r>
      <w:r w:rsidR="002B331B">
        <w:t xml:space="preserve">ce qui inclut les </w:t>
      </w:r>
      <w:r w:rsidR="006060DF">
        <w:t xml:space="preserve">transports </w:t>
      </w:r>
      <w:r w:rsidR="002B331B">
        <w:t>en avion et l</w:t>
      </w:r>
      <w:r w:rsidR="006060DF">
        <w:t>es couchers à l’hôtel.</w:t>
      </w:r>
      <w:r w:rsidR="002B331B">
        <w:t xml:space="preserve"> </w:t>
      </w:r>
      <w:r w:rsidR="00CC0C28">
        <w:t xml:space="preserve">La travailleuse n’est pas libre d’organiser ses déplacements interprovinciaux comme elle le souhaite, elle doit </w:t>
      </w:r>
      <w:r w:rsidR="00A32DEE">
        <w:t xml:space="preserve">plutôt </w:t>
      </w:r>
      <w:r w:rsidR="00CC0C28">
        <w:t xml:space="preserve">suivre les indications données par l’employeur. </w:t>
      </w:r>
      <w:r w:rsidR="002B331B">
        <w:t>La jurisprudence du Tribunal reconnait qu’une telle activité fait habituellement partie de la sphère professionnelle d’un travailleur</w:t>
      </w:r>
      <w:r w:rsidR="0001277D">
        <w:t>, à moins de circonstances particulières</w:t>
      </w:r>
      <w:r w:rsidR="002B331B">
        <w:rPr>
          <w:rStyle w:val="Appelnotedebasdep"/>
        </w:rPr>
        <w:footnoteReference w:id="14"/>
      </w:r>
      <w:r w:rsidR="002B331B">
        <w:t>.</w:t>
      </w:r>
    </w:p>
    <w:p w:rsidR="00B20EBC" w:rsidRDefault="00B20EBC" w:rsidP="006265F9">
      <w:pPr>
        <w:pStyle w:val="corpsdedcision"/>
        <w:keepLines/>
      </w:pPr>
      <w:r>
        <w:t>De l’avis du Tribunal, la situation de la travailleuse se distingue d’un accident de trajet, qui implique un déplacement</w:t>
      </w:r>
      <w:r w:rsidR="005F3121">
        <w:t xml:space="preserve"> </w:t>
      </w:r>
      <w:r w:rsidR="00C61C21">
        <w:t xml:space="preserve">routinier </w:t>
      </w:r>
      <w:r>
        <w:t xml:space="preserve">pour se rendre de son domicile à </w:t>
      </w:r>
      <w:r w:rsidR="00DF70F0">
        <w:t>son lieu de travail</w:t>
      </w:r>
      <w:r>
        <w:t>, et qui, de façon générale, n’entraine pas la reconnaissance d’une lésion professionnelle.</w:t>
      </w:r>
    </w:p>
    <w:p w:rsidR="00CC0C28" w:rsidRPr="00164637" w:rsidRDefault="00B20EBC" w:rsidP="00CC0C28">
      <w:pPr>
        <w:pStyle w:val="corpsdedcision"/>
      </w:pPr>
      <w:r>
        <w:t xml:space="preserve">Les déplacements de la travailleuse sont de longue durée et impliquent des distances </w:t>
      </w:r>
      <w:r w:rsidR="00A32DEE">
        <w:t>souvent</w:t>
      </w:r>
      <w:r>
        <w:t xml:space="preserve"> importantes. De plus, les frais qui en découlent sont à la charge de l’employeur. Les déplacements sont par ailleurs intimement reliés aux conditions de travail de la travailleuse, qui est appelée à participer à </w:t>
      </w:r>
      <w:r w:rsidRPr="002C48EA">
        <w:t>des audiences partout au pays.</w:t>
      </w:r>
      <w:r w:rsidR="00CC0C28" w:rsidRPr="002C48EA">
        <w:t xml:space="preserve"> L’employeur le reconnait lui-même dans une lettre signée le 3 novembre 2021, à</w:t>
      </w:r>
      <w:r w:rsidR="00CC0C28">
        <w:t xml:space="preserve"> l’attention de la Commission.</w:t>
      </w:r>
      <w:r>
        <w:t xml:space="preserve"> En tenant compte de l’ensemble de ces éléments, le Tribunal détermine que </w:t>
      </w:r>
      <w:r w:rsidR="00CC0C28">
        <w:t xml:space="preserve">le déplacement en </w:t>
      </w:r>
      <w:r w:rsidRPr="00B569CC">
        <w:t>avion</w:t>
      </w:r>
      <w:r>
        <w:t xml:space="preserve">, le 12 février 2020, </w:t>
      </w:r>
      <w:r w:rsidR="00CC0C28">
        <w:t xml:space="preserve">fait partie de la sphère professionnelle de la travailleuse. L’événement imprévu et soudain survient </w:t>
      </w:r>
      <w:r w:rsidR="00A32DEE">
        <w:t xml:space="preserve">conséquemment </w:t>
      </w:r>
      <w:r w:rsidR="00CC0C28">
        <w:t>à l’occasion du travail.</w:t>
      </w:r>
    </w:p>
    <w:p w:rsidR="00164637" w:rsidRPr="00164637" w:rsidRDefault="00164637" w:rsidP="00164637">
      <w:pPr>
        <w:pStyle w:val="corpsdedcision"/>
        <w:numPr>
          <w:ilvl w:val="0"/>
          <w:numId w:val="0"/>
        </w:numPr>
        <w:rPr>
          <w:u w:val="single"/>
        </w:rPr>
      </w:pPr>
      <w:r w:rsidRPr="00164637">
        <w:rPr>
          <w:u w:val="single"/>
        </w:rPr>
        <w:t>La r</w:t>
      </w:r>
      <w:r w:rsidR="005F7E4D">
        <w:rPr>
          <w:u w:val="single"/>
        </w:rPr>
        <w:t xml:space="preserve">elation entre l’événement et </w:t>
      </w:r>
      <w:r w:rsidR="009F03D9">
        <w:rPr>
          <w:u w:val="single"/>
        </w:rPr>
        <w:t>le diagnostic d’otites sévères</w:t>
      </w:r>
    </w:p>
    <w:p w:rsidR="0076402B" w:rsidRDefault="00CC0C28" w:rsidP="0076402B">
      <w:pPr>
        <w:pStyle w:val="corpsdedcision"/>
      </w:pPr>
      <w:r>
        <w:t>Reste la question du lien entre l’événement du 12 février 2020 et le diagnostic d’otites sévères.</w:t>
      </w:r>
      <w:r w:rsidR="0076402B">
        <w:t xml:space="preserve"> À ce sujet, la preuve disponible permet de conclure à l’existence du lien en question. La travailleuse rapporte immédiatement des symptômes importants, ce qui fait en sorte que la compagnie aérienne tente de l’accommoder dès son deuxième vol en direction de Montréal. Elle consulte le lendemain son</w:t>
      </w:r>
      <w:r w:rsidR="000C467C">
        <w:t xml:space="preserve"> médecin, puis rencontre un oto</w:t>
      </w:r>
      <w:r w:rsidR="000C467C">
        <w:noBreakHyphen/>
        <w:t>rhino</w:t>
      </w:r>
      <w:r w:rsidR="000C467C">
        <w:noBreakHyphen/>
      </w:r>
      <w:r w:rsidR="0076402B">
        <w:t>laryngologiste la semaine suivante. À la demande</w:t>
      </w:r>
      <w:r w:rsidR="000C467C">
        <w:t xml:space="preserve"> de la travailleuse, le médecin </w:t>
      </w:r>
      <w:r w:rsidR="0076402B">
        <w:t>spécialiste rédige une lettre où il indique ce qui suit : « </w:t>
      </w:r>
      <w:r w:rsidR="0076402B" w:rsidRPr="0076402B">
        <w:rPr>
          <w:i/>
          <w:sz w:val="22"/>
          <w:szCs w:val="22"/>
        </w:rPr>
        <w:t xml:space="preserve">Je considère que bien que la patiente était congestionnée avant le vol, n’eût été du vol nécessaire </w:t>
      </w:r>
      <w:r w:rsidR="002C48EA" w:rsidRPr="00B569CC">
        <w:rPr>
          <w:i/>
          <w:sz w:val="22"/>
          <w:szCs w:val="22"/>
        </w:rPr>
        <w:t>pour</w:t>
      </w:r>
      <w:r w:rsidR="0076402B" w:rsidRPr="0076402B">
        <w:rPr>
          <w:i/>
          <w:sz w:val="22"/>
          <w:szCs w:val="22"/>
        </w:rPr>
        <w:t xml:space="preserve"> son travail, la patiente n’aurait probablement pas eu de complication otologique</w:t>
      </w:r>
      <w:r w:rsidR="0076402B">
        <w:t> ».</w:t>
      </w:r>
    </w:p>
    <w:p w:rsidR="0076402B" w:rsidRDefault="0076402B" w:rsidP="002C1323">
      <w:pPr>
        <w:pStyle w:val="corpsdedcision"/>
      </w:pPr>
      <w:r>
        <w:t xml:space="preserve">Finalement, aucune preuve médicale ne suggère une autre cause pouvant expliquer les otites bilatérales. Les symptômes légers de la travailleuse, ressentis dans les </w:t>
      </w:r>
      <w:r w:rsidRPr="002C48EA">
        <w:t>jours qui précèdent l’événement, ne sont pas associés aux otites, comme le confirme le spécialiste qui l’opère. Le</w:t>
      </w:r>
      <w:r>
        <w:t xml:space="preserve"> Tribunal ne voit aucun motif de conclure différemment.</w:t>
      </w:r>
    </w:p>
    <w:p w:rsidR="0076402B" w:rsidRDefault="0076402B" w:rsidP="002C1323">
      <w:pPr>
        <w:pStyle w:val="corpsdedcision"/>
      </w:pPr>
      <w:r>
        <w:t>Par conséquent, la travailleuse démontre de façon prépondérante la survenance d’un événement imprévu et soudain, à l’occasion du travail, qui entraine une lésion professionnelle. Elle a donc subi un accident du travail et sa contestation est accueillie.</w:t>
      </w:r>
    </w:p>
    <w:p w:rsidR="00C74B6F" w:rsidRDefault="00C74B6F">
      <w:pPr>
        <w:pStyle w:val="Dispositif"/>
      </w:pPr>
      <w:r>
        <w:rPr>
          <w:b/>
        </w:rPr>
        <w:t>P</w:t>
      </w:r>
      <w:r w:rsidR="00D07FA6">
        <w:rPr>
          <w:b/>
        </w:rPr>
        <w:t>AR CES MOTIFS, LE TRIBUNAL ADMINISTRATIF DU TRAVAIL</w:t>
      </w:r>
      <w:r>
        <w:rPr>
          <w:b/>
        </w:rPr>
        <w:t> :</w:t>
      </w:r>
    </w:p>
    <w:p w:rsidR="00C74B6F" w:rsidRDefault="00754838">
      <w:pPr>
        <w:pStyle w:val="Dispositif"/>
      </w:pPr>
      <w:r w:rsidRPr="00754838">
        <w:rPr>
          <w:b/>
        </w:rPr>
        <w:t>ACCUEILLE</w:t>
      </w:r>
      <w:r>
        <w:t xml:space="preserve"> la contestation de la travailleuse, madame Mélanie Leduc;</w:t>
      </w:r>
    </w:p>
    <w:p w:rsidR="00754838" w:rsidRDefault="00754838" w:rsidP="006265F9">
      <w:pPr>
        <w:pStyle w:val="Dispositif"/>
        <w:keepNext/>
      </w:pPr>
      <w:r w:rsidRPr="00754838">
        <w:rPr>
          <w:b/>
        </w:rPr>
        <w:t>INFIRME</w:t>
      </w:r>
      <w:r>
        <w:t xml:space="preserve"> la décision de la Commission des normes, de l’équité, de la santé et de la sécurité du travail rendue le 16 novembre 2021, à la suite d’une révision administrative;</w:t>
      </w:r>
    </w:p>
    <w:p w:rsidR="00754838" w:rsidRDefault="00754838" w:rsidP="006265F9">
      <w:pPr>
        <w:pStyle w:val="Dispositif"/>
        <w:keepNext/>
        <w:rPr>
          <w:iCs/>
        </w:rPr>
      </w:pPr>
      <w:r w:rsidRPr="00754838">
        <w:rPr>
          <w:b/>
        </w:rPr>
        <w:t>DÉCLARE</w:t>
      </w:r>
      <w:r>
        <w:t xml:space="preserve"> que la travailleuse a subi une lésion professionnelle le 12 février 2020, soit des otites sévères, et qu’elle a droit aux prestations prévues à la </w:t>
      </w:r>
      <w:r w:rsidRPr="00C57EEB">
        <w:rPr>
          <w:i/>
          <w:iCs/>
        </w:rPr>
        <w:t>Loi sur les accidents du travail et les maladies professionnelle</w:t>
      </w:r>
      <w:r>
        <w:rPr>
          <w:i/>
          <w:iCs/>
        </w:rPr>
        <w:t>s</w:t>
      </w:r>
      <w:r>
        <w:rPr>
          <w:iCs/>
        </w:rPr>
        <w:t>.</w:t>
      </w:r>
    </w:p>
    <w:p w:rsidR="00C74B6F" w:rsidRDefault="00C74B6F" w:rsidP="00C50E38">
      <w:pPr>
        <w:pStyle w:val="Dispositif"/>
      </w:pPr>
    </w:p>
    <w:p w:rsidR="00C50E38" w:rsidRDefault="00C50E38" w:rsidP="00C50E38">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tc>
          <w:tcPr>
            <w:tcW w:w="4795" w:type="dxa"/>
          </w:tcPr>
          <w:p w:rsidR="00C74B6F" w:rsidRDefault="00C74B6F"/>
        </w:tc>
        <w:tc>
          <w:tcPr>
            <w:tcW w:w="4795" w:type="dxa"/>
          </w:tcPr>
          <w:p w:rsidR="00C74B6F" w:rsidRDefault="00C74B6F">
            <w:bookmarkStart w:id="9" w:name="signature"/>
            <w:bookmarkEnd w:id="9"/>
            <w:r>
              <w:t>__________________________________</w:t>
            </w:r>
          </w:p>
        </w:tc>
      </w:tr>
      <w:tr w:rsidR="00C74B6F">
        <w:tc>
          <w:tcPr>
            <w:tcW w:w="4795" w:type="dxa"/>
          </w:tcPr>
          <w:p w:rsidR="00C74B6F" w:rsidRDefault="00C74B6F"/>
        </w:tc>
        <w:tc>
          <w:tcPr>
            <w:tcW w:w="4795" w:type="dxa"/>
          </w:tcPr>
          <w:p w:rsidR="00C74B6F" w:rsidRDefault="00B5294F">
            <w:r>
              <w:t>Renaud Gauthier</w:t>
            </w:r>
          </w:p>
        </w:tc>
      </w:tr>
      <w:tr w:rsidR="00C74B6F">
        <w:trPr>
          <w:cantSplit/>
        </w:trPr>
        <w:tc>
          <w:tcPr>
            <w:tcW w:w="9590" w:type="dxa"/>
            <w:gridSpan w:val="2"/>
          </w:tcPr>
          <w:p w:rsidR="00C74B6F" w:rsidRDefault="00C74B6F"/>
        </w:tc>
      </w:tr>
      <w:tr w:rsidR="00C74B6F">
        <w:trPr>
          <w:cantSplit/>
        </w:trPr>
        <w:tc>
          <w:tcPr>
            <w:tcW w:w="9590" w:type="dxa"/>
            <w:gridSpan w:val="2"/>
          </w:tcPr>
          <w:p w:rsidR="00C74B6F" w:rsidRPr="00C912F9" w:rsidRDefault="00C74B6F" w:rsidP="00EC5C8D">
            <w:pPr>
              <w:tabs>
                <w:tab w:val="left" w:pos="1592"/>
              </w:tabs>
            </w:pPr>
          </w:p>
        </w:tc>
      </w:tr>
      <w:tr w:rsidR="00C74B6F">
        <w:trPr>
          <w:cantSplit/>
        </w:trPr>
        <w:tc>
          <w:tcPr>
            <w:tcW w:w="9590" w:type="dxa"/>
            <w:gridSpan w:val="2"/>
          </w:tcPr>
          <w:p w:rsidR="00C74B6F" w:rsidRDefault="00C74B6F"/>
        </w:tc>
      </w:tr>
      <w:tr w:rsidR="00861F8B">
        <w:trPr>
          <w:cantSplit/>
        </w:trPr>
        <w:tc>
          <w:tcPr>
            <w:tcW w:w="9590" w:type="dxa"/>
            <w:gridSpan w:val="2"/>
          </w:tcPr>
          <w:p w:rsidR="00861F8B" w:rsidRDefault="002B2DA4">
            <w:r>
              <w:rPr>
                <w:lang w:val="en-CA"/>
              </w:rPr>
              <w:t>M</w:t>
            </w:r>
            <w:r w:rsidRPr="000C467C">
              <w:rPr>
                <w:vertAlign w:val="superscript"/>
                <w:lang w:val="en-CA"/>
              </w:rPr>
              <w:t>me</w:t>
            </w:r>
            <w:r>
              <w:rPr>
                <w:lang w:val="en-CA"/>
              </w:rPr>
              <w:t xml:space="preserve"> Mélanie Leduc</w:t>
            </w:r>
          </w:p>
        </w:tc>
      </w:tr>
      <w:tr w:rsidR="00861F8B">
        <w:trPr>
          <w:cantSplit/>
        </w:trPr>
        <w:tc>
          <w:tcPr>
            <w:tcW w:w="9590" w:type="dxa"/>
            <w:gridSpan w:val="2"/>
          </w:tcPr>
          <w:p w:rsidR="00861F8B" w:rsidRDefault="00E25DCB" w:rsidP="002B2DA4">
            <w:r>
              <w:fldChar w:fldCharType="begin"/>
            </w:r>
            <w:r>
              <w:instrText xml:space="preserve"> MACROBUTTON  AbaisserNiveauListe </w:instrText>
            </w:r>
            <w:r>
              <w:fldChar w:fldCharType="end"/>
            </w:r>
            <w:r w:rsidR="002B2DA4">
              <w:t>Pour elle-même</w:t>
            </w:r>
          </w:p>
        </w:tc>
      </w:tr>
      <w:tr w:rsidR="00C74B6F">
        <w:trPr>
          <w:cantSplit/>
        </w:trPr>
        <w:tc>
          <w:tcPr>
            <w:tcW w:w="9590" w:type="dxa"/>
            <w:gridSpan w:val="2"/>
          </w:tcPr>
          <w:p w:rsidR="00C74B6F" w:rsidRDefault="00C74B6F"/>
        </w:tc>
      </w:tr>
      <w:tr w:rsidR="00C74B6F">
        <w:trPr>
          <w:cantSplit/>
        </w:trPr>
        <w:tc>
          <w:tcPr>
            <w:tcW w:w="9590" w:type="dxa"/>
            <w:gridSpan w:val="2"/>
          </w:tcPr>
          <w:p w:rsidR="00C74B6F" w:rsidRDefault="002B2DA4">
            <w:pPr>
              <w:pStyle w:val="zSoquijdatNomProcureurDem"/>
            </w:pPr>
            <w:r>
              <w:t>M</w:t>
            </w:r>
            <w:r w:rsidRPr="000C467C">
              <w:rPr>
                <w:vertAlign w:val="superscript"/>
              </w:rPr>
              <w:t>me</w:t>
            </w:r>
            <w:r>
              <w:t xml:space="preserve"> Catherine Aubin</w:t>
            </w:r>
          </w:p>
        </w:tc>
      </w:tr>
      <w:tr w:rsidR="00C74B6F">
        <w:trPr>
          <w:cantSplit/>
        </w:trPr>
        <w:tc>
          <w:tcPr>
            <w:tcW w:w="9590" w:type="dxa"/>
            <w:gridSpan w:val="2"/>
          </w:tcPr>
          <w:p w:rsidR="00C74B6F" w:rsidRDefault="002B2DA4">
            <w:r>
              <w:t>Pour la partie mise en cause</w:t>
            </w:r>
          </w:p>
        </w:tc>
      </w:tr>
      <w:tr w:rsidR="00C15A3F">
        <w:trPr>
          <w:cantSplit/>
        </w:trPr>
        <w:tc>
          <w:tcPr>
            <w:tcW w:w="9590" w:type="dxa"/>
            <w:gridSpan w:val="2"/>
          </w:tcPr>
          <w:p w:rsidR="002B2DA4" w:rsidRDefault="002B2DA4" w:rsidP="000E56A6">
            <w:pPr>
              <w:pStyle w:val="zSoquijdatDateAudience"/>
            </w:pPr>
            <w:bookmarkStart w:id="10" w:name="Date_derniere_audience"/>
            <w:bookmarkEnd w:id="10"/>
          </w:p>
          <w:p w:rsidR="00C15A3F" w:rsidRDefault="00C15A3F" w:rsidP="002B2DA4">
            <w:pPr>
              <w:pStyle w:val="zSoquijdatDateAudience"/>
            </w:pPr>
            <w:r>
              <w:t xml:space="preserve">Date de la </w:t>
            </w:r>
            <w:r w:rsidR="00CC6338">
              <w:t>mise en délibéré</w:t>
            </w:r>
            <w:r>
              <w:t> :</w:t>
            </w:r>
            <w:r w:rsidR="00597016">
              <w:tab/>
            </w:r>
            <w:r w:rsidR="002B2DA4">
              <w:t>9 septembre 2022</w:t>
            </w:r>
          </w:p>
        </w:tc>
      </w:tr>
    </w:tbl>
    <w:p w:rsidR="00F510B7" w:rsidRDefault="00F510B7" w:rsidP="00F73D1C"/>
    <w:p w:rsidR="00A770C0" w:rsidRPr="00F73D1C" w:rsidRDefault="00A770C0" w:rsidP="008145AD"/>
    <w:sectPr w:rsidR="00A770C0" w:rsidRPr="00F73D1C">
      <w:headerReference w:type="default" r:id="rId7"/>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2662" w:rsidRDefault="004C2662">
      <w:r>
        <w:separator/>
      </w:r>
    </w:p>
  </w:endnote>
  <w:endnote w:type="continuationSeparator" w:id="0">
    <w:p w:rsidR="004C2662" w:rsidRDefault="004C26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2662" w:rsidRDefault="004C2662">
      <w:r>
        <w:separator/>
      </w:r>
    </w:p>
  </w:footnote>
  <w:footnote w:type="continuationSeparator" w:id="0">
    <w:p w:rsidR="004C2662" w:rsidRDefault="004C2662">
      <w:r>
        <w:continuationSeparator/>
      </w:r>
    </w:p>
  </w:footnote>
  <w:footnote w:id="1">
    <w:p w:rsidR="00410B6C" w:rsidRDefault="00410B6C" w:rsidP="0007644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2">
    <w:p w:rsidR="000D1A54" w:rsidRPr="00774F40" w:rsidRDefault="000D1A54" w:rsidP="000D1A5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74F40">
        <w:rPr>
          <w:rFonts w:cs="Arial"/>
          <w:i/>
          <w:sz w:val="20"/>
        </w:rPr>
        <w:t xml:space="preserve">Communauté urbaine de Montréal </w:t>
      </w:r>
      <w:r w:rsidRPr="00774F40">
        <w:rPr>
          <w:rFonts w:cs="Arial"/>
          <w:sz w:val="20"/>
        </w:rPr>
        <w:t xml:space="preserve">c. </w:t>
      </w:r>
      <w:r w:rsidRPr="00774F40">
        <w:rPr>
          <w:rFonts w:cs="Arial"/>
          <w:i/>
          <w:sz w:val="20"/>
        </w:rPr>
        <w:t>Commission d’appel en matière de lésions professionnelles</w:t>
      </w:r>
      <w:r w:rsidRPr="00774F40">
        <w:rPr>
          <w:rFonts w:cs="Arial"/>
          <w:sz w:val="20"/>
        </w:rPr>
        <w:t>, [1998] C.A.L.P. 470 (C.S.), appel rejeté, C.A. Montréal, 500-09-006276-984, 1</w:t>
      </w:r>
      <w:r w:rsidRPr="00774F40">
        <w:rPr>
          <w:rFonts w:cs="Arial"/>
          <w:sz w:val="20"/>
          <w:vertAlign w:val="superscript"/>
        </w:rPr>
        <w:t>er</w:t>
      </w:r>
      <w:r w:rsidRPr="00774F40">
        <w:rPr>
          <w:rFonts w:cs="Arial"/>
          <w:sz w:val="20"/>
        </w:rPr>
        <w:t xml:space="preserve"> octobre 2001, jj. Rothman, Brossard, Dussault; </w:t>
      </w:r>
      <w:r w:rsidRPr="00774F40">
        <w:rPr>
          <w:rFonts w:cs="Arial"/>
          <w:i/>
          <w:sz w:val="20"/>
        </w:rPr>
        <w:t>Veillette</w:t>
      </w:r>
      <w:r w:rsidRPr="00774F40">
        <w:rPr>
          <w:rFonts w:cs="Arial"/>
          <w:sz w:val="20"/>
        </w:rPr>
        <w:t xml:space="preserve"> et </w:t>
      </w:r>
      <w:r w:rsidRPr="00774F40">
        <w:rPr>
          <w:rFonts w:cs="Arial"/>
          <w:i/>
          <w:sz w:val="20"/>
        </w:rPr>
        <w:t>Scientific Games Products (Canada) Inc.</w:t>
      </w:r>
      <w:r w:rsidRPr="00774F40">
        <w:rPr>
          <w:rFonts w:cs="Arial"/>
          <w:sz w:val="20"/>
        </w:rPr>
        <w:t>, 2018 QCTAT 3813.</w:t>
      </w:r>
    </w:p>
  </w:footnote>
  <w:footnote w:id="3">
    <w:p w:rsidR="000D1A54" w:rsidRPr="00055665" w:rsidRDefault="000D1A54" w:rsidP="000D1A54">
      <w:pPr>
        <w:pStyle w:val="Notedebasdepage"/>
        <w:tabs>
          <w:tab w:val="left" w:pos="720"/>
        </w:tabs>
        <w:ind w:left="720" w:hanging="720"/>
        <w:jc w:val="both"/>
        <w:rPr>
          <w:rFonts w:cs="Arial"/>
          <w:sz w:val="20"/>
        </w:rPr>
      </w:pPr>
      <w:r w:rsidRPr="00774F40">
        <w:rPr>
          <w:rStyle w:val="Appelnotedebasdep"/>
        </w:rPr>
        <w:footnoteRef/>
      </w:r>
      <w:r w:rsidRPr="00774F40">
        <w:t xml:space="preserve"> </w:t>
      </w:r>
      <w:r w:rsidRPr="00774F40">
        <w:rPr>
          <w:rFonts w:cs="Arial"/>
          <w:sz w:val="20"/>
        </w:rPr>
        <w:tab/>
      </w:r>
      <w:r w:rsidRPr="00774F40">
        <w:rPr>
          <w:rFonts w:cs="Arial"/>
          <w:i/>
          <w:sz w:val="20"/>
        </w:rPr>
        <w:t>Roy</w:t>
      </w:r>
      <w:r w:rsidRPr="00774F40">
        <w:rPr>
          <w:rFonts w:cs="Arial"/>
          <w:sz w:val="20"/>
        </w:rPr>
        <w:t xml:space="preserve"> et </w:t>
      </w:r>
      <w:r w:rsidRPr="00774F40">
        <w:rPr>
          <w:rFonts w:cs="Arial"/>
          <w:i/>
          <w:sz w:val="20"/>
        </w:rPr>
        <w:t>Services ménagers Roy ltée</w:t>
      </w:r>
      <w:r w:rsidRPr="00774F40">
        <w:rPr>
          <w:rFonts w:cs="Arial"/>
          <w:sz w:val="20"/>
        </w:rPr>
        <w:t xml:space="preserve">, C.L.P. 259044-61-0504, 29 juillet 2005, L. Nadeau; </w:t>
      </w:r>
      <w:r w:rsidRPr="00774F40">
        <w:rPr>
          <w:rFonts w:cs="Arial"/>
          <w:i/>
          <w:sz w:val="20"/>
        </w:rPr>
        <w:t>Landry</w:t>
      </w:r>
      <w:r w:rsidRPr="00055665">
        <w:rPr>
          <w:rFonts w:cs="Arial"/>
          <w:sz w:val="20"/>
        </w:rPr>
        <w:t xml:space="preserve"> et </w:t>
      </w:r>
      <w:r w:rsidRPr="00055665">
        <w:rPr>
          <w:rFonts w:cs="Arial"/>
          <w:i/>
          <w:sz w:val="20"/>
        </w:rPr>
        <w:t>CSSS Lac-des-Deux-Montagnes</w:t>
      </w:r>
      <w:r w:rsidRPr="00055665">
        <w:rPr>
          <w:rFonts w:cs="Arial"/>
          <w:sz w:val="20"/>
        </w:rPr>
        <w:t>, 2013 QCCLP 1101</w:t>
      </w:r>
      <w:r>
        <w:rPr>
          <w:rFonts w:cs="Arial"/>
          <w:sz w:val="20"/>
        </w:rPr>
        <w:t>.</w:t>
      </w:r>
    </w:p>
  </w:footnote>
  <w:footnote w:id="4">
    <w:p w:rsidR="000D1A54" w:rsidRPr="000D1A54" w:rsidRDefault="000D1A54" w:rsidP="000D1A5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0D1A54">
        <w:rPr>
          <w:rFonts w:cs="Arial"/>
          <w:i/>
          <w:sz w:val="20"/>
        </w:rPr>
        <w:t>Mongrain</w:t>
      </w:r>
      <w:r w:rsidRPr="000D1A54">
        <w:rPr>
          <w:rFonts w:cs="Arial"/>
          <w:sz w:val="20"/>
        </w:rPr>
        <w:t xml:space="preserve"> et </w:t>
      </w:r>
      <w:r w:rsidRPr="000D1A54">
        <w:rPr>
          <w:rFonts w:cs="Arial"/>
          <w:i/>
          <w:sz w:val="20"/>
        </w:rPr>
        <w:t>Consolidated Bathurst inc.</w:t>
      </w:r>
      <w:r w:rsidRPr="000D1A54">
        <w:rPr>
          <w:rFonts w:cs="Arial"/>
          <w:sz w:val="20"/>
        </w:rPr>
        <w:t>,</w:t>
      </w:r>
      <w:r>
        <w:rPr>
          <w:rFonts w:cs="Arial"/>
          <w:sz w:val="20"/>
        </w:rPr>
        <w:t xml:space="preserve"> </w:t>
      </w:r>
      <w:r w:rsidRPr="000D1A54">
        <w:rPr>
          <w:rFonts w:cs="Arial"/>
          <w:sz w:val="20"/>
        </w:rPr>
        <w:t>[1989] C.A.L.P. 701.</w:t>
      </w:r>
    </w:p>
  </w:footnote>
  <w:footnote w:id="5">
    <w:p w:rsidR="000D1A54" w:rsidRPr="0035616C" w:rsidRDefault="000D1A54" w:rsidP="000D1A5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74F40">
        <w:rPr>
          <w:rFonts w:cs="Arial"/>
          <w:i/>
          <w:iCs/>
          <w:sz w:val="20"/>
        </w:rPr>
        <w:t xml:space="preserve">Groupe matériaux à bas prix ltée </w:t>
      </w:r>
      <w:r w:rsidRPr="00774F40">
        <w:rPr>
          <w:rFonts w:cs="Arial"/>
          <w:sz w:val="20"/>
        </w:rPr>
        <w:t>et</w:t>
      </w:r>
      <w:r w:rsidRPr="00774F40">
        <w:rPr>
          <w:rFonts w:cs="Arial"/>
          <w:i/>
          <w:iCs/>
          <w:sz w:val="20"/>
        </w:rPr>
        <w:t xml:space="preserve"> Lamoureux</w:t>
      </w:r>
      <w:r w:rsidRPr="00774F40">
        <w:rPr>
          <w:rFonts w:cs="Arial"/>
          <w:iCs/>
          <w:sz w:val="20"/>
        </w:rPr>
        <w:t>, C.L.P 225735-61</w:t>
      </w:r>
      <w:r w:rsidR="000C467C" w:rsidRPr="00774F40">
        <w:rPr>
          <w:rFonts w:cs="Arial"/>
          <w:iCs/>
          <w:sz w:val="20"/>
        </w:rPr>
        <w:t>-0401, 14 septembre 2004, S. Di </w:t>
      </w:r>
      <w:r w:rsidRPr="00774F40">
        <w:rPr>
          <w:rFonts w:cs="Arial"/>
          <w:iCs/>
          <w:sz w:val="20"/>
        </w:rPr>
        <w:t xml:space="preserve">Pasquale; </w:t>
      </w:r>
      <w:r w:rsidRPr="00774F40">
        <w:rPr>
          <w:rFonts w:cs="Arial"/>
          <w:i/>
          <w:sz w:val="20"/>
        </w:rPr>
        <w:t>Provigo Distribution (Maxi &amp; Cie)</w:t>
      </w:r>
      <w:r w:rsidRPr="00774F40">
        <w:rPr>
          <w:rFonts w:cs="Arial"/>
          <w:sz w:val="20"/>
        </w:rPr>
        <w:t xml:space="preserve"> et </w:t>
      </w:r>
      <w:r w:rsidRPr="00774F40">
        <w:rPr>
          <w:rFonts w:cs="Arial"/>
          <w:i/>
          <w:sz w:val="20"/>
        </w:rPr>
        <w:t>Constantinou</w:t>
      </w:r>
      <w:r w:rsidRPr="00774F40">
        <w:rPr>
          <w:rFonts w:cs="Arial"/>
          <w:sz w:val="20"/>
        </w:rPr>
        <w:t>, C.L.P. 256679-</w:t>
      </w:r>
      <w:r w:rsidR="000C467C" w:rsidRPr="00774F40">
        <w:rPr>
          <w:rFonts w:cs="Arial"/>
          <w:sz w:val="20"/>
        </w:rPr>
        <w:t>71-0503, 9 juin </w:t>
      </w:r>
      <w:r w:rsidRPr="00774F40">
        <w:rPr>
          <w:rFonts w:cs="Arial"/>
          <w:sz w:val="20"/>
        </w:rPr>
        <w:t xml:space="preserve">2005, H. Rivard; </w:t>
      </w:r>
      <w:r w:rsidRPr="00774F40">
        <w:rPr>
          <w:rFonts w:cs="Arial"/>
          <w:i/>
          <w:sz w:val="20"/>
        </w:rPr>
        <w:t>Picard</w:t>
      </w:r>
      <w:r w:rsidRPr="00774F40">
        <w:rPr>
          <w:rFonts w:cs="Arial"/>
          <w:sz w:val="20"/>
        </w:rPr>
        <w:t xml:space="preserve"> et </w:t>
      </w:r>
      <w:r w:rsidRPr="00774F40">
        <w:rPr>
          <w:rFonts w:cs="Arial"/>
          <w:i/>
          <w:sz w:val="20"/>
        </w:rPr>
        <w:t>Jeld-Wen Canada Division Donat Flamant</w:t>
      </w:r>
      <w:r w:rsidRPr="00774F40">
        <w:rPr>
          <w:rFonts w:cs="Arial"/>
          <w:sz w:val="20"/>
        </w:rPr>
        <w:t>, 2019 QCTAT 2765</w:t>
      </w:r>
      <w:r w:rsidR="00B57EB8" w:rsidRPr="00774F40">
        <w:rPr>
          <w:rFonts w:cs="Arial"/>
          <w:sz w:val="20"/>
        </w:rPr>
        <w:t>.</w:t>
      </w:r>
    </w:p>
  </w:footnote>
  <w:footnote w:id="6">
    <w:p w:rsidR="000D1A54" w:rsidRPr="000D1A54" w:rsidRDefault="000D1A54" w:rsidP="000D1A5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634AB7" w:rsidRPr="00634AB7">
        <w:rPr>
          <w:rFonts w:cs="Arial"/>
          <w:i/>
          <w:sz w:val="20"/>
        </w:rPr>
        <w:t>Chaput</w:t>
      </w:r>
      <w:r w:rsidR="00634AB7" w:rsidRPr="00634AB7">
        <w:rPr>
          <w:rFonts w:cs="Arial"/>
          <w:sz w:val="20"/>
        </w:rPr>
        <w:t xml:space="preserve"> et </w:t>
      </w:r>
      <w:r w:rsidR="00634AB7" w:rsidRPr="00634AB7">
        <w:rPr>
          <w:rFonts w:cs="Arial"/>
          <w:i/>
          <w:sz w:val="20"/>
        </w:rPr>
        <w:t>Société de transport de la Communauté urbaine de Montréal</w:t>
      </w:r>
      <w:r w:rsidR="00634AB7">
        <w:rPr>
          <w:rFonts w:cs="Arial"/>
          <w:sz w:val="20"/>
        </w:rPr>
        <w:t xml:space="preserve">, </w:t>
      </w:r>
      <w:r w:rsidR="00634AB7" w:rsidRPr="00634AB7">
        <w:rPr>
          <w:rFonts w:cs="Arial"/>
          <w:sz w:val="20"/>
        </w:rPr>
        <w:t xml:space="preserve">C.A., 500-09-000295-907, 2 juillet 1992, jj. Bisson, </w:t>
      </w:r>
      <w:r w:rsidR="00634AB7">
        <w:rPr>
          <w:rFonts w:cs="Arial"/>
          <w:sz w:val="20"/>
        </w:rPr>
        <w:t xml:space="preserve">Dubé, Gendreau, Fish et Mailhot; </w:t>
      </w:r>
      <w:r w:rsidRPr="000D1A54">
        <w:rPr>
          <w:i/>
          <w:sz w:val="20"/>
        </w:rPr>
        <w:t>Germain</w:t>
      </w:r>
      <w:r w:rsidRPr="000D1A54">
        <w:rPr>
          <w:sz w:val="20"/>
        </w:rPr>
        <w:t xml:space="preserve"> et </w:t>
      </w:r>
      <w:r w:rsidRPr="000D1A54">
        <w:rPr>
          <w:i/>
          <w:sz w:val="20"/>
        </w:rPr>
        <w:t>Bourassa Automobiles international</w:t>
      </w:r>
      <w:r w:rsidRPr="000D1A54">
        <w:rPr>
          <w:sz w:val="20"/>
        </w:rPr>
        <w:t>, [2003] C.L.P. 553</w:t>
      </w:r>
      <w:r w:rsidR="00E017A6">
        <w:rPr>
          <w:sz w:val="20"/>
        </w:rPr>
        <w:t xml:space="preserve">; </w:t>
      </w:r>
      <w:r w:rsidR="00E017A6" w:rsidRPr="00E017A6">
        <w:rPr>
          <w:i/>
          <w:sz w:val="20"/>
        </w:rPr>
        <w:t>Bédard</w:t>
      </w:r>
      <w:r w:rsidR="00E017A6">
        <w:rPr>
          <w:sz w:val="20"/>
        </w:rPr>
        <w:t xml:space="preserve"> et </w:t>
      </w:r>
      <w:r w:rsidR="00E017A6" w:rsidRPr="00E017A6">
        <w:rPr>
          <w:i/>
          <w:sz w:val="20"/>
        </w:rPr>
        <w:t>C.H.U.Q. (Pavillon Hôtel-Dieu)</w:t>
      </w:r>
      <w:r w:rsidR="00E017A6" w:rsidRPr="00E017A6">
        <w:rPr>
          <w:sz w:val="20"/>
        </w:rPr>
        <w:t>,</w:t>
      </w:r>
      <w:r w:rsidR="00E017A6">
        <w:rPr>
          <w:sz w:val="20"/>
        </w:rPr>
        <w:t xml:space="preserve"> </w:t>
      </w:r>
      <w:r w:rsidR="00E017A6" w:rsidRPr="00E017A6">
        <w:rPr>
          <w:sz w:val="20"/>
        </w:rPr>
        <w:t>2012 QCCLP 4614</w:t>
      </w:r>
      <w:r w:rsidR="00E017A6">
        <w:rPr>
          <w:sz w:val="20"/>
        </w:rPr>
        <w:t xml:space="preserve">; </w:t>
      </w:r>
      <w:r w:rsidR="00E017A6" w:rsidRPr="00E017A6">
        <w:rPr>
          <w:i/>
          <w:sz w:val="20"/>
        </w:rPr>
        <w:t>Frégeau</w:t>
      </w:r>
      <w:r w:rsidR="00E017A6">
        <w:rPr>
          <w:sz w:val="20"/>
        </w:rPr>
        <w:t xml:space="preserve"> et </w:t>
      </w:r>
      <w:r w:rsidR="00E017A6" w:rsidRPr="00E017A6">
        <w:rPr>
          <w:i/>
          <w:sz w:val="20"/>
        </w:rPr>
        <w:t>Agence de services frontaliers du Canada</w:t>
      </w:r>
      <w:r w:rsidR="00E017A6" w:rsidRPr="00E017A6">
        <w:rPr>
          <w:sz w:val="20"/>
        </w:rPr>
        <w:t>,</w:t>
      </w:r>
      <w:r w:rsidR="00E017A6">
        <w:rPr>
          <w:sz w:val="20"/>
        </w:rPr>
        <w:t xml:space="preserve"> </w:t>
      </w:r>
      <w:r w:rsidR="000C467C">
        <w:rPr>
          <w:sz w:val="20"/>
        </w:rPr>
        <w:t>2013 </w:t>
      </w:r>
      <w:r w:rsidR="00E017A6" w:rsidRPr="00E017A6">
        <w:rPr>
          <w:sz w:val="20"/>
        </w:rPr>
        <w:t>QCCLP 3040.</w:t>
      </w:r>
    </w:p>
  </w:footnote>
  <w:footnote w:id="7">
    <w:p w:rsidR="00353AFE" w:rsidRPr="00353AFE" w:rsidRDefault="00353AFE" w:rsidP="00353AFE">
      <w:pPr>
        <w:pStyle w:val="Notedebasdepage"/>
        <w:tabs>
          <w:tab w:val="left" w:pos="720"/>
        </w:tabs>
        <w:ind w:left="720" w:hanging="720"/>
        <w:jc w:val="both"/>
        <w:rPr>
          <w:rFonts w:cs="Arial"/>
          <w:sz w:val="20"/>
        </w:rPr>
      </w:pPr>
      <w:r w:rsidRPr="006319BA">
        <w:rPr>
          <w:rStyle w:val="Appelnotedebasdep"/>
        </w:rPr>
        <w:footnoteRef/>
      </w:r>
      <w:r>
        <w:t xml:space="preserve"> </w:t>
      </w:r>
      <w:r>
        <w:rPr>
          <w:rFonts w:cs="Arial"/>
          <w:sz w:val="20"/>
        </w:rPr>
        <w:tab/>
      </w:r>
      <w:r w:rsidR="00C31DA0" w:rsidRPr="00C31DA0">
        <w:rPr>
          <w:rFonts w:cs="Arial"/>
          <w:sz w:val="20"/>
        </w:rPr>
        <w:t>Fouad El FATA et Issam SALIBA, « Quand l'avion atterrit et les oreilles décollent », (2007) 42 Le médecin du Québec, pp. 85-88, [En ligne], &lt;https://lemedecinduquebec.org/Media/94656/085-088MT0507.pdf&gt; (Date de consultation inconnue).</w:t>
      </w:r>
    </w:p>
  </w:footnote>
  <w:footnote w:id="8">
    <w:p w:rsidR="009B16AA" w:rsidRPr="009B16AA" w:rsidRDefault="009B16AA" w:rsidP="009B16A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634AB7">
        <w:rPr>
          <w:rFonts w:cs="Arial"/>
          <w:sz w:val="20"/>
        </w:rPr>
        <w:t xml:space="preserve">Précitée, note 6. </w:t>
      </w:r>
      <w:r w:rsidRPr="009B16AA">
        <w:rPr>
          <w:rFonts w:cs="Arial"/>
          <w:sz w:val="20"/>
        </w:rPr>
        <w:t xml:space="preserve">Voir au même sujet </w:t>
      </w:r>
      <w:r w:rsidRPr="009B16AA">
        <w:rPr>
          <w:rFonts w:cs="Arial"/>
          <w:i/>
          <w:sz w:val="20"/>
        </w:rPr>
        <w:t>Transport A. Laberge</w:t>
      </w:r>
      <w:r w:rsidRPr="009B16AA">
        <w:rPr>
          <w:rFonts w:cs="Arial"/>
          <w:sz w:val="20"/>
        </w:rPr>
        <w:t xml:space="preserve"> </w:t>
      </w:r>
      <w:r w:rsidRPr="009B16AA">
        <w:rPr>
          <w:rFonts w:cs="Arial"/>
          <w:i/>
          <w:sz w:val="20"/>
        </w:rPr>
        <w:t>&amp; Fils inc.</w:t>
      </w:r>
      <w:r w:rsidRPr="009B16AA">
        <w:rPr>
          <w:rFonts w:cs="Arial"/>
          <w:sz w:val="20"/>
        </w:rPr>
        <w:t xml:space="preserve"> et </w:t>
      </w:r>
      <w:r w:rsidRPr="009B16AA">
        <w:rPr>
          <w:rFonts w:cs="Arial"/>
          <w:i/>
          <w:sz w:val="20"/>
        </w:rPr>
        <w:t>Succession de Cornil</w:t>
      </w:r>
      <w:r w:rsidRPr="009B16AA">
        <w:rPr>
          <w:rFonts w:cs="Arial"/>
          <w:sz w:val="20"/>
        </w:rPr>
        <w:t>, 2021 QCTAT 1206.</w:t>
      </w:r>
    </w:p>
  </w:footnote>
  <w:footnote w:id="9">
    <w:p w:rsidR="00073E6F" w:rsidRPr="00073E6F" w:rsidRDefault="00073E6F" w:rsidP="00073E6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3F12E6">
        <w:rPr>
          <w:rFonts w:cs="Arial"/>
          <w:sz w:val="20"/>
        </w:rPr>
        <w:t>[1989], C.A.L.P. 6368.</w:t>
      </w:r>
    </w:p>
  </w:footnote>
  <w:footnote w:id="10">
    <w:p w:rsidR="00C3515B" w:rsidRPr="00C3515B" w:rsidRDefault="00C3515B" w:rsidP="00C3515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3F12E6">
        <w:rPr>
          <w:rFonts w:cs="Arial"/>
          <w:sz w:val="20"/>
        </w:rPr>
        <w:t xml:space="preserve">C.L.P. </w:t>
      </w:r>
      <w:r w:rsidR="003F12E6" w:rsidRPr="003F12E6">
        <w:rPr>
          <w:rFonts w:cs="Arial"/>
          <w:sz w:val="20"/>
        </w:rPr>
        <w:t>118675-71-9904</w:t>
      </w:r>
      <w:r w:rsidR="003F12E6">
        <w:rPr>
          <w:rFonts w:cs="Arial"/>
          <w:sz w:val="20"/>
        </w:rPr>
        <w:t>, 2</w:t>
      </w:r>
      <w:r w:rsidR="00774F40" w:rsidRPr="00B569CC">
        <w:rPr>
          <w:rFonts w:cs="Arial"/>
          <w:sz w:val="20"/>
        </w:rPr>
        <w:t>2</w:t>
      </w:r>
      <w:r w:rsidR="003F12E6">
        <w:rPr>
          <w:rFonts w:cs="Arial"/>
          <w:sz w:val="20"/>
        </w:rPr>
        <w:t xml:space="preserve"> février 2000, M. Cuddihy</w:t>
      </w:r>
    </w:p>
  </w:footnote>
  <w:footnote w:id="11">
    <w:p w:rsidR="007A3172" w:rsidRPr="003242AF" w:rsidRDefault="007A3172" w:rsidP="007A3172">
      <w:pPr>
        <w:pStyle w:val="Notedebasdepage"/>
        <w:tabs>
          <w:tab w:val="left" w:pos="720"/>
        </w:tabs>
        <w:ind w:left="720" w:hanging="720"/>
        <w:jc w:val="both"/>
        <w:rPr>
          <w:rFonts w:cs="Arial"/>
          <w:sz w:val="20"/>
        </w:rPr>
      </w:pPr>
      <w:r>
        <w:rPr>
          <w:rStyle w:val="Appelnotedebasdep"/>
        </w:rPr>
        <w:footnoteRef/>
      </w:r>
      <w:r>
        <w:rPr>
          <w:rFonts w:cs="Arial"/>
          <w:sz w:val="20"/>
        </w:rPr>
        <w:tab/>
      </w:r>
      <w:r w:rsidRPr="003242AF">
        <w:rPr>
          <w:rFonts w:cs="Arial"/>
          <w:sz w:val="20"/>
        </w:rPr>
        <w:t>[1952] 2 SCR 359</w:t>
      </w:r>
      <w:r>
        <w:rPr>
          <w:rFonts w:cs="Arial"/>
          <w:sz w:val="20"/>
        </w:rPr>
        <w:t>.</w:t>
      </w:r>
    </w:p>
  </w:footnote>
  <w:footnote w:id="12">
    <w:p w:rsidR="007A3172" w:rsidRPr="001E6934" w:rsidRDefault="007A3172" w:rsidP="007A3172">
      <w:pPr>
        <w:pStyle w:val="Notedebasdepage"/>
        <w:tabs>
          <w:tab w:val="left" w:pos="720"/>
        </w:tabs>
        <w:ind w:left="720" w:hanging="720"/>
        <w:jc w:val="both"/>
        <w:rPr>
          <w:rFonts w:cs="Arial"/>
          <w:sz w:val="20"/>
        </w:rPr>
      </w:pPr>
      <w:r>
        <w:rPr>
          <w:rStyle w:val="Appelnotedebasdep"/>
        </w:rPr>
        <w:footnoteRef/>
      </w:r>
      <w:r>
        <w:rPr>
          <w:rFonts w:cs="Arial"/>
          <w:sz w:val="20"/>
        </w:rPr>
        <w:tab/>
      </w:r>
      <w:r w:rsidRPr="003F6CA8">
        <w:rPr>
          <w:rFonts w:cs="Arial"/>
          <w:i/>
          <w:sz w:val="20"/>
        </w:rPr>
        <w:t xml:space="preserve">Plomberie &amp; chauffage Plombec inc. </w:t>
      </w:r>
      <w:r w:rsidRPr="000C2D15">
        <w:rPr>
          <w:rFonts w:cs="Arial"/>
          <w:sz w:val="20"/>
        </w:rPr>
        <w:t>et</w:t>
      </w:r>
      <w:r w:rsidRPr="003F6CA8">
        <w:rPr>
          <w:rFonts w:cs="Arial"/>
          <w:i/>
          <w:sz w:val="20"/>
        </w:rPr>
        <w:t xml:space="preserve"> Deslongchamps</w:t>
      </w:r>
      <w:r w:rsidRPr="003F6CA8">
        <w:rPr>
          <w:rFonts w:cs="Arial"/>
          <w:sz w:val="20"/>
        </w:rPr>
        <w:t>,</w:t>
      </w:r>
      <w:r>
        <w:rPr>
          <w:rFonts w:cs="Arial"/>
          <w:sz w:val="20"/>
        </w:rPr>
        <w:t xml:space="preserve"> </w:t>
      </w:r>
      <w:r w:rsidRPr="003F6CA8">
        <w:rPr>
          <w:rFonts w:cs="Arial"/>
          <w:sz w:val="20"/>
        </w:rPr>
        <w:t>C.A.L.P. 51232-64-</w:t>
      </w:r>
      <w:r>
        <w:rPr>
          <w:rFonts w:cs="Arial"/>
          <w:sz w:val="20"/>
        </w:rPr>
        <w:t xml:space="preserve">9305, 17 janvier 1995, B. Lemay; </w:t>
      </w:r>
      <w:r w:rsidRPr="003F6CA8">
        <w:rPr>
          <w:rFonts w:cs="Arial"/>
          <w:i/>
          <w:sz w:val="20"/>
        </w:rPr>
        <w:t xml:space="preserve">Centre hospitalier Fleury </w:t>
      </w:r>
      <w:r w:rsidRPr="000C2D15">
        <w:rPr>
          <w:rFonts w:cs="Arial"/>
          <w:sz w:val="20"/>
        </w:rPr>
        <w:t xml:space="preserve">et </w:t>
      </w:r>
      <w:r w:rsidRPr="003F6CA8">
        <w:rPr>
          <w:rFonts w:cs="Arial"/>
          <w:i/>
          <w:sz w:val="20"/>
        </w:rPr>
        <w:t>Laberge</w:t>
      </w:r>
      <w:r w:rsidRPr="003F6CA8">
        <w:rPr>
          <w:rFonts w:cs="Arial"/>
          <w:sz w:val="20"/>
        </w:rPr>
        <w:t>,</w:t>
      </w:r>
      <w:r>
        <w:rPr>
          <w:rFonts w:cs="Arial"/>
          <w:sz w:val="20"/>
        </w:rPr>
        <w:t xml:space="preserve"> </w:t>
      </w:r>
      <w:r w:rsidRPr="003F6CA8">
        <w:rPr>
          <w:rFonts w:cs="Arial"/>
          <w:sz w:val="20"/>
        </w:rPr>
        <w:t>C.L.P. 293881-61-0607, 6 juin 2007, L. Nadeau.</w:t>
      </w:r>
    </w:p>
  </w:footnote>
  <w:footnote w:id="13">
    <w:p w:rsidR="007A3172" w:rsidRPr="0070129D" w:rsidRDefault="007A3172" w:rsidP="007A3172">
      <w:pPr>
        <w:pStyle w:val="Notedebasdepage"/>
        <w:tabs>
          <w:tab w:val="left" w:pos="720"/>
        </w:tabs>
        <w:ind w:left="720" w:hanging="720"/>
        <w:jc w:val="both"/>
        <w:rPr>
          <w:rFonts w:cs="Arial"/>
          <w:sz w:val="20"/>
        </w:rPr>
      </w:pPr>
      <w:r w:rsidRPr="00807335">
        <w:rPr>
          <w:rStyle w:val="Appelnotedebasdep"/>
        </w:rPr>
        <w:footnoteRef/>
      </w:r>
      <w:r w:rsidRPr="00807335">
        <w:rPr>
          <w:rFonts w:cs="Arial"/>
          <w:sz w:val="20"/>
        </w:rPr>
        <w:tab/>
      </w:r>
      <w:r w:rsidRPr="00807335">
        <w:rPr>
          <w:rFonts w:cs="Arial"/>
          <w:i/>
          <w:sz w:val="20"/>
        </w:rPr>
        <w:t xml:space="preserve">Seoane </w:t>
      </w:r>
      <w:r w:rsidRPr="00807335">
        <w:rPr>
          <w:rFonts w:cs="Arial"/>
          <w:sz w:val="20"/>
        </w:rPr>
        <w:t>et</w:t>
      </w:r>
      <w:r w:rsidRPr="00807335">
        <w:rPr>
          <w:rFonts w:cs="Arial"/>
          <w:i/>
          <w:sz w:val="20"/>
        </w:rPr>
        <w:t xml:space="preserve"> Université Laval</w:t>
      </w:r>
      <w:r w:rsidRPr="00807335">
        <w:rPr>
          <w:rFonts w:cs="Arial"/>
          <w:sz w:val="20"/>
        </w:rPr>
        <w:t xml:space="preserve">, C.L.P. 157196-31-0103, 19 décembre 2001, H. Thériault; </w:t>
      </w:r>
      <w:r w:rsidRPr="00807335">
        <w:rPr>
          <w:rFonts w:cs="Arial"/>
          <w:i/>
          <w:sz w:val="20"/>
        </w:rPr>
        <w:t xml:space="preserve">Addad </w:t>
      </w:r>
      <w:r w:rsidRPr="00807335">
        <w:rPr>
          <w:rFonts w:cs="Arial"/>
          <w:sz w:val="20"/>
        </w:rPr>
        <w:t>et</w:t>
      </w:r>
      <w:r w:rsidRPr="00807335">
        <w:rPr>
          <w:rFonts w:cs="Arial"/>
          <w:i/>
          <w:sz w:val="20"/>
        </w:rPr>
        <w:t xml:space="preserve"> </w:t>
      </w:r>
      <w:r w:rsidRPr="0070129D">
        <w:rPr>
          <w:rFonts w:cs="Arial"/>
          <w:i/>
          <w:sz w:val="20"/>
        </w:rPr>
        <w:t>Alimentation Daniel Germain inc.</w:t>
      </w:r>
      <w:r w:rsidRPr="0070129D">
        <w:rPr>
          <w:rFonts w:cs="Arial"/>
          <w:sz w:val="20"/>
        </w:rPr>
        <w:t>, 2013 QCCLP 5620.</w:t>
      </w:r>
    </w:p>
  </w:footnote>
  <w:footnote w:id="14">
    <w:p w:rsidR="002B331B" w:rsidRPr="002B331B" w:rsidRDefault="002B331B" w:rsidP="002B331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B0285F" w:rsidRPr="00B0285F">
        <w:rPr>
          <w:rFonts w:cs="Arial"/>
          <w:i/>
          <w:iCs/>
          <w:sz w:val="20"/>
        </w:rPr>
        <w:t>Hôpital d'Youville de Sherbrooke </w:t>
      </w:r>
      <w:r w:rsidR="00B0285F" w:rsidRPr="00B0285F">
        <w:rPr>
          <w:rFonts w:cs="Arial"/>
          <w:sz w:val="20"/>
        </w:rPr>
        <w:t>et</w:t>
      </w:r>
      <w:r w:rsidR="00B0285F" w:rsidRPr="00B0285F">
        <w:rPr>
          <w:rFonts w:cs="Arial"/>
          <w:i/>
          <w:iCs/>
          <w:sz w:val="20"/>
        </w:rPr>
        <w:t> Lincourt,</w:t>
      </w:r>
      <w:r w:rsidR="00B0285F" w:rsidRPr="00B0285F">
        <w:rPr>
          <w:rFonts w:cs="Arial"/>
          <w:sz w:val="20"/>
        </w:rPr>
        <w:t xml:space="preserve"> [1987] C.A.L.P. 567</w:t>
      </w:r>
      <w:r w:rsidR="00B0285F">
        <w:rPr>
          <w:rFonts w:cs="Arial"/>
          <w:sz w:val="20"/>
        </w:rPr>
        <w:t xml:space="preserve">; </w:t>
      </w:r>
      <w:r w:rsidR="00CC0C28" w:rsidRPr="00CC0C28">
        <w:rPr>
          <w:rFonts w:cs="Arial"/>
          <w:i/>
          <w:sz w:val="20"/>
        </w:rPr>
        <w:t>Zaheeruddin</w:t>
      </w:r>
      <w:r w:rsidR="00CC0C28" w:rsidRPr="00CC0C28">
        <w:rPr>
          <w:rFonts w:cs="Arial"/>
          <w:sz w:val="20"/>
        </w:rPr>
        <w:t xml:space="preserve"> et </w:t>
      </w:r>
      <w:r w:rsidR="00CC0C28" w:rsidRPr="00CC0C28">
        <w:rPr>
          <w:rFonts w:cs="Arial"/>
          <w:i/>
          <w:sz w:val="20"/>
        </w:rPr>
        <w:t>Défense nationale Q.E.T.E.</w:t>
      </w:r>
      <w:r w:rsidR="00CC0C28">
        <w:rPr>
          <w:rFonts w:cs="Arial"/>
          <w:sz w:val="20"/>
        </w:rPr>
        <w:t>, [1991]</w:t>
      </w:r>
      <w:r w:rsidR="00CC0C28" w:rsidRPr="00CC0C28">
        <w:rPr>
          <w:rFonts w:cs="Arial"/>
          <w:sz w:val="20"/>
        </w:rPr>
        <w:t>, C.A.L.P. 935</w:t>
      </w:r>
      <w:r w:rsidR="00CC0C28">
        <w:rPr>
          <w:rFonts w:cs="Arial"/>
          <w:sz w:val="20"/>
        </w:rPr>
        <w:t xml:space="preserve">; </w:t>
      </w:r>
      <w:r w:rsidR="00B0285F" w:rsidRPr="00CC0C28">
        <w:rPr>
          <w:rFonts w:cs="Arial"/>
          <w:i/>
          <w:sz w:val="20"/>
        </w:rPr>
        <w:t>Commission scolaire de la Baie-James</w:t>
      </w:r>
      <w:r w:rsidR="00B0285F" w:rsidRPr="00B0285F">
        <w:rPr>
          <w:rFonts w:cs="Arial"/>
          <w:sz w:val="20"/>
        </w:rPr>
        <w:t xml:space="preserve"> et </w:t>
      </w:r>
      <w:r w:rsidR="00B0285F" w:rsidRPr="00CC0C28">
        <w:rPr>
          <w:rFonts w:cs="Arial"/>
          <w:i/>
          <w:sz w:val="20"/>
        </w:rPr>
        <w:t>Paquette</w:t>
      </w:r>
      <w:r w:rsidR="00B0285F" w:rsidRPr="00B0285F">
        <w:rPr>
          <w:rFonts w:cs="Arial"/>
          <w:sz w:val="20"/>
        </w:rPr>
        <w:t>, 2019 QCTAT 3930</w:t>
      </w:r>
      <w:r w:rsidR="00CC0C28">
        <w:rPr>
          <w:rFonts w:cs="Arial"/>
          <w:sz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A95C5E" w:rsidTr="00410B6C">
      <w:tc>
        <w:tcPr>
          <w:tcW w:w="8730" w:type="dxa"/>
        </w:tcPr>
        <w:p w:rsidR="00A95C5E" w:rsidRDefault="00A95C5E">
          <w:pPr>
            <w:pStyle w:val="En-tte"/>
            <w:ind w:left="-90"/>
          </w:pPr>
        </w:p>
      </w:tc>
      <w:tc>
        <w:tcPr>
          <w:tcW w:w="860" w:type="dxa"/>
        </w:tcPr>
        <w:p w:rsidR="00A95C5E" w:rsidRDefault="00A95C5E">
          <w:pPr>
            <w:pStyle w:val="En-tte"/>
            <w:ind w:left="-90"/>
          </w:pPr>
        </w:p>
      </w:tc>
    </w:tr>
    <w:tr w:rsidR="00410B6C" w:rsidTr="00410B6C">
      <w:tc>
        <w:tcPr>
          <w:tcW w:w="8730" w:type="dxa"/>
        </w:tcPr>
        <w:p w:rsidR="00410B6C" w:rsidRDefault="00410B6C" w:rsidP="00410B6C">
          <w:pPr>
            <w:pStyle w:val="zSoquijdatNoDossier"/>
          </w:pPr>
          <w:r>
            <w:t>1253346-62-2111</w:t>
          </w:r>
        </w:p>
      </w:tc>
      <w:tc>
        <w:tcPr>
          <w:tcW w:w="860" w:type="dxa"/>
        </w:tcPr>
        <w:p w:rsidR="00410B6C" w:rsidRDefault="00410B6C" w:rsidP="00410B6C">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956632">
            <w:rPr>
              <w:rStyle w:val="Numrodepage"/>
              <w:noProof/>
            </w:rPr>
            <w:t>2</w:t>
          </w:r>
          <w:r>
            <w:rPr>
              <w:rStyle w:val="Numrodepage"/>
            </w:rPr>
            <w:fldChar w:fldCharType="end"/>
          </w:r>
        </w:p>
      </w:tc>
    </w:tr>
    <w:tr w:rsidR="00410B6C" w:rsidTr="00410B6C">
      <w:tc>
        <w:tcPr>
          <w:tcW w:w="8730" w:type="dxa"/>
        </w:tcPr>
        <w:p w:rsidR="00410B6C" w:rsidRDefault="00410B6C" w:rsidP="00410B6C"/>
      </w:tc>
      <w:tc>
        <w:tcPr>
          <w:tcW w:w="860" w:type="dxa"/>
        </w:tcPr>
        <w:p w:rsidR="00410B6C" w:rsidRDefault="00410B6C" w:rsidP="00410B6C">
          <w:pPr>
            <w:pStyle w:val="En-tte"/>
            <w:ind w:left="-90"/>
            <w:jc w:val="right"/>
          </w:pPr>
        </w:p>
      </w:tc>
    </w:tr>
  </w:tbl>
  <w:p w:rsidR="00A95C5E" w:rsidRDefault="00A95C5E">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A7DA9"/>
    <w:multiLevelType w:val="hybridMultilevel"/>
    <w:tmpl w:val="355A3BD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3" w15:restartNumberingAfterBreak="0">
    <w:nsid w:val="3CE736A5"/>
    <w:multiLevelType w:val="hybridMultilevel"/>
    <w:tmpl w:val="3DE035C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5"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7"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9"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0"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1"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9"/>
  </w:num>
  <w:num w:numId="2">
    <w:abstractNumId w:val="8"/>
  </w:num>
  <w:num w:numId="3">
    <w:abstractNumId w:val="7"/>
  </w:num>
  <w:num w:numId="4">
    <w:abstractNumId w:val="5"/>
  </w:num>
  <w:num w:numId="5">
    <w:abstractNumId w:val="11"/>
  </w:num>
  <w:num w:numId="6">
    <w:abstractNumId w:val="11"/>
  </w:num>
  <w:num w:numId="7">
    <w:abstractNumId w:val="1"/>
  </w:num>
  <w:num w:numId="8">
    <w:abstractNumId w:val="4"/>
  </w:num>
  <w:num w:numId="9">
    <w:abstractNumId w:val="2"/>
  </w:num>
  <w:num w:numId="10">
    <w:abstractNumId w:val="10"/>
  </w:num>
  <w:num w:numId="11">
    <w:abstractNumId w:val="6"/>
  </w:num>
  <w:num w:numId="12">
    <w:abstractNumId w:val="3"/>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294F"/>
    <w:rsid w:val="000034B0"/>
    <w:rsid w:val="000041A1"/>
    <w:rsid w:val="0001277D"/>
    <w:rsid w:val="0001305E"/>
    <w:rsid w:val="00021B30"/>
    <w:rsid w:val="00021E4C"/>
    <w:rsid w:val="00022556"/>
    <w:rsid w:val="00023858"/>
    <w:rsid w:val="000352CA"/>
    <w:rsid w:val="000366EC"/>
    <w:rsid w:val="00043E4D"/>
    <w:rsid w:val="00050656"/>
    <w:rsid w:val="00056393"/>
    <w:rsid w:val="0007225E"/>
    <w:rsid w:val="00073E6F"/>
    <w:rsid w:val="00074EAE"/>
    <w:rsid w:val="00076D81"/>
    <w:rsid w:val="00080885"/>
    <w:rsid w:val="00082A97"/>
    <w:rsid w:val="0008378A"/>
    <w:rsid w:val="0008784D"/>
    <w:rsid w:val="00090018"/>
    <w:rsid w:val="00090306"/>
    <w:rsid w:val="00093ACD"/>
    <w:rsid w:val="00095814"/>
    <w:rsid w:val="00097D81"/>
    <w:rsid w:val="00097FCE"/>
    <w:rsid w:val="000A4AD0"/>
    <w:rsid w:val="000A5AD1"/>
    <w:rsid w:val="000A77C5"/>
    <w:rsid w:val="000B7F1B"/>
    <w:rsid w:val="000C467C"/>
    <w:rsid w:val="000C710F"/>
    <w:rsid w:val="000D1A54"/>
    <w:rsid w:val="000D3948"/>
    <w:rsid w:val="000D532D"/>
    <w:rsid w:val="000E0C28"/>
    <w:rsid w:val="000E1320"/>
    <w:rsid w:val="000E3FF6"/>
    <w:rsid w:val="000E56A6"/>
    <w:rsid w:val="000F3423"/>
    <w:rsid w:val="000F5F81"/>
    <w:rsid w:val="001023F6"/>
    <w:rsid w:val="00104550"/>
    <w:rsid w:val="00104C3D"/>
    <w:rsid w:val="001050B4"/>
    <w:rsid w:val="001144AB"/>
    <w:rsid w:val="0012224D"/>
    <w:rsid w:val="001225BC"/>
    <w:rsid w:val="00122A9E"/>
    <w:rsid w:val="00122F94"/>
    <w:rsid w:val="0012326A"/>
    <w:rsid w:val="00137E7E"/>
    <w:rsid w:val="001407FC"/>
    <w:rsid w:val="00144572"/>
    <w:rsid w:val="00147A49"/>
    <w:rsid w:val="00147B8B"/>
    <w:rsid w:val="0015125A"/>
    <w:rsid w:val="00152464"/>
    <w:rsid w:val="0015539F"/>
    <w:rsid w:val="00160597"/>
    <w:rsid w:val="00164637"/>
    <w:rsid w:val="001664C8"/>
    <w:rsid w:val="00167AD0"/>
    <w:rsid w:val="00167E9D"/>
    <w:rsid w:val="00173184"/>
    <w:rsid w:val="00175079"/>
    <w:rsid w:val="00183515"/>
    <w:rsid w:val="001A03BE"/>
    <w:rsid w:val="001A067E"/>
    <w:rsid w:val="001A2900"/>
    <w:rsid w:val="001A4081"/>
    <w:rsid w:val="001A65F1"/>
    <w:rsid w:val="001B2B40"/>
    <w:rsid w:val="001B3E9D"/>
    <w:rsid w:val="001B4A40"/>
    <w:rsid w:val="001B5524"/>
    <w:rsid w:val="001C19D4"/>
    <w:rsid w:val="001C2B0B"/>
    <w:rsid w:val="001C436D"/>
    <w:rsid w:val="001C48BD"/>
    <w:rsid w:val="001C77B2"/>
    <w:rsid w:val="001D65D8"/>
    <w:rsid w:val="001E42F0"/>
    <w:rsid w:val="00226493"/>
    <w:rsid w:val="00227040"/>
    <w:rsid w:val="00227404"/>
    <w:rsid w:val="00230CFC"/>
    <w:rsid w:val="00231C1D"/>
    <w:rsid w:val="00241CED"/>
    <w:rsid w:val="00242FB4"/>
    <w:rsid w:val="00245605"/>
    <w:rsid w:val="002563F0"/>
    <w:rsid w:val="00256DBB"/>
    <w:rsid w:val="00266064"/>
    <w:rsid w:val="00266E78"/>
    <w:rsid w:val="00267C8D"/>
    <w:rsid w:val="002701DD"/>
    <w:rsid w:val="00273F49"/>
    <w:rsid w:val="002769B5"/>
    <w:rsid w:val="00276B59"/>
    <w:rsid w:val="00281319"/>
    <w:rsid w:val="00286149"/>
    <w:rsid w:val="0028668D"/>
    <w:rsid w:val="00290289"/>
    <w:rsid w:val="00292188"/>
    <w:rsid w:val="00296645"/>
    <w:rsid w:val="00296A4B"/>
    <w:rsid w:val="00297284"/>
    <w:rsid w:val="002A0077"/>
    <w:rsid w:val="002A07DC"/>
    <w:rsid w:val="002A3573"/>
    <w:rsid w:val="002A374B"/>
    <w:rsid w:val="002A73E9"/>
    <w:rsid w:val="002B2DA4"/>
    <w:rsid w:val="002B2FC3"/>
    <w:rsid w:val="002B331B"/>
    <w:rsid w:val="002B35F0"/>
    <w:rsid w:val="002B58AF"/>
    <w:rsid w:val="002C1323"/>
    <w:rsid w:val="002C3748"/>
    <w:rsid w:val="002C48EA"/>
    <w:rsid w:val="002C5E89"/>
    <w:rsid w:val="002D42BC"/>
    <w:rsid w:val="002D71A9"/>
    <w:rsid w:val="002D7846"/>
    <w:rsid w:val="002D7FCB"/>
    <w:rsid w:val="002E05AE"/>
    <w:rsid w:val="002F191E"/>
    <w:rsid w:val="002F7507"/>
    <w:rsid w:val="00302FB4"/>
    <w:rsid w:val="00305273"/>
    <w:rsid w:val="003057FC"/>
    <w:rsid w:val="00307C85"/>
    <w:rsid w:val="00312983"/>
    <w:rsid w:val="003248CB"/>
    <w:rsid w:val="00331EA7"/>
    <w:rsid w:val="003332B8"/>
    <w:rsid w:val="00337555"/>
    <w:rsid w:val="00344465"/>
    <w:rsid w:val="0034740A"/>
    <w:rsid w:val="0035375B"/>
    <w:rsid w:val="00353AFE"/>
    <w:rsid w:val="00362D74"/>
    <w:rsid w:val="003651F4"/>
    <w:rsid w:val="003664E9"/>
    <w:rsid w:val="00366D1E"/>
    <w:rsid w:val="0037112C"/>
    <w:rsid w:val="00373EE5"/>
    <w:rsid w:val="003817E7"/>
    <w:rsid w:val="00382E55"/>
    <w:rsid w:val="00387822"/>
    <w:rsid w:val="00390B55"/>
    <w:rsid w:val="003961B2"/>
    <w:rsid w:val="003A41AD"/>
    <w:rsid w:val="003B152B"/>
    <w:rsid w:val="003B1734"/>
    <w:rsid w:val="003B1735"/>
    <w:rsid w:val="003B6CBF"/>
    <w:rsid w:val="003C47A7"/>
    <w:rsid w:val="003D0826"/>
    <w:rsid w:val="003D18FC"/>
    <w:rsid w:val="003D3C5A"/>
    <w:rsid w:val="003D3C93"/>
    <w:rsid w:val="003E00D5"/>
    <w:rsid w:val="003E02BA"/>
    <w:rsid w:val="003F0578"/>
    <w:rsid w:val="003F12E6"/>
    <w:rsid w:val="003F762E"/>
    <w:rsid w:val="003F7F38"/>
    <w:rsid w:val="0040399B"/>
    <w:rsid w:val="00406F0C"/>
    <w:rsid w:val="00410B6C"/>
    <w:rsid w:val="00411251"/>
    <w:rsid w:val="00412585"/>
    <w:rsid w:val="0041363B"/>
    <w:rsid w:val="00415D5D"/>
    <w:rsid w:val="004232E9"/>
    <w:rsid w:val="0042650F"/>
    <w:rsid w:val="0042684F"/>
    <w:rsid w:val="00427D5D"/>
    <w:rsid w:val="00431E0B"/>
    <w:rsid w:val="004337FE"/>
    <w:rsid w:val="00433E98"/>
    <w:rsid w:val="00435738"/>
    <w:rsid w:val="00437137"/>
    <w:rsid w:val="004403B8"/>
    <w:rsid w:val="00441ADA"/>
    <w:rsid w:val="004422CA"/>
    <w:rsid w:val="0044328B"/>
    <w:rsid w:val="0044371C"/>
    <w:rsid w:val="0044627E"/>
    <w:rsid w:val="0045114F"/>
    <w:rsid w:val="004529D3"/>
    <w:rsid w:val="00453F31"/>
    <w:rsid w:val="00456B0C"/>
    <w:rsid w:val="0046538B"/>
    <w:rsid w:val="00471C92"/>
    <w:rsid w:val="004739AC"/>
    <w:rsid w:val="00474489"/>
    <w:rsid w:val="00475FEF"/>
    <w:rsid w:val="0047776F"/>
    <w:rsid w:val="00482D5B"/>
    <w:rsid w:val="004870EA"/>
    <w:rsid w:val="00487F13"/>
    <w:rsid w:val="004915BD"/>
    <w:rsid w:val="0049595F"/>
    <w:rsid w:val="00496193"/>
    <w:rsid w:val="004A02AF"/>
    <w:rsid w:val="004A4449"/>
    <w:rsid w:val="004A4B1A"/>
    <w:rsid w:val="004A679B"/>
    <w:rsid w:val="004C0FB4"/>
    <w:rsid w:val="004C1811"/>
    <w:rsid w:val="004C2662"/>
    <w:rsid w:val="004C2944"/>
    <w:rsid w:val="004C4555"/>
    <w:rsid w:val="004D16D6"/>
    <w:rsid w:val="004D2EBF"/>
    <w:rsid w:val="004D45EB"/>
    <w:rsid w:val="004D6CEA"/>
    <w:rsid w:val="004E3564"/>
    <w:rsid w:val="004E51C0"/>
    <w:rsid w:val="004E64BE"/>
    <w:rsid w:val="004F6293"/>
    <w:rsid w:val="005023D9"/>
    <w:rsid w:val="00503B8D"/>
    <w:rsid w:val="00503EE3"/>
    <w:rsid w:val="00505811"/>
    <w:rsid w:val="0051261C"/>
    <w:rsid w:val="00515DE7"/>
    <w:rsid w:val="00517EB0"/>
    <w:rsid w:val="005205CB"/>
    <w:rsid w:val="005348E4"/>
    <w:rsid w:val="005352F1"/>
    <w:rsid w:val="005353C5"/>
    <w:rsid w:val="00540094"/>
    <w:rsid w:val="00545CFF"/>
    <w:rsid w:val="00555800"/>
    <w:rsid w:val="00556DBB"/>
    <w:rsid w:val="00560781"/>
    <w:rsid w:val="0056268F"/>
    <w:rsid w:val="005662E9"/>
    <w:rsid w:val="005700F8"/>
    <w:rsid w:val="00572AAF"/>
    <w:rsid w:val="005801AE"/>
    <w:rsid w:val="00582868"/>
    <w:rsid w:val="00582ECC"/>
    <w:rsid w:val="0058399B"/>
    <w:rsid w:val="0058692F"/>
    <w:rsid w:val="00587045"/>
    <w:rsid w:val="00587C22"/>
    <w:rsid w:val="005907BE"/>
    <w:rsid w:val="0059436D"/>
    <w:rsid w:val="005945C0"/>
    <w:rsid w:val="00597016"/>
    <w:rsid w:val="005974B7"/>
    <w:rsid w:val="005A0D51"/>
    <w:rsid w:val="005A181B"/>
    <w:rsid w:val="005A1CB3"/>
    <w:rsid w:val="005A3073"/>
    <w:rsid w:val="005A33A5"/>
    <w:rsid w:val="005A70A0"/>
    <w:rsid w:val="005B0612"/>
    <w:rsid w:val="005B13F0"/>
    <w:rsid w:val="005B2E0C"/>
    <w:rsid w:val="005B30F6"/>
    <w:rsid w:val="005B45BA"/>
    <w:rsid w:val="005B5689"/>
    <w:rsid w:val="005B6630"/>
    <w:rsid w:val="005B6680"/>
    <w:rsid w:val="005B6774"/>
    <w:rsid w:val="005C0A89"/>
    <w:rsid w:val="005C3BC4"/>
    <w:rsid w:val="005D26CC"/>
    <w:rsid w:val="005D59B1"/>
    <w:rsid w:val="005D764B"/>
    <w:rsid w:val="005E2367"/>
    <w:rsid w:val="005E2862"/>
    <w:rsid w:val="005E330F"/>
    <w:rsid w:val="005E5E90"/>
    <w:rsid w:val="005E654C"/>
    <w:rsid w:val="005F05F6"/>
    <w:rsid w:val="005F3121"/>
    <w:rsid w:val="005F7E4D"/>
    <w:rsid w:val="005F7F61"/>
    <w:rsid w:val="00605734"/>
    <w:rsid w:val="006060DF"/>
    <w:rsid w:val="0061488E"/>
    <w:rsid w:val="0061574B"/>
    <w:rsid w:val="00622670"/>
    <w:rsid w:val="00623A1A"/>
    <w:rsid w:val="006265F9"/>
    <w:rsid w:val="00626E8D"/>
    <w:rsid w:val="0063156B"/>
    <w:rsid w:val="006319BA"/>
    <w:rsid w:val="006326A9"/>
    <w:rsid w:val="00632DA8"/>
    <w:rsid w:val="00634AB7"/>
    <w:rsid w:val="00634E6E"/>
    <w:rsid w:val="0064342A"/>
    <w:rsid w:val="00643A28"/>
    <w:rsid w:val="006452FA"/>
    <w:rsid w:val="0065093D"/>
    <w:rsid w:val="00652A16"/>
    <w:rsid w:val="00655193"/>
    <w:rsid w:val="00655459"/>
    <w:rsid w:val="00656FB2"/>
    <w:rsid w:val="00657A70"/>
    <w:rsid w:val="006604B3"/>
    <w:rsid w:val="00661454"/>
    <w:rsid w:val="006620AA"/>
    <w:rsid w:val="0066642D"/>
    <w:rsid w:val="00671A55"/>
    <w:rsid w:val="00675E85"/>
    <w:rsid w:val="0067750F"/>
    <w:rsid w:val="00681396"/>
    <w:rsid w:val="0068171F"/>
    <w:rsid w:val="0068401E"/>
    <w:rsid w:val="006841A4"/>
    <w:rsid w:val="0068643F"/>
    <w:rsid w:val="006877A1"/>
    <w:rsid w:val="00692150"/>
    <w:rsid w:val="00692F0C"/>
    <w:rsid w:val="00696E7C"/>
    <w:rsid w:val="006A0C54"/>
    <w:rsid w:val="006A7C53"/>
    <w:rsid w:val="006B140A"/>
    <w:rsid w:val="006B309C"/>
    <w:rsid w:val="006B3A10"/>
    <w:rsid w:val="006B727F"/>
    <w:rsid w:val="006C3394"/>
    <w:rsid w:val="006C6903"/>
    <w:rsid w:val="006C6D3A"/>
    <w:rsid w:val="006C7B36"/>
    <w:rsid w:val="006C7B7F"/>
    <w:rsid w:val="006D19E8"/>
    <w:rsid w:val="006E04B5"/>
    <w:rsid w:val="006E330C"/>
    <w:rsid w:val="006E3DD8"/>
    <w:rsid w:val="006E59A7"/>
    <w:rsid w:val="006E60E4"/>
    <w:rsid w:val="006E71DF"/>
    <w:rsid w:val="006E793F"/>
    <w:rsid w:val="006F0154"/>
    <w:rsid w:val="006F608D"/>
    <w:rsid w:val="006F72D1"/>
    <w:rsid w:val="006F7944"/>
    <w:rsid w:val="00704121"/>
    <w:rsid w:val="00705BB5"/>
    <w:rsid w:val="0071326F"/>
    <w:rsid w:val="007153D7"/>
    <w:rsid w:val="00720ED4"/>
    <w:rsid w:val="0074488F"/>
    <w:rsid w:val="00745AA8"/>
    <w:rsid w:val="007503E0"/>
    <w:rsid w:val="007510EC"/>
    <w:rsid w:val="0075233C"/>
    <w:rsid w:val="0075256A"/>
    <w:rsid w:val="00752DCD"/>
    <w:rsid w:val="00754838"/>
    <w:rsid w:val="007569DE"/>
    <w:rsid w:val="0075723C"/>
    <w:rsid w:val="0076263A"/>
    <w:rsid w:val="0076402B"/>
    <w:rsid w:val="00774F40"/>
    <w:rsid w:val="00775BDF"/>
    <w:rsid w:val="0077614D"/>
    <w:rsid w:val="00782C8F"/>
    <w:rsid w:val="00785F78"/>
    <w:rsid w:val="0078659D"/>
    <w:rsid w:val="007869EC"/>
    <w:rsid w:val="007A1E58"/>
    <w:rsid w:val="007A3172"/>
    <w:rsid w:val="007A5C7E"/>
    <w:rsid w:val="007A6E2F"/>
    <w:rsid w:val="007B0DF2"/>
    <w:rsid w:val="007B3BC5"/>
    <w:rsid w:val="007D03DF"/>
    <w:rsid w:val="007D4953"/>
    <w:rsid w:val="007D50F4"/>
    <w:rsid w:val="007D7173"/>
    <w:rsid w:val="007E1216"/>
    <w:rsid w:val="007E248C"/>
    <w:rsid w:val="007E4CD4"/>
    <w:rsid w:val="007E530C"/>
    <w:rsid w:val="007F0E8E"/>
    <w:rsid w:val="007F2149"/>
    <w:rsid w:val="007F4E00"/>
    <w:rsid w:val="008048CF"/>
    <w:rsid w:val="008079DD"/>
    <w:rsid w:val="0081130F"/>
    <w:rsid w:val="00813095"/>
    <w:rsid w:val="008145AD"/>
    <w:rsid w:val="008146B2"/>
    <w:rsid w:val="008177A4"/>
    <w:rsid w:val="00824430"/>
    <w:rsid w:val="00825B1F"/>
    <w:rsid w:val="00827D55"/>
    <w:rsid w:val="00840EDD"/>
    <w:rsid w:val="0084255F"/>
    <w:rsid w:val="00854749"/>
    <w:rsid w:val="00854FB3"/>
    <w:rsid w:val="00860F13"/>
    <w:rsid w:val="00861F8B"/>
    <w:rsid w:val="0086561F"/>
    <w:rsid w:val="00865A7A"/>
    <w:rsid w:val="00865FE1"/>
    <w:rsid w:val="0087069B"/>
    <w:rsid w:val="008748C7"/>
    <w:rsid w:val="00874F0A"/>
    <w:rsid w:val="0087521A"/>
    <w:rsid w:val="008808C0"/>
    <w:rsid w:val="00890BDE"/>
    <w:rsid w:val="00892AD3"/>
    <w:rsid w:val="008962E7"/>
    <w:rsid w:val="008A1118"/>
    <w:rsid w:val="008A281F"/>
    <w:rsid w:val="008A48D2"/>
    <w:rsid w:val="008A4AF6"/>
    <w:rsid w:val="008A4FF8"/>
    <w:rsid w:val="008A5ED1"/>
    <w:rsid w:val="008A73CE"/>
    <w:rsid w:val="008A7FD1"/>
    <w:rsid w:val="008B042E"/>
    <w:rsid w:val="008B211E"/>
    <w:rsid w:val="008B6D48"/>
    <w:rsid w:val="008C16E7"/>
    <w:rsid w:val="008C7660"/>
    <w:rsid w:val="008C79A7"/>
    <w:rsid w:val="008D029C"/>
    <w:rsid w:val="008D5521"/>
    <w:rsid w:val="008D555F"/>
    <w:rsid w:val="008D625D"/>
    <w:rsid w:val="008D650E"/>
    <w:rsid w:val="008E3B99"/>
    <w:rsid w:val="008E6A41"/>
    <w:rsid w:val="008F15D5"/>
    <w:rsid w:val="00903990"/>
    <w:rsid w:val="009042A8"/>
    <w:rsid w:val="00904950"/>
    <w:rsid w:val="00915E5E"/>
    <w:rsid w:val="009166B8"/>
    <w:rsid w:val="00917915"/>
    <w:rsid w:val="00920684"/>
    <w:rsid w:val="009216E6"/>
    <w:rsid w:val="00922DB7"/>
    <w:rsid w:val="0092684A"/>
    <w:rsid w:val="00937FAB"/>
    <w:rsid w:val="0094094D"/>
    <w:rsid w:val="00942AB8"/>
    <w:rsid w:val="0094548C"/>
    <w:rsid w:val="00945CAF"/>
    <w:rsid w:val="00946AC9"/>
    <w:rsid w:val="00946D7D"/>
    <w:rsid w:val="00947448"/>
    <w:rsid w:val="00952B38"/>
    <w:rsid w:val="00952C99"/>
    <w:rsid w:val="00956632"/>
    <w:rsid w:val="00960DF3"/>
    <w:rsid w:val="00965333"/>
    <w:rsid w:val="009712EF"/>
    <w:rsid w:val="009727BF"/>
    <w:rsid w:val="00973321"/>
    <w:rsid w:val="00975C2E"/>
    <w:rsid w:val="00977270"/>
    <w:rsid w:val="009824F2"/>
    <w:rsid w:val="00983080"/>
    <w:rsid w:val="00986AA3"/>
    <w:rsid w:val="00993B24"/>
    <w:rsid w:val="009960EB"/>
    <w:rsid w:val="0099611F"/>
    <w:rsid w:val="009A083F"/>
    <w:rsid w:val="009A135C"/>
    <w:rsid w:val="009A67E7"/>
    <w:rsid w:val="009B16AA"/>
    <w:rsid w:val="009C603A"/>
    <w:rsid w:val="009C74CD"/>
    <w:rsid w:val="009D048F"/>
    <w:rsid w:val="009D162F"/>
    <w:rsid w:val="009D401F"/>
    <w:rsid w:val="009D68FA"/>
    <w:rsid w:val="009E32CF"/>
    <w:rsid w:val="009E4FC2"/>
    <w:rsid w:val="009F03D9"/>
    <w:rsid w:val="009F44AE"/>
    <w:rsid w:val="00A02529"/>
    <w:rsid w:val="00A02EF2"/>
    <w:rsid w:val="00A04D5E"/>
    <w:rsid w:val="00A10DDF"/>
    <w:rsid w:val="00A11172"/>
    <w:rsid w:val="00A1219E"/>
    <w:rsid w:val="00A12E55"/>
    <w:rsid w:val="00A2411A"/>
    <w:rsid w:val="00A242E4"/>
    <w:rsid w:val="00A24437"/>
    <w:rsid w:val="00A24CA0"/>
    <w:rsid w:val="00A32DEE"/>
    <w:rsid w:val="00A33601"/>
    <w:rsid w:val="00A3362A"/>
    <w:rsid w:val="00A37B70"/>
    <w:rsid w:val="00A40AC7"/>
    <w:rsid w:val="00A435C7"/>
    <w:rsid w:val="00A569B2"/>
    <w:rsid w:val="00A611A4"/>
    <w:rsid w:val="00A61F09"/>
    <w:rsid w:val="00A6695B"/>
    <w:rsid w:val="00A72703"/>
    <w:rsid w:val="00A727F6"/>
    <w:rsid w:val="00A72E71"/>
    <w:rsid w:val="00A76432"/>
    <w:rsid w:val="00A770C0"/>
    <w:rsid w:val="00A84FC6"/>
    <w:rsid w:val="00A8528E"/>
    <w:rsid w:val="00A8665E"/>
    <w:rsid w:val="00A90BD9"/>
    <w:rsid w:val="00A94A49"/>
    <w:rsid w:val="00A95C5E"/>
    <w:rsid w:val="00AA1815"/>
    <w:rsid w:val="00AA1D3E"/>
    <w:rsid w:val="00AA37BA"/>
    <w:rsid w:val="00AA39F9"/>
    <w:rsid w:val="00AA79D3"/>
    <w:rsid w:val="00AB0931"/>
    <w:rsid w:val="00AB5C9B"/>
    <w:rsid w:val="00AC0276"/>
    <w:rsid w:val="00AC0312"/>
    <w:rsid w:val="00AC0449"/>
    <w:rsid w:val="00AC0DC3"/>
    <w:rsid w:val="00AD2497"/>
    <w:rsid w:val="00AD5EB4"/>
    <w:rsid w:val="00AD667B"/>
    <w:rsid w:val="00AE63E2"/>
    <w:rsid w:val="00AF04C9"/>
    <w:rsid w:val="00AF1DC4"/>
    <w:rsid w:val="00AF26B6"/>
    <w:rsid w:val="00AF2979"/>
    <w:rsid w:val="00AF3189"/>
    <w:rsid w:val="00AF366C"/>
    <w:rsid w:val="00B0285F"/>
    <w:rsid w:val="00B0375C"/>
    <w:rsid w:val="00B052CB"/>
    <w:rsid w:val="00B156C3"/>
    <w:rsid w:val="00B15F67"/>
    <w:rsid w:val="00B1624F"/>
    <w:rsid w:val="00B20EBC"/>
    <w:rsid w:val="00B20F5D"/>
    <w:rsid w:val="00B21184"/>
    <w:rsid w:val="00B224C5"/>
    <w:rsid w:val="00B325CD"/>
    <w:rsid w:val="00B4561E"/>
    <w:rsid w:val="00B4768D"/>
    <w:rsid w:val="00B518E5"/>
    <w:rsid w:val="00B51E1F"/>
    <w:rsid w:val="00B5294F"/>
    <w:rsid w:val="00B561D4"/>
    <w:rsid w:val="00B569CC"/>
    <w:rsid w:val="00B57032"/>
    <w:rsid w:val="00B57EB8"/>
    <w:rsid w:val="00B60222"/>
    <w:rsid w:val="00B62CFB"/>
    <w:rsid w:val="00B662F5"/>
    <w:rsid w:val="00B7000C"/>
    <w:rsid w:val="00B760D5"/>
    <w:rsid w:val="00B83B2C"/>
    <w:rsid w:val="00B87614"/>
    <w:rsid w:val="00B906B1"/>
    <w:rsid w:val="00B92049"/>
    <w:rsid w:val="00B94740"/>
    <w:rsid w:val="00B95002"/>
    <w:rsid w:val="00B97F75"/>
    <w:rsid w:val="00BA0A4F"/>
    <w:rsid w:val="00BA1CAE"/>
    <w:rsid w:val="00BA33BB"/>
    <w:rsid w:val="00BA4830"/>
    <w:rsid w:val="00BA6E22"/>
    <w:rsid w:val="00BB362C"/>
    <w:rsid w:val="00BB5942"/>
    <w:rsid w:val="00BB5F19"/>
    <w:rsid w:val="00BC0A03"/>
    <w:rsid w:val="00BC5BB4"/>
    <w:rsid w:val="00BD4139"/>
    <w:rsid w:val="00BE059A"/>
    <w:rsid w:val="00BE1981"/>
    <w:rsid w:val="00BE2DA6"/>
    <w:rsid w:val="00BE320B"/>
    <w:rsid w:val="00BE56E9"/>
    <w:rsid w:val="00BE63CF"/>
    <w:rsid w:val="00BE7014"/>
    <w:rsid w:val="00BE7991"/>
    <w:rsid w:val="00BF25C7"/>
    <w:rsid w:val="00C009B7"/>
    <w:rsid w:val="00C04E32"/>
    <w:rsid w:val="00C116B1"/>
    <w:rsid w:val="00C15A3F"/>
    <w:rsid w:val="00C20630"/>
    <w:rsid w:val="00C224A4"/>
    <w:rsid w:val="00C22F7A"/>
    <w:rsid w:val="00C2666F"/>
    <w:rsid w:val="00C31DA0"/>
    <w:rsid w:val="00C32020"/>
    <w:rsid w:val="00C32D02"/>
    <w:rsid w:val="00C3408C"/>
    <w:rsid w:val="00C3484D"/>
    <w:rsid w:val="00C3515B"/>
    <w:rsid w:val="00C351CC"/>
    <w:rsid w:val="00C35435"/>
    <w:rsid w:val="00C432FD"/>
    <w:rsid w:val="00C43CDF"/>
    <w:rsid w:val="00C50E38"/>
    <w:rsid w:val="00C512B2"/>
    <w:rsid w:val="00C61C21"/>
    <w:rsid w:val="00C61D56"/>
    <w:rsid w:val="00C62B69"/>
    <w:rsid w:val="00C644B7"/>
    <w:rsid w:val="00C64564"/>
    <w:rsid w:val="00C73C87"/>
    <w:rsid w:val="00C74B6F"/>
    <w:rsid w:val="00C87EF3"/>
    <w:rsid w:val="00C9015F"/>
    <w:rsid w:val="00C912F9"/>
    <w:rsid w:val="00C9241B"/>
    <w:rsid w:val="00C96DDF"/>
    <w:rsid w:val="00C9718F"/>
    <w:rsid w:val="00C97569"/>
    <w:rsid w:val="00CA0F08"/>
    <w:rsid w:val="00CA199D"/>
    <w:rsid w:val="00CA4D9C"/>
    <w:rsid w:val="00CB05A7"/>
    <w:rsid w:val="00CB06A4"/>
    <w:rsid w:val="00CB325B"/>
    <w:rsid w:val="00CB64FF"/>
    <w:rsid w:val="00CB7078"/>
    <w:rsid w:val="00CC014B"/>
    <w:rsid w:val="00CC0888"/>
    <w:rsid w:val="00CC0C28"/>
    <w:rsid w:val="00CC21D8"/>
    <w:rsid w:val="00CC3369"/>
    <w:rsid w:val="00CC5343"/>
    <w:rsid w:val="00CC6338"/>
    <w:rsid w:val="00CC78DE"/>
    <w:rsid w:val="00CD04D9"/>
    <w:rsid w:val="00CD0F93"/>
    <w:rsid w:val="00CD6D6E"/>
    <w:rsid w:val="00CD6F23"/>
    <w:rsid w:val="00CE0066"/>
    <w:rsid w:val="00CF640B"/>
    <w:rsid w:val="00CF6B5A"/>
    <w:rsid w:val="00D027AF"/>
    <w:rsid w:val="00D0323E"/>
    <w:rsid w:val="00D06652"/>
    <w:rsid w:val="00D07FA6"/>
    <w:rsid w:val="00D11E14"/>
    <w:rsid w:val="00D16ADF"/>
    <w:rsid w:val="00D17C53"/>
    <w:rsid w:val="00D17D57"/>
    <w:rsid w:val="00D2341D"/>
    <w:rsid w:val="00D25E0E"/>
    <w:rsid w:val="00D302EB"/>
    <w:rsid w:val="00D31679"/>
    <w:rsid w:val="00D320C8"/>
    <w:rsid w:val="00D3672F"/>
    <w:rsid w:val="00D3692A"/>
    <w:rsid w:val="00D40ABA"/>
    <w:rsid w:val="00D40FE2"/>
    <w:rsid w:val="00D440FA"/>
    <w:rsid w:val="00D44BCF"/>
    <w:rsid w:val="00D46E73"/>
    <w:rsid w:val="00D5548D"/>
    <w:rsid w:val="00D60F81"/>
    <w:rsid w:val="00D63951"/>
    <w:rsid w:val="00D63BF2"/>
    <w:rsid w:val="00D67348"/>
    <w:rsid w:val="00D70A26"/>
    <w:rsid w:val="00D73BB4"/>
    <w:rsid w:val="00D75FEC"/>
    <w:rsid w:val="00D76B98"/>
    <w:rsid w:val="00D835A0"/>
    <w:rsid w:val="00D86F2C"/>
    <w:rsid w:val="00D9012A"/>
    <w:rsid w:val="00DA0680"/>
    <w:rsid w:val="00DA36F6"/>
    <w:rsid w:val="00DA680E"/>
    <w:rsid w:val="00DB0C8D"/>
    <w:rsid w:val="00DC1611"/>
    <w:rsid w:val="00DD3C53"/>
    <w:rsid w:val="00DE40B8"/>
    <w:rsid w:val="00DE745D"/>
    <w:rsid w:val="00DF0774"/>
    <w:rsid w:val="00DF1036"/>
    <w:rsid w:val="00DF4644"/>
    <w:rsid w:val="00DF70F0"/>
    <w:rsid w:val="00E012B4"/>
    <w:rsid w:val="00E017A6"/>
    <w:rsid w:val="00E05451"/>
    <w:rsid w:val="00E05651"/>
    <w:rsid w:val="00E11661"/>
    <w:rsid w:val="00E11BA5"/>
    <w:rsid w:val="00E20425"/>
    <w:rsid w:val="00E25DCB"/>
    <w:rsid w:val="00E36505"/>
    <w:rsid w:val="00E4156E"/>
    <w:rsid w:val="00E44D61"/>
    <w:rsid w:val="00E453F2"/>
    <w:rsid w:val="00E460AD"/>
    <w:rsid w:val="00E61925"/>
    <w:rsid w:val="00E65C0E"/>
    <w:rsid w:val="00E730FC"/>
    <w:rsid w:val="00E746F0"/>
    <w:rsid w:val="00E809B9"/>
    <w:rsid w:val="00E82A15"/>
    <w:rsid w:val="00E85445"/>
    <w:rsid w:val="00E87589"/>
    <w:rsid w:val="00E938FF"/>
    <w:rsid w:val="00E93DFE"/>
    <w:rsid w:val="00EA2124"/>
    <w:rsid w:val="00EA2B12"/>
    <w:rsid w:val="00EA34DC"/>
    <w:rsid w:val="00EA5017"/>
    <w:rsid w:val="00EA597F"/>
    <w:rsid w:val="00EA6BED"/>
    <w:rsid w:val="00EB14F0"/>
    <w:rsid w:val="00EB3844"/>
    <w:rsid w:val="00EB5A9F"/>
    <w:rsid w:val="00EC573F"/>
    <w:rsid w:val="00EC5C8D"/>
    <w:rsid w:val="00ED106C"/>
    <w:rsid w:val="00ED2D34"/>
    <w:rsid w:val="00ED4805"/>
    <w:rsid w:val="00ED57F6"/>
    <w:rsid w:val="00ED6C51"/>
    <w:rsid w:val="00ED6DA1"/>
    <w:rsid w:val="00EF207D"/>
    <w:rsid w:val="00EF4258"/>
    <w:rsid w:val="00EF6D31"/>
    <w:rsid w:val="00F02237"/>
    <w:rsid w:val="00F079A6"/>
    <w:rsid w:val="00F10236"/>
    <w:rsid w:val="00F15811"/>
    <w:rsid w:val="00F22423"/>
    <w:rsid w:val="00F24C72"/>
    <w:rsid w:val="00F31D22"/>
    <w:rsid w:val="00F348B2"/>
    <w:rsid w:val="00F34BF0"/>
    <w:rsid w:val="00F34ED8"/>
    <w:rsid w:val="00F4095A"/>
    <w:rsid w:val="00F4401F"/>
    <w:rsid w:val="00F45845"/>
    <w:rsid w:val="00F50189"/>
    <w:rsid w:val="00F508FC"/>
    <w:rsid w:val="00F510B7"/>
    <w:rsid w:val="00F53571"/>
    <w:rsid w:val="00F54044"/>
    <w:rsid w:val="00F576E7"/>
    <w:rsid w:val="00F73D1C"/>
    <w:rsid w:val="00F763FC"/>
    <w:rsid w:val="00F772C1"/>
    <w:rsid w:val="00F8026D"/>
    <w:rsid w:val="00F8245F"/>
    <w:rsid w:val="00F82E40"/>
    <w:rsid w:val="00F91629"/>
    <w:rsid w:val="00F91E2A"/>
    <w:rsid w:val="00F94590"/>
    <w:rsid w:val="00F96C39"/>
    <w:rsid w:val="00F96E41"/>
    <w:rsid w:val="00FA0D3B"/>
    <w:rsid w:val="00FA153F"/>
    <w:rsid w:val="00FA1D78"/>
    <w:rsid w:val="00FA1F7E"/>
    <w:rsid w:val="00FA280F"/>
    <w:rsid w:val="00FB2186"/>
    <w:rsid w:val="00FD0133"/>
    <w:rsid w:val="00FD25FE"/>
    <w:rsid w:val="00FD6206"/>
    <w:rsid w:val="00FE1318"/>
    <w:rsid w:val="00FE208F"/>
    <w:rsid w:val="00FF32C3"/>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8F15D5"/>
    <w:pPr>
      <w:keepNext/>
      <w:spacing w:before="240" w:after="240"/>
      <w:outlineLvl w:val="2"/>
    </w:pPr>
    <w:rPr>
      <w:rFonts w:cs="Arial"/>
      <w:b/>
      <w:bCs/>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
    <w:basedOn w:val="Normal"/>
    <w:link w:val="NotedebasdepageCar"/>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
    <w:basedOn w:val="Policepardfaut"/>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8048CF"/>
    <w:pPr>
      <w:spacing w:before="0" w:after="0"/>
      <w:ind w:left="1440" w:right="1440"/>
    </w:pPr>
    <w:rPr>
      <w:sz w:val="18"/>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basedOn w:val="Policepardfaut"/>
    <w:locked/>
    <w:rsid w:val="00ED57F6"/>
    <w:rPr>
      <w:rFonts w:ascii="Arial" w:hAnsi="Arial" w:cs="Times New Roman"/>
      <w:sz w:val="24"/>
    </w:rPr>
  </w:style>
  <w:style w:type="paragraph" w:styleId="Textedebulles">
    <w:name w:val="Balloon Text"/>
    <w:basedOn w:val="Normal"/>
    <w:link w:val="TextedebullesCar"/>
    <w:rsid w:val="004A4B1A"/>
    <w:rPr>
      <w:rFonts w:ascii="Segoe UI" w:hAnsi="Segoe UI" w:cs="Segoe UI"/>
      <w:sz w:val="18"/>
      <w:szCs w:val="18"/>
    </w:rPr>
  </w:style>
  <w:style w:type="character" w:customStyle="1" w:styleId="TextedebullesCar">
    <w:name w:val="Texte de bulles Car"/>
    <w:basedOn w:val="Policepardfaut"/>
    <w:link w:val="Textedebulles"/>
    <w:rsid w:val="004A4B1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0433880">
      <w:bodyDiv w:val="1"/>
      <w:marLeft w:val="0"/>
      <w:marRight w:val="0"/>
      <w:marTop w:val="0"/>
      <w:marBottom w:val="0"/>
      <w:divBdr>
        <w:top w:val="none" w:sz="0" w:space="0" w:color="auto"/>
        <w:left w:val="none" w:sz="0" w:space="0" w:color="auto"/>
        <w:bottom w:val="none" w:sz="0" w:space="0" w:color="auto"/>
        <w:right w:val="none" w:sz="0" w:space="0" w:color="auto"/>
      </w:divBdr>
    </w:div>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1149203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2775</Words>
  <Characters>15263</Characters>
  <Application>Microsoft Office Word</Application>
  <DocSecurity>0</DocSecurity>
  <Lines>127</Lines>
  <Paragraphs>36</Paragraphs>
  <ScaleCrop>false</ScaleCrop>
  <Company/>
  <LinksUpToDate>false</LinksUpToDate>
  <CharactersWithSpaces>18002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2022-11-10T15:09:00Z</dcterms:created>
  <dcterms:modified xsi:type="dcterms:W3CDTF">2022-11-10T15:09:00Z</dcterms:modified>
</cp:coreProperties>
</file>