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trPr>
          <w:cantSplit/>
        </w:trPr>
        <w:tc>
          <w:tcPr>
            <w:tcW w:w="4795" w:type="dxa"/>
          </w:tcPr>
          <w:p w:rsidR="008A7FD1" w:rsidRPr="00A93933" w:rsidRDefault="00A93933" w:rsidP="00A93933">
            <w:pPr>
              <w:pStyle w:val="zSoquijdatRepertorie"/>
              <w:rPr>
                <w:rFonts w:cs="Arial"/>
              </w:rPr>
            </w:pPr>
            <w:bookmarkStart w:id="0" w:name="_GoBack"/>
            <w:bookmarkEnd w:id="0"/>
            <w:r>
              <w:rPr>
                <w:rFonts w:cs="Arial"/>
              </w:rPr>
              <w:t>Blondin et Commission scolaire de Montréal</w:t>
            </w:r>
          </w:p>
        </w:tc>
        <w:tc>
          <w:tcPr>
            <w:tcW w:w="2477" w:type="dxa"/>
          </w:tcPr>
          <w:p w:rsidR="008A7FD1" w:rsidRPr="0043430C" w:rsidRDefault="0043430C" w:rsidP="0043430C">
            <w:pPr>
              <w:pStyle w:val="zSoquijdatRefNeutre"/>
              <w:rPr>
                <w:rFonts w:cs="Arial"/>
              </w:rPr>
            </w:pPr>
            <w:r w:rsidRPr="0043430C">
              <w:rPr>
                <w:rFonts w:cs="Arial"/>
              </w:rPr>
              <w:t>2015 QCCLP 905</w:t>
            </w:r>
          </w:p>
        </w:tc>
      </w:tr>
    </w:tbl>
    <w:p w:rsidR="008A7FD1" w:rsidRDefault="008A7FD1"/>
    <w:tbl>
      <w:tblPr>
        <w:tblW w:w="9590" w:type="dxa"/>
        <w:tblLayout w:type="fixed"/>
        <w:tblCellMar>
          <w:left w:w="70" w:type="dxa"/>
          <w:right w:w="70" w:type="dxa"/>
        </w:tblCellMar>
        <w:tblLook w:val="0000" w:firstRow="0" w:lastRow="0" w:firstColumn="0" w:lastColumn="0" w:noHBand="0" w:noVBand="0"/>
      </w:tblPr>
      <w:tblGrid>
        <w:gridCol w:w="2880"/>
        <w:gridCol w:w="1915"/>
        <w:gridCol w:w="4795"/>
      </w:tblGrid>
      <w:tr w:rsidR="00C74B6F">
        <w:trPr>
          <w:cantSplit/>
        </w:trPr>
        <w:tc>
          <w:tcPr>
            <w:tcW w:w="9590" w:type="dxa"/>
            <w:gridSpan w:val="3"/>
          </w:tcPr>
          <w:p w:rsidR="00C74B6F" w:rsidRDefault="00C74B6F"/>
        </w:tc>
      </w:tr>
      <w:tr w:rsidR="00C74B6F">
        <w:trPr>
          <w:cantSplit/>
        </w:trPr>
        <w:tc>
          <w:tcPr>
            <w:tcW w:w="9590" w:type="dxa"/>
            <w:gridSpan w:val="3"/>
            <w:vAlign w:val="center"/>
          </w:tcPr>
          <w:p w:rsidR="00C74B6F" w:rsidRDefault="00C74B6F">
            <w:pPr>
              <w:jc w:val="center"/>
            </w:pPr>
            <w:r>
              <w:rPr>
                <w:b/>
                <w:sz w:val="28"/>
              </w:rPr>
              <w:t>COMMISSION DES LÉSIONS PROFESSIONNELLES</w:t>
            </w:r>
          </w:p>
        </w:tc>
      </w:tr>
      <w:tr w:rsidR="00C74B6F">
        <w:trPr>
          <w:cantSplit/>
        </w:trPr>
        <w:tc>
          <w:tcPr>
            <w:tcW w:w="9590" w:type="dxa"/>
            <w:gridSpan w:val="3"/>
          </w:tcPr>
          <w:p w:rsidR="00C74B6F" w:rsidRDefault="00C74B6F"/>
        </w:tc>
      </w:tr>
      <w:tr w:rsidR="00C74B6F">
        <w:trPr>
          <w:cantSplit/>
        </w:trPr>
        <w:tc>
          <w:tcPr>
            <w:tcW w:w="9590" w:type="dxa"/>
            <w:gridSpan w:val="3"/>
          </w:tcPr>
          <w:p w:rsidR="00C74B6F" w:rsidRDefault="00C74B6F"/>
        </w:tc>
      </w:tr>
      <w:tr w:rsidR="00C74B6F">
        <w:tc>
          <w:tcPr>
            <w:tcW w:w="2880" w:type="dxa"/>
          </w:tcPr>
          <w:p w:rsidR="00C74B6F" w:rsidRDefault="00303A3A">
            <w:r>
              <w:t>Montréal</w:t>
            </w:r>
          </w:p>
        </w:tc>
        <w:tc>
          <w:tcPr>
            <w:tcW w:w="6710" w:type="dxa"/>
            <w:gridSpan w:val="2"/>
          </w:tcPr>
          <w:p w:rsidR="00C74B6F" w:rsidRDefault="00240976">
            <w:pPr>
              <w:pStyle w:val="zSoquijdatDateJugement"/>
            </w:pPr>
            <w:r>
              <w:t>16</w:t>
            </w:r>
            <w:r w:rsidR="00303A3A">
              <w:t xml:space="preserve"> février 2015</w:t>
            </w:r>
          </w:p>
        </w:tc>
      </w:tr>
      <w:tr w:rsidR="00C74B6F">
        <w:trPr>
          <w:cantSplit/>
        </w:trPr>
        <w:tc>
          <w:tcPr>
            <w:tcW w:w="9590" w:type="dxa"/>
            <w:gridSpan w:val="3"/>
          </w:tcPr>
          <w:p w:rsidR="00C74B6F" w:rsidRDefault="00C74B6F"/>
        </w:tc>
      </w:tr>
      <w:tr w:rsidR="00C74B6F">
        <w:tc>
          <w:tcPr>
            <w:tcW w:w="2880" w:type="dxa"/>
          </w:tcPr>
          <w:p w:rsidR="00C74B6F" w:rsidRDefault="00C74B6F">
            <w:r>
              <w:t>Région :</w:t>
            </w:r>
          </w:p>
        </w:tc>
        <w:tc>
          <w:tcPr>
            <w:tcW w:w="6710" w:type="dxa"/>
            <w:gridSpan w:val="2"/>
          </w:tcPr>
          <w:p w:rsidR="00C74B6F" w:rsidRDefault="006972CE">
            <w:pPr>
              <w:pStyle w:val="zSoquijdatGreffe"/>
            </w:pPr>
            <w:r>
              <w:t>Montréal</w:t>
            </w:r>
          </w:p>
        </w:tc>
      </w:tr>
      <w:tr w:rsidR="00C74B6F">
        <w:trPr>
          <w:cantSplit/>
        </w:trPr>
        <w:tc>
          <w:tcPr>
            <w:tcW w:w="9590" w:type="dxa"/>
            <w:gridSpan w:val="3"/>
          </w:tcPr>
          <w:p w:rsidR="00C74B6F" w:rsidRDefault="00C74B6F"/>
        </w:tc>
      </w:tr>
      <w:tr w:rsidR="00C74B6F">
        <w:tc>
          <w:tcPr>
            <w:tcW w:w="2880" w:type="dxa"/>
          </w:tcPr>
          <w:p w:rsidR="00C74B6F" w:rsidRDefault="00C74B6F">
            <w:bookmarkStart w:id="1" w:name="ref_dossier" w:colFirst="1" w:colLast="1"/>
            <w:r>
              <w:t>Dossier</w:t>
            </w:r>
            <w:bookmarkStart w:id="2" w:name="dossiers"/>
            <w:bookmarkEnd w:id="2"/>
            <w:r w:rsidR="00032D75">
              <w:t>s</w:t>
            </w:r>
            <w:r>
              <w:t xml:space="preserve"> :</w:t>
            </w:r>
          </w:p>
        </w:tc>
        <w:tc>
          <w:tcPr>
            <w:tcW w:w="6710" w:type="dxa"/>
            <w:gridSpan w:val="2"/>
          </w:tcPr>
          <w:p w:rsidR="00C74B6F" w:rsidRDefault="006972CE">
            <w:pPr>
              <w:pStyle w:val="zSoquijdatNoDossier"/>
            </w:pPr>
            <w:r>
              <w:t>539697-71-1404</w:t>
            </w:r>
            <w:r>
              <w:tab/>
            </w:r>
            <w:r w:rsidR="006B1609">
              <w:t>558491-71-1411</w:t>
            </w:r>
          </w:p>
        </w:tc>
      </w:tr>
      <w:bookmarkEnd w:id="1"/>
      <w:tr w:rsidR="00C74B6F">
        <w:trPr>
          <w:cantSplit/>
        </w:trPr>
        <w:tc>
          <w:tcPr>
            <w:tcW w:w="9590" w:type="dxa"/>
            <w:gridSpan w:val="3"/>
          </w:tcPr>
          <w:p w:rsidR="00C74B6F" w:rsidRDefault="00C74B6F"/>
        </w:tc>
      </w:tr>
      <w:tr w:rsidR="00C74B6F">
        <w:tc>
          <w:tcPr>
            <w:tcW w:w="2880" w:type="dxa"/>
          </w:tcPr>
          <w:p w:rsidR="00C74B6F" w:rsidRDefault="00C74B6F">
            <w:r>
              <w:t>Dossier CSST :</w:t>
            </w:r>
          </w:p>
        </w:tc>
        <w:tc>
          <w:tcPr>
            <w:tcW w:w="6710" w:type="dxa"/>
            <w:gridSpan w:val="2"/>
          </w:tcPr>
          <w:p w:rsidR="00C74B6F" w:rsidRDefault="006972CE">
            <w:pPr>
              <w:pStyle w:val="zSoquijdatNCSST"/>
            </w:pPr>
            <w:r>
              <w:t>140013863</w:t>
            </w:r>
          </w:p>
        </w:tc>
      </w:tr>
      <w:tr w:rsidR="00C74B6F">
        <w:trPr>
          <w:cantSplit/>
        </w:trPr>
        <w:tc>
          <w:tcPr>
            <w:tcW w:w="9590" w:type="dxa"/>
            <w:gridSpan w:val="3"/>
          </w:tcPr>
          <w:p w:rsidR="00C74B6F" w:rsidRDefault="00C74B6F"/>
        </w:tc>
      </w:tr>
      <w:tr w:rsidR="00C74B6F">
        <w:tc>
          <w:tcPr>
            <w:tcW w:w="2880" w:type="dxa"/>
          </w:tcPr>
          <w:p w:rsidR="00C74B6F" w:rsidRDefault="00C74B6F">
            <w:r>
              <w:t>Commissaire :</w:t>
            </w:r>
          </w:p>
        </w:tc>
        <w:tc>
          <w:tcPr>
            <w:tcW w:w="6710" w:type="dxa"/>
            <w:gridSpan w:val="2"/>
          </w:tcPr>
          <w:p w:rsidR="00C74B6F" w:rsidRDefault="00303A3A">
            <w:pPr>
              <w:pStyle w:val="zSoquijdatJuge"/>
            </w:pPr>
            <w:r>
              <w:t>Michel Larouche</w:t>
            </w:r>
            <w:r w:rsidR="00C74B6F">
              <w:t>, juge administratif</w:t>
            </w:r>
          </w:p>
        </w:tc>
      </w:tr>
      <w:tr w:rsidR="00C74B6F">
        <w:trPr>
          <w:cantSplit/>
        </w:trPr>
        <w:tc>
          <w:tcPr>
            <w:tcW w:w="9590" w:type="dxa"/>
            <w:gridSpan w:val="3"/>
          </w:tcPr>
          <w:p w:rsidR="00C74B6F" w:rsidRDefault="00C74B6F"/>
        </w:tc>
      </w:tr>
      <w:tr w:rsidR="00C74B6F">
        <w:tc>
          <w:tcPr>
            <w:tcW w:w="2880" w:type="dxa"/>
          </w:tcPr>
          <w:p w:rsidR="00C74B6F" w:rsidRDefault="00C74B6F">
            <w:r>
              <w:t>Membres :</w:t>
            </w:r>
          </w:p>
        </w:tc>
        <w:tc>
          <w:tcPr>
            <w:tcW w:w="6710" w:type="dxa"/>
            <w:gridSpan w:val="2"/>
          </w:tcPr>
          <w:p w:rsidR="00C74B6F" w:rsidRDefault="006972CE">
            <w:pPr>
              <w:pStyle w:val="zSoquijdatMembreE"/>
            </w:pPr>
            <w:r>
              <w:t>Lise Tourangeau-Anderson</w:t>
            </w:r>
            <w:r w:rsidR="00C74B6F">
              <w:t>, associations d’employeurs</w:t>
            </w:r>
          </w:p>
        </w:tc>
      </w:tr>
      <w:tr w:rsidR="00C74B6F">
        <w:tc>
          <w:tcPr>
            <w:tcW w:w="2880" w:type="dxa"/>
          </w:tcPr>
          <w:p w:rsidR="00C74B6F" w:rsidRDefault="00C74B6F"/>
        </w:tc>
        <w:tc>
          <w:tcPr>
            <w:tcW w:w="6710" w:type="dxa"/>
            <w:gridSpan w:val="2"/>
          </w:tcPr>
          <w:p w:rsidR="00C74B6F" w:rsidRDefault="006972CE">
            <w:pPr>
              <w:pStyle w:val="zSoquijdatMembreS"/>
            </w:pPr>
            <w:r>
              <w:t>André Tremblay</w:t>
            </w:r>
            <w:r w:rsidR="00C74B6F">
              <w:t>, associations syndicales</w:t>
            </w:r>
          </w:p>
        </w:tc>
      </w:tr>
      <w:tr w:rsidR="00C74B6F">
        <w:trPr>
          <w:cantSplit/>
        </w:trPr>
        <w:tc>
          <w:tcPr>
            <w:tcW w:w="9590" w:type="dxa"/>
            <w:gridSpan w:val="3"/>
          </w:tcPr>
          <w:p w:rsidR="00C74B6F" w:rsidRDefault="00C74B6F">
            <w:r>
              <w:t>______________________________________________________________________</w:t>
            </w:r>
          </w:p>
        </w:tc>
      </w:tr>
      <w:tr w:rsidR="00C74B6F">
        <w:trPr>
          <w:cantSplit/>
        </w:trPr>
        <w:tc>
          <w:tcPr>
            <w:tcW w:w="9590" w:type="dxa"/>
            <w:gridSpan w:val="3"/>
          </w:tcPr>
          <w:p w:rsidR="00C74B6F" w:rsidRDefault="00C74B6F"/>
        </w:tc>
      </w:tr>
      <w:tr w:rsidR="00C74B6F">
        <w:tc>
          <w:tcPr>
            <w:tcW w:w="4795" w:type="dxa"/>
            <w:gridSpan w:val="2"/>
          </w:tcPr>
          <w:p w:rsidR="00C74B6F" w:rsidRDefault="00C74B6F">
            <w:bookmarkStart w:id="3" w:name="bloc_parties_gauche"/>
            <w:bookmarkEnd w:id="3"/>
          </w:p>
        </w:tc>
        <w:tc>
          <w:tcPr>
            <w:tcW w:w="4795" w:type="dxa"/>
          </w:tcPr>
          <w:p w:rsidR="00C74B6F" w:rsidRDefault="00C74B6F"/>
        </w:tc>
      </w:tr>
      <w:tr w:rsidR="00C74B6F">
        <w:tc>
          <w:tcPr>
            <w:tcW w:w="4795" w:type="dxa"/>
            <w:gridSpan w:val="2"/>
          </w:tcPr>
          <w:p w:rsidR="00C74B6F" w:rsidRDefault="006972CE">
            <w:pPr>
              <w:pStyle w:val="zSoquijdatNomPartieDem"/>
              <w:rPr>
                <w:b/>
              </w:rPr>
            </w:pPr>
            <w:r>
              <w:rPr>
                <w:b/>
              </w:rPr>
              <w:t>Josée Blondin</w:t>
            </w:r>
          </w:p>
        </w:tc>
        <w:tc>
          <w:tcPr>
            <w:tcW w:w="4795" w:type="dxa"/>
          </w:tcPr>
          <w:p w:rsidR="00C74B6F" w:rsidRDefault="00C74B6F"/>
        </w:tc>
      </w:tr>
      <w:tr w:rsidR="00C74B6F">
        <w:tc>
          <w:tcPr>
            <w:tcW w:w="4795" w:type="dxa"/>
            <w:gridSpan w:val="2"/>
          </w:tcPr>
          <w:p w:rsidR="00C74B6F" w:rsidRDefault="00C74B6F">
            <w:pPr>
              <w:pStyle w:val="zSoquijdatQtePartieDem"/>
              <w:ind w:left="708"/>
            </w:pPr>
            <w:r>
              <w:t>Partie requérante</w:t>
            </w:r>
          </w:p>
        </w:tc>
        <w:tc>
          <w:tcPr>
            <w:tcW w:w="4795" w:type="dxa"/>
          </w:tcPr>
          <w:p w:rsidR="00C74B6F" w:rsidRDefault="00C74B6F"/>
        </w:tc>
      </w:tr>
      <w:tr w:rsidR="00C74B6F">
        <w:tc>
          <w:tcPr>
            <w:tcW w:w="4795" w:type="dxa"/>
            <w:gridSpan w:val="2"/>
          </w:tcPr>
          <w:p w:rsidR="00C74B6F" w:rsidRDefault="00C74B6F"/>
        </w:tc>
        <w:tc>
          <w:tcPr>
            <w:tcW w:w="4795" w:type="dxa"/>
          </w:tcPr>
          <w:p w:rsidR="00C74B6F" w:rsidRDefault="00C74B6F"/>
        </w:tc>
      </w:tr>
      <w:tr w:rsidR="00C74B6F">
        <w:tc>
          <w:tcPr>
            <w:tcW w:w="4795" w:type="dxa"/>
            <w:gridSpan w:val="2"/>
          </w:tcPr>
          <w:p w:rsidR="00C74B6F" w:rsidRDefault="00C74B6F">
            <w:r>
              <w:t>et</w:t>
            </w:r>
          </w:p>
        </w:tc>
        <w:tc>
          <w:tcPr>
            <w:tcW w:w="4795" w:type="dxa"/>
          </w:tcPr>
          <w:p w:rsidR="00C74B6F" w:rsidRDefault="00C74B6F"/>
        </w:tc>
      </w:tr>
      <w:tr w:rsidR="00C74B6F">
        <w:tc>
          <w:tcPr>
            <w:tcW w:w="4795" w:type="dxa"/>
            <w:gridSpan w:val="2"/>
          </w:tcPr>
          <w:p w:rsidR="00C74B6F" w:rsidRDefault="00C74B6F"/>
        </w:tc>
        <w:tc>
          <w:tcPr>
            <w:tcW w:w="4795" w:type="dxa"/>
          </w:tcPr>
          <w:p w:rsidR="00C74B6F" w:rsidRDefault="00C74B6F"/>
        </w:tc>
      </w:tr>
      <w:tr w:rsidR="00C74B6F">
        <w:tc>
          <w:tcPr>
            <w:tcW w:w="4795" w:type="dxa"/>
            <w:gridSpan w:val="2"/>
          </w:tcPr>
          <w:p w:rsidR="00C74B6F" w:rsidRDefault="006972CE">
            <w:pPr>
              <w:pStyle w:val="zSoquijdatNomPartieDef"/>
              <w:rPr>
                <w:b/>
              </w:rPr>
            </w:pPr>
            <w:r>
              <w:rPr>
                <w:b/>
              </w:rPr>
              <w:t>Commission scolaire de Montréal</w:t>
            </w:r>
          </w:p>
        </w:tc>
        <w:tc>
          <w:tcPr>
            <w:tcW w:w="4795" w:type="dxa"/>
          </w:tcPr>
          <w:p w:rsidR="00C74B6F" w:rsidRDefault="00C74B6F"/>
        </w:tc>
      </w:tr>
      <w:tr w:rsidR="00C74B6F">
        <w:tc>
          <w:tcPr>
            <w:tcW w:w="4795" w:type="dxa"/>
            <w:gridSpan w:val="2"/>
          </w:tcPr>
          <w:p w:rsidR="00C74B6F" w:rsidRDefault="00C74B6F">
            <w:pPr>
              <w:pStyle w:val="zSoquijdatQtePartieDef"/>
              <w:ind w:left="708"/>
            </w:pPr>
            <w:r>
              <w:t>Partie intéressée</w:t>
            </w:r>
          </w:p>
        </w:tc>
        <w:tc>
          <w:tcPr>
            <w:tcW w:w="4795" w:type="dxa"/>
          </w:tcPr>
          <w:p w:rsidR="00C74B6F" w:rsidRDefault="00C74B6F"/>
        </w:tc>
      </w:tr>
      <w:tr w:rsidR="00C74B6F">
        <w:tc>
          <w:tcPr>
            <w:tcW w:w="4795" w:type="dxa"/>
            <w:gridSpan w:val="2"/>
          </w:tcPr>
          <w:p w:rsidR="00C74B6F" w:rsidRDefault="00C74B6F"/>
        </w:tc>
        <w:tc>
          <w:tcPr>
            <w:tcW w:w="4795" w:type="dxa"/>
          </w:tcPr>
          <w:p w:rsidR="00C74B6F" w:rsidRDefault="00C74B6F"/>
        </w:tc>
      </w:tr>
    </w:tbl>
    <w:p w:rsidR="00C74B6F" w:rsidRDefault="00C74B6F">
      <w:r>
        <w:t>______________________________________________________________________</w:t>
      </w:r>
    </w:p>
    <w:p w:rsidR="00C74B6F" w:rsidRDefault="00C74B6F"/>
    <w:p w:rsidR="00C74B6F" w:rsidRDefault="00C74B6F">
      <w:pPr>
        <w:jc w:val="center"/>
      </w:pPr>
      <w:bookmarkStart w:id="4" w:name="decision"/>
      <w:r>
        <w:t>DÉCISION</w:t>
      </w:r>
      <w:bookmarkEnd w:id="4"/>
    </w:p>
    <w:p w:rsidR="00C74B6F" w:rsidRDefault="00C74B6F">
      <w:pPr>
        <w:jc w:val="center"/>
      </w:pPr>
      <w:r>
        <w:t>______________________________________________________________________</w:t>
      </w:r>
    </w:p>
    <w:p w:rsidR="00C74B6F" w:rsidRDefault="00C74B6F"/>
    <w:p w:rsidR="00C74B6F" w:rsidRDefault="00C74B6F"/>
    <w:p w:rsidR="004376CB" w:rsidRPr="00E124DA" w:rsidRDefault="004376CB" w:rsidP="004376CB">
      <w:pPr>
        <w:pStyle w:val="corpsdedcision"/>
        <w:numPr>
          <w:ilvl w:val="0"/>
          <w:numId w:val="0"/>
        </w:numPr>
        <w:rPr>
          <w:b/>
        </w:rPr>
      </w:pPr>
      <w:r w:rsidRPr="00E124DA">
        <w:rPr>
          <w:b/>
        </w:rPr>
        <w:t>Dossier 539697-71-1404</w:t>
      </w:r>
    </w:p>
    <w:p w:rsidR="00C74B6F" w:rsidRDefault="006972CE" w:rsidP="00240976">
      <w:pPr>
        <w:pStyle w:val="corpsdedcision"/>
        <w:tabs>
          <w:tab w:val="clear" w:pos="360"/>
          <w:tab w:val="num" w:pos="720"/>
        </w:tabs>
      </w:pPr>
      <w:r>
        <w:t xml:space="preserve">Le </w:t>
      </w:r>
      <w:r w:rsidR="006B1609">
        <w:t>23 avril 2014</w:t>
      </w:r>
      <w:r>
        <w:t>,</w:t>
      </w:r>
      <w:r w:rsidR="006B1609">
        <w:t xml:space="preserve"> madame Josée Blondin (la travailleuse) dépose à la Commission des lésions professionnelles une requête à l’encontre d’une décision rendue par la Commission de la santé et de la sécurité du travail (la CSST) le 26 mars 20</w:t>
      </w:r>
      <w:r w:rsidR="004376CB">
        <w:t>14 à la suite d’une révision administrative.</w:t>
      </w:r>
    </w:p>
    <w:p w:rsidR="004376CB" w:rsidRDefault="004376CB" w:rsidP="00240976">
      <w:pPr>
        <w:pStyle w:val="corpsdedcision"/>
        <w:tabs>
          <w:tab w:val="clear" w:pos="360"/>
          <w:tab w:val="num" w:pos="720"/>
        </w:tabs>
      </w:pPr>
      <w:r>
        <w:t>La CSST</w:t>
      </w:r>
      <w:r w:rsidR="000833CB">
        <w:t xml:space="preserve"> y </w:t>
      </w:r>
      <w:r>
        <w:t>confirme une décision initiale du 27 novembre 2013 qui déclare que la travailleuse n’a pas droit au remboursement de frais engagés pour l’évaluation des besoins audiologiques, les frais de rédaction de rapports, l’évaluation audiométrique, la programmation de signau</w:t>
      </w:r>
      <w:r w:rsidR="00741ACB">
        <w:t>x acoustiques et le suivi à la C</w:t>
      </w:r>
      <w:r>
        <w:t>linique de l’acouphène de Montréal.</w:t>
      </w:r>
    </w:p>
    <w:p w:rsidR="004376CB" w:rsidRPr="00E124DA" w:rsidRDefault="004376CB" w:rsidP="00E124DA">
      <w:pPr>
        <w:pStyle w:val="corpsdedcision"/>
        <w:numPr>
          <w:ilvl w:val="0"/>
          <w:numId w:val="0"/>
        </w:numPr>
        <w:rPr>
          <w:b/>
        </w:rPr>
      </w:pPr>
      <w:r w:rsidRPr="00E124DA">
        <w:rPr>
          <w:b/>
        </w:rPr>
        <w:lastRenderedPageBreak/>
        <w:t>Dossier 558491-71-1411</w:t>
      </w:r>
    </w:p>
    <w:p w:rsidR="004376CB" w:rsidRDefault="004376CB" w:rsidP="00240976">
      <w:pPr>
        <w:pStyle w:val="corpsdedcision"/>
        <w:tabs>
          <w:tab w:val="clear" w:pos="360"/>
          <w:tab w:val="num" w:pos="720"/>
        </w:tabs>
      </w:pPr>
      <w:r>
        <w:t>Le 28 novembre 2014, la travailleuse dépose à la Commission des lésions professionnelles une requête à l’encontre d’une décision rendue p</w:t>
      </w:r>
      <w:r w:rsidR="00E124DA">
        <w:t>ar la CSST le 13 </w:t>
      </w:r>
      <w:r>
        <w:t>novembre 2014 à la suite d’une révision administrative.</w:t>
      </w:r>
    </w:p>
    <w:p w:rsidR="004376CB" w:rsidRDefault="004376CB" w:rsidP="00240976">
      <w:pPr>
        <w:pStyle w:val="corpsdedcision"/>
        <w:tabs>
          <w:tab w:val="clear" w:pos="360"/>
          <w:tab w:val="num" w:pos="720"/>
        </w:tabs>
      </w:pPr>
      <w:r>
        <w:t xml:space="preserve">La CSST </w:t>
      </w:r>
      <w:r w:rsidR="000833CB">
        <w:t xml:space="preserve">y </w:t>
      </w:r>
      <w:r>
        <w:t>confirme une décision initiale du 15 août 2014 qui refuse de rembourser les coûts d’un audiogramme et d’un ajustement de stimulation acoustique.</w:t>
      </w:r>
    </w:p>
    <w:p w:rsidR="004376CB" w:rsidRDefault="004376CB" w:rsidP="00240976">
      <w:pPr>
        <w:pStyle w:val="corpsdedcision"/>
        <w:tabs>
          <w:tab w:val="clear" w:pos="360"/>
          <w:tab w:val="num" w:pos="720"/>
        </w:tabs>
      </w:pPr>
      <w:r>
        <w:t xml:space="preserve">Une audience s’est tenue à Montréal le 16 décembre 2014 en présence de la travailleuse et de sa procureure. La Commission scolaire de Montréal (l’employeur) </w:t>
      </w:r>
      <w:r w:rsidR="000833CB">
        <w:t xml:space="preserve">y </w:t>
      </w:r>
      <w:r w:rsidR="00741ACB">
        <w:t>était absent</w:t>
      </w:r>
      <w:r>
        <w:t>.</w:t>
      </w:r>
    </w:p>
    <w:p w:rsidR="004376CB" w:rsidRDefault="004376CB">
      <w:pPr>
        <w:pStyle w:val="corpsdedcision"/>
        <w:numPr>
          <w:ilvl w:val="0"/>
          <w:numId w:val="0"/>
        </w:numPr>
      </w:pPr>
      <w:r>
        <w:rPr>
          <w:b/>
        </w:rPr>
        <w:t xml:space="preserve">L’OBJET </w:t>
      </w:r>
      <w:r w:rsidR="00E124DA">
        <w:rPr>
          <w:b/>
        </w:rPr>
        <w:t>DU LITIGE</w:t>
      </w:r>
    </w:p>
    <w:p w:rsidR="004376CB" w:rsidRPr="00E124DA" w:rsidRDefault="004376CB" w:rsidP="004376CB">
      <w:pPr>
        <w:pStyle w:val="corpsdedcision"/>
        <w:numPr>
          <w:ilvl w:val="0"/>
          <w:numId w:val="0"/>
        </w:numPr>
        <w:rPr>
          <w:b/>
        </w:rPr>
      </w:pPr>
      <w:r w:rsidRPr="00E124DA">
        <w:rPr>
          <w:b/>
        </w:rPr>
        <w:t>Dossier 539697-71-1404</w:t>
      </w:r>
    </w:p>
    <w:p w:rsidR="004376CB" w:rsidRDefault="004376CB" w:rsidP="00240976">
      <w:pPr>
        <w:pStyle w:val="corpsdedcision"/>
        <w:tabs>
          <w:tab w:val="clear" w:pos="360"/>
          <w:tab w:val="num" w:pos="720"/>
        </w:tabs>
      </w:pPr>
      <w:r>
        <w:t xml:space="preserve">La travailleuse demande à la Commission des lésions professionnelles de </w:t>
      </w:r>
      <w:r w:rsidR="00194859">
        <w:t xml:space="preserve">déclarer que la CSST doit, conformément aux dispositions de l’article 184 de la </w:t>
      </w:r>
      <w:r w:rsidR="00194859" w:rsidRPr="00194859">
        <w:rPr>
          <w:i/>
        </w:rPr>
        <w:t>Loi sur les accidents du travail et les maladies professionnelles</w:t>
      </w:r>
      <w:r w:rsidR="00194859">
        <w:rPr>
          <w:rStyle w:val="Appelnotedebasdep"/>
        </w:rPr>
        <w:footnoteReference w:id="1"/>
      </w:r>
      <w:r w:rsidR="00194859">
        <w:t xml:space="preserve"> (la loi), défrayer le coût des services qu’elle a reçus, ces derniers ayant pour objet d’atténuer les conséquences de sa lésion professionnelle.</w:t>
      </w:r>
    </w:p>
    <w:p w:rsidR="00C74B6F" w:rsidRPr="00E124DA" w:rsidRDefault="004376CB">
      <w:pPr>
        <w:pStyle w:val="Dispositif"/>
        <w:rPr>
          <w:b/>
        </w:rPr>
      </w:pPr>
      <w:r w:rsidRPr="00E124DA">
        <w:rPr>
          <w:b/>
        </w:rPr>
        <w:t>Dossier 558491-71-1411</w:t>
      </w:r>
    </w:p>
    <w:p w:rsidR="0025074B" w:rsidRDefault="0025074B" w:rsidP="00240976">
      <w:pPr>
        <w:pStyle w:val="corpsdedcision"/>
        <w:tabs>
          <w:tab w:val="clear" w:pos="360"/>
          <w:tab w:val="num" w:pos="720"/>
        </w:tabs>
      </w:pPr>
      <w:r>
        <w:t>La travailleuse demande à la Commission des lésions professionnelles de déclarer que la CSST doit, conformément aux dispositions de l’article 184 de la loi, défrayer le coût des services qu’elle a reçus, ces derniers ayant pour objet d’atténuer les conséquences de sa lésion professionnelle.</w:t>
      </w:r>
    </w:p>
    <w:p w:rsidR="0025074B" w:rsidRDefault="0025074B">
      <w:pPr>
        <w:pStyle w:val="corpsdedcision"/>
        <w:numPr>
          <w:ilvl w:val="0"/>
          <w:numId w:val="0"/>
        </w:numPr>
      </w:pPr>
      <w:r>
        <w:rPr>
          <w:b/>
        </w:rPr>
        <w:t>LES FAITS</w:t>
      </w:r>
    </w:p>
    <w:p w:rsidR="00194859" w:rsidRDefault="00A97D5F" w:rsidP="00240976">
      <w:pPr>
        <w:pStyle w:val="corpsdedcision"/>
        <w:tabs>
          <w:tab w:val="clear" w:pos="360"/>
          <w:tab w:val="num" w:pos="720"/>
        </w:tabs>
      </w:pPr>
      <w:r>
        <w:t>La travailleuse est victime d’une lésion professionnelle le 18 septembre 2012</w:t>
      </w:r>
      <w:r w:rsidR="000833CB">
        <w:t xml:space="preserve"> lorsqu’u</w:t>
      </w:r>
      <w:r>
        <w:t>ne défectuosité d’un haut-parleur cause une explosion sonore.</w:t>
      </w:r>
      <w:r w:rsidR="000833CB">
        <w:t xml:space="preserve"> La travailleuse subi</w:t>
      </w:r>
      <w:r w:rsidR="00741ACB">
        <w:t>t</w:t>
      </w:r>
      <w:r w:rsidR="000833CB">
        <w:t xml:space="preserve"> alors un traumatisme acoustique.</w:t>
      </w:r>
      <w:r w:rsidR="000833CB" w:rsidRPr="000833CB">
        <w:t xml:space="preserve"> </w:t>
      </w:r>
      <w:r w:rsidR="000833CB">
        <w:t>Au moment de l’accident, la travailleuse est enseignante de musique pour l’employeur.</w:t>
      </w:r>
    </w:p>
    <w:p w:rsidR="00A97D5F" w:rsidRDefault="00A97D5F" w:rsidP="00240976">
      <w:pPr>
        <w:pStyle w:val="corpsdedcision"/>
        <w:tabs>
          <w:tab w:val="clear" w:pos="360"/>
          <w:tab w:val="num" w:pos="720"/>
        </w:tabs>
      </w:pPr>
      <w:r>
        <w:t>Le 21 septembre 2012, la docteure Caroline Ann Carbona pose un diagnostic d’acouphène</w:t>
      </w:r>
      <w:r w:rsidR="00741ACB">
        <w:t>s</w:t>
      </w:r>
      <w:r>
        <w:t xml:space="preserve"> sévère</w:t>
      </w:r>
      <w:r w:rsidR="00741ACB">
        <w:t>s</w:t>
      </w:r>
      <w:r>
        <w:t xml:space="preserve"> et de céphalées. Elle indique également qu’il y a otalgie gauche </w:t>
      </w:r>
      <w:r>
        <w:lastRenderedPageBreak/>
        <w:t xml:space="preserve">avec un début abrupt lors d’un cours de musique. Elle est en </w:t>
      </w:r>
      <w:r w:rsidR="00E124DA">
        <w:t>attente d’une évaluation en oto</w:t>
      </w:r>
      <w:r>
        <w:t>rhin</w:t>
      </w:r>
      <w:r w:rsidR="00E124DA">
        <w:t>o</w:t>
      </w:r>
      <w:r>
        <w:t>laryngologie.</w:t>
      </w:r>
    </w:p>
    <w:p w:rsidR="00A97D5F" w:rsidRDefault="002948AD" w:rsidP="00194859">
      <w:pPr>
        <w:pStyle w:val="corpsdedcision"/>
      </w:pPr>
      <w:r>
        <w:t>Le 6 novembre 2012, la docteure Huguette Ohayon-Gabbay pose un diagnostic d’acouphène</w:t>
      </w:r>
      <w:r w:rsidR="00741ACB">
        <w:t>s</w:t>
      </w:r>
      <w:r>
        <w:t xml:space="preserve"> sévère</w:t>
      </w:r>
      <w:r w:rsidR="00741ACB">
        <w:t>s à</w:t>
      </w:r>
      <w:r>
        <w:t xml:space="preserve"> gauche plus </w:t>
      </w:r>
      <w:r w:rsidR="000833CB">
        <w:t>important</w:t>
      </w:r>
      <w:r w:rsidR="00741ACB">
        <w:t>s</w:t>
      </w:r>
      <w:r w:rsidR="000833CB">
        <w:t xml:space="preserve"> </w:t>
      </w:r>
      <w:r>
        <w:t>qu</w:t>
      </w:r>
      <w:r w:rsidR="000833CB">
        <w:t>’à</w:t>
      </w:r>
      <w:r>
        <w:t xml:space="preserve"> droite secondaire</w:t>
      </w:r>
      <w:r w:rsidR="00741ACB">
        <w:t>s</w:t>
      </w:r>
      <w:r>
        <w:t xml:space="preserve"> à un trauma auditif.</w:t>
      </w:r>
    </w:p>
    <w:p w:rsidR="002948AD" w:rsidRDefault="002948AD" w:rsidP="002948AD">
      <w:pPr>
        <w:pStyle w:val="corpsdedcision"/>
      </w:pPr>
      <w:r>
        <w:t>Le 26 novembre 2012, la docteur</w:t>
      </w:r>
      <w:r w:rsidR="00A44048">
        <w:t>e</w:t>
      </w:r>
      <w:r>
        <w:t xml:space="preserve"> Ohayon-Gabbay pose un diagnostic de surdité traumatique professionnel</w:t>
      </w:r>
      <w:r w:rsidR="00741ACB">
        <w:t>le</w:t>
      </w:r>
      <w:r>
        <w:t xml:space="preserve"> avec acouphène</w:t>
      </w:r>
      <w:r w:rsidR="00741ACB">
        <w:t>s</w:t>
      </w:r>
      <w:r>
        <w:t xml:space="preserve"> sévère</w:t>
      </w:r>
      <w:r w:rsidR="00741ACB">
        <w:t>s</w:t>
      </w:r>
      <w:r>
        <w:t>.</w:t>
      </w:r>
      <w:r w:rsidR="000833CB">
        <w:t xml:space="preserve"> Elle pose </w:t>
      </w:r>
      <w:r w:rsidR="00741ACB">
        <w:t>également un diagnostic de stress post-</w:t>
      </w:r>
      <w:r w:rsidR="000833CB">
        <w:t>traumatique avec anxiété réactionnelle.</w:t>
      </w:r>
    </w:p>
    <w:p w:rsidR="00DD3AD1" w:rsidRDefault="00DD3AD1" w:rsidP="002948AD">
      <w:pPr>
        <w:pStyle w:val="corpsdedcision"/>
      </w:pPr>
      <w:r>
        <w:t>Le 7 décembre 2012, la travailleuse est intégrée à un programme de traitements à l’Institut Raymond-Deward.</w:t>
      </w:r>
    </w:p>
    <w:p w:rsidR="002948AD" w:rsidRDefault="00E124DA" w:rsidP="002948AD">
      <w:pPr>
        <w:pStyle w:val="corpsdedcision"/>
      </w:pPr>
      <w:r>
        <w:t>Le 10 décembre 2012, le</w:t>
      </w:r>
      <w:r w:rsidR="002948AD">
        <w:t xml:space="preserve"> docteur Anthony Zeitouni </w:t>
      </w:r>
      <w:r w:rsidR="00741ACB">
        <w:t>rempli</w:t>
      </w:r>
      <w:r w:rsidR="002948AD">
        <w:t>t un rapport final pour un diagnostic de surdité traumatique professionnel</w:t>
      </w:r>
      <w:r w:rsidR="00741ACB">
        <w:t>le</w:t>
      </w:r>
      <w:r w:rsidR="002948AD">
        <w:t>.</w:t>
      </w:r>
      <w:r w:rsidR="003641DD">
        <w:t xml:space="preserve"> Il indique que la travailleuse conserve une atteinte permanente à son intégrité physique de même que des limitations fonctionnelles.</w:t>
      </w:r>
    </w:p>
    <w:p w:rsidR="003641DD" w:rsidRDefault="003641DD" w:rsidP="002948AD">
      <w:pPr>
        <w:pStyle w:val="corpsdedcision"/>
      </w:pPr>
      <w:r>
        <w:t xml:space="preserve">Le 21 décembre 2012, le docteur Zeitouni </w:t>
      </w:r>
      <w:r w:rsidR="00741ACB">
        <w:t>remplit</w:t>
      </w:r>
      <w:r>
        <w:t xml:space="preserve"> le rapport d’évaluation médicale final où il retient un pourcentage de déficit anatomo-physiologique de 0 % et des limitations fonctionnelles imprécises. En réponse à une demande de clarification de la CSST, le docteur Zeitouni écrit le 11 février 2013 :</w:t>
      </w:r>
    </w:p>
    <w:p w:rsidR="003641DD" w:rsidRDefault="003641DD" w:rsidP="003641DD">
      <w:pPr>
        <w:pStyle w:val="citation"/>
      </w:pPr>
      <w:r>
        <w:t>Thank you for your letter dated January 31. In terms of limitations fonctionnelles I feel that this accident, which occurred at work to this music teacher has left her with a significant amount of tinnitus. This is disturbing to most people but very difficult professionally for a musician and teacher of music. This will certainly restrict what she can do both physically i.e. hear small differences between the correct musical note and the wrong one that a student might play. Exposure to loud noise might certainly worsen this problem. Fear of further damage and louder tinnitus might also further restrict what she can do professionally. This falls under the concept of limitations fonctionnelles :</w:t>
      </w:r>
    </w:p>
    <w:p w:rsidR="003641DD" w:rsidRDefault="003641DD" w:rsidP="003641DD">
      <w:pPr>
        <w:pStyle w:val="citation"/>
      </w:pPr>
      <w:r>
        <w:t>« à toute réduction ou à toute restriction de la capacité physique ou psychique d’accomplir certaines acti</w:t>
      </w:r>
      <w:r w:rsidR="00E124DA">
        <w:t>v</w:t>
      </w:r>
      <w:r>
        <w:t>ités ou le fait d’en subir certains effets. »</w:t>
      </w:r>
    </w:p>
    <w:p w:rsidR="003641DD" w:rsidRDefault="003641DD" w:rsidP="003641DD">
      <w:pPr>
        <w:pStyle w:val="citation"/>
      </w:pPr>
      <w:r>
        <w:t>Her hearing was her tool to teach. Clearly it has bee</w:t>
      </w:r>
      <w:r w:rsidR="00E124DA">
        <w:t>n</w:t>
      </w:r>
      <w:r>
        <w:t xml:space="preserve"> affected</w:t>
      </w:r>
      <w:r w:rsidR="00A44048">
        <w:t>. [</w:t>
      </w:r>
      <w:r w:rsidR="00A44048" w:rsidRPr="00A44048">
        <w:rPr>
          <w:i/>
        </w:rPr>
        <w:t>sic</w:t>
      </w:r>
      <w:r w:rsidR="00A44048">
        <w:t>]</w:t>
      </w:r>
    </w:p>
    <w:p w:rsidR="003641DD" w:rsidRDefault="003641DD" w:rsidP="003641DD">
      <w:pPr>
        <w:pStyle w:val="citation"/>
      </w:pPr>
    </w:p>
    <w:p w:rsidR="003641DD" w:rsidRDefault="003641DD" w:rsidP="003641DD">
      <w:pPr>
        <w:pStyle w:val="citation"/>
      </w:pPr>
    </w:p>
    <w:p w:rsidR="006C380B" w:rsidRDefault="006C380B" w:rsidP="00FB71AC">
      <w:pPr>
        <w:pStyle w:val="corpsdedcision"/>
      </w:pPr>
      <w:r>
        <w:t>Le 31 mai 2013, la docteure Ohayon-Gabbay réitère la présence d’acouphènes sévères et pose un diagnostic de dépression réactionnelle.</w:t>
      </w:r>
    </w:p>
    <w:p w:rsidR="003641DD" w:rsidRDefault="00A44048" w:rsidP="00FB71AC">
      <w:pPr>
        <w:pStyle w:val="corpsdedcision"/>
      </w:pPr>
      <w:r>
        <w:t xml:space="preserve">Le </w:t>
      </w:r>
      <w:r w:rsidR="006C380B">
        <w:t xml:space="preserve">20 </w:t>
      </w:r>
      <w:r>
        <w:t>juin 201</w:t>
      </w:r>
      <w:r w:rsidR="006C380B">
        <w:t>3</w:t>
      </w:r>
      <w:r>
        <w:t xml:space="preserve">, la docteure Ohayon-Gabbay </w:t>
      </w:r>
      <w:r w:rsidR="00E124DA">
        <w:t>remplit</w:t>
      </w:r>
      <w:r>
        <w:t xml:space="preserve"> une attestation médicale où elle fait état d’acouphène</w:t>
      </w:r>
      <w:r w:rsidR="00741ACB">
        <w:t>s</w:t>
      </w:r>
      <w:r>
        <w:t xml:space="preserve"> sévère</w:t>
      </w:r>
      <w:r w:rsidR="00741ACB">
        <w:t>s</w:t>
      </w:r>
      <w:r>
        <w:t xml:space="preserve"> à droite plus qu’à gauche. Elle suggère un appareil auditif masque</w:t>
      </w:r>
      <w:r w:rsidR="006C380B">
        <w:t>u</w:t>
      </w:r>
      <w:r>
        <w:t>r d’acouphènes.</w:t>
      </w:r>
    </w:p>
    <w:p w:rsidR="00A44048" w:rsidRDefault="00741ACB" w:rsidP="00FB71AC">
      <w:pPr>
        <w:pStyle w:val="corpsdedcision"/>
      </w:pPr>
      <w:r>
        <w:lastRenderedPageBreak/>
        <w:t>Le 17 juillet 2013</w:t>
      </w:r>
      <w:r w:rsidR="00A44048">
        <w:t>,</w:t>
      </w:r>
      <w:r w:rsidR="007B461F">
        <w:t xml:space="preserve"> la travailleuse est évaluée par le docteur Pierre Sainte-Marie à la demande de la CSST. Il conclut qu’elle conserve un pourcentage d’atteinte permanente de 0,7 %</w:t>
      </w:r>
      <w:r>
        <w:t xml:space="preserve"> et qu’elle présente toujours des</w:t>
      </w:r>
      <w:r w:rsidR="007B461F">
        <w:t xml:space="preserve"> acouphène</w:t>
      </w:r>
      <w:r>
        <w:t>s</w:t>
      </w:r>
      <w:r w:rsidR="007B461F">
        <w:t xml:space="preserve"> et une intolérance au bruit, lesquels n’ont pas de barème de compensation. Ces aspects du tableau clinique</w:t>
      </w:r>
      <w:r w:rsidR="00A04C49">
        <w:t xml:space="preserve"> ne sont pas consolidés, présentant toujours une amélioration sous traitement actif. Il y a par contre hyperacousie et des limitations fonctionnelles où le niveau d’exposition sonore doit être fixé à 80 décibels pour un fonctionnement sans nécessité de méthodes de protections spéciales. </w:t>
      </w:r>
      <w:r w:rsidR="006C380B">
        <w:t>Il note qu’une composante</w:t>
      </w:r>
      <w:r w:rsidR="00A04C49">
        <w:t xml:space="preserve"> psychologique </w:t>
      </w:r>
      <w:r w:rsidR="006C380B">
        <w:t>accompagne le tableau d’hyperacousie post-traumatique.</w:t>
      </w:r>
    </w:p>
    <w:p w:rsidR="006C380B" w:rsidRPr="00A04C49" w:rsidRDefault="006C380B" w:rsidP="00FB71AC">
      <w:pPr>
        <w:pStyle w:val="corpsdedcision"/>
      </w:pPr>
      <w:r>
        <w:t>Le 29 juillet 201</w:t>
      </w:r>
      <w:r w:rsidR="00741ACB">
        <w:t>3</w:t>
      </w:r>
      <w:r>
        <w:t>,</w:t>
      </w:r>
      <w:r w:rsidRPr="006C380B">
        <w:t xml:space="preserve"> </w:t>
      </w:r>
      <w:r>
        <w:t xml:space="preserve">la docteure Ohayon-Gabbay </w:t>
      </w:r>
      <w:r w:rsidR="00741ACB">
        <w:t>remplit</w:t>
      </w:r>
      <w:r>
        <w:t xml:space="preserve"> une prescription de traitements à</w:t>
      </w:r>
      <w:r w:rsidR="00741ACB">
        <w:t xml:space="preserve"> la Clinique de l’a</w:t>
      </w:r>
      <w:r>
        <w:t xml:space="preserve">couphène </w:t>
      </w:r>
      <w:r w:rsidR="00741ACB">
        <w:t xml:space="preserve">de Montréal </w:t>
      </w:r>
      <w:r>
        <w:t>en raison d’une exacerbation des acouphènes suite à une exposition directe.</w:t>
      </w:r>
      <w:r w:rsidR="00631C10">
        <w:t xml:space="preserve"> La travailleuse avait eu</w:t>
      </w:r>
      <w:r w:rsidR="00741ACB">
        <w:t xml:space="preserve"> à</w:t>
      </w:r>
      <w:r w:rsidR="00631C10">
        <w:t xml:space="preserve"> travailler près d’un local où on pratiquait la musique avec des cuivres.</w:t>
      </w:r>
    </w:p>
    <w:p w:rsidR="00631C10" w:rsidRDefault="00CD427E" w:rsidP="00FB71AC">
      <w:pPr>
        <w:pStyle w:val="corpsdedcision"/>
      </w:pPr>
      <w:r>
        <w:t xml:space="preserve">Le 16 août 2013, la travailleuse signe avec la </w:t>
      </w:r>
      <w:r w:rsidR="006C380B">
        <w:t>C</w:t>
      </w:r>
      <w:r>
        <w:t>linique de l’acouphène de Montréal, un contrat</w:t>
      </w:r>
      <w:r w:rsidR="00631C10">
        <w:t xml:space="preserve"> d’un montant de 850</w:t>
      </w:r>
      <w:r w:rsidR="00741ACB">
        <w:t> </w:t>
      </w:r>
      <w:r w:rsidR="00631C10">
        <w:t>$</w:t>
      </w:r>
      <w:r>
        <w:t xml:space="preserve"> </w:t>
      </w:r>
      <w:r w:rsidR="00631C10">
        <w:t>pour</w:t>
      </w:r>
      <w:r>
        <w:t xml:space="preserve"> </w:t>
      </w:r>
      <w:r w:rsidR="00631C10">
        <w:t xml:space="preserve">un </w:t>
      </w:r>
      <w:r>
        <w:t>plan de traitements</w:t>
      </w:r>
      <w:r w:rsidR="00631C10">
        <w:t>.</w:t>
      </w:r>
      <w:r>
        <w:t xml:space="preserve"> </w:t>
      </w:r>
      <w:r w:rsidR="00631C10">
        <w:t>Ce contrat prévoit :</w:t>
      </w:r>
    </w:p>
    <w:p w:rsidR="00631C10" w:rsidRDefault="00631C10" w:rsidP="00631C10">
      <w:pPr>
        <w:pStyle w:val="citation"/>
      </w:pPr>
      <w:r>
        <w:t xml:space="preserve"> </w:t>
      </w:r>
      <w:r w:rsidR="00CD427E">
        <w:t xml:space="preserve"> une génération du signal acoustique personnalisé</w:t>
      </w:r>
      <w:r>
        <w:t>e</w:t>
      </w:r>
      <w:r w:rsidR="00CD427E">
        <w:t xml:space="preserve"> selon le profil auditif,</w:t>
      </w:r>
    </w:p>
    <w:p w:rsidR="00631C10" w:rsidRDefault="00631C10" w:rsidP="00631C10">
      <w:pPr>
        <w:pStyle w:val="citation"/>
      </w:pPr>
      <w:r>
        <w:t xml:space="preserve"> </w:t>
      </w:r>
      <w:r w:rsidR="00CD427E">
        <w:t xml:space="preserve"> un MP3 avec signal acoustique personnalisé</w:t>
      </w:r>
      <w:r w:rsidR="00E124DA">
        <w:t xml:space="preserve">, </w:t>
      </w:r>
    </w:p>
    <w:p w:rsidR="00A04C49" w:rsidRDefault="00631C10" w:rsidP="00631C10">
      <w:pPr>
        <w:pStyle w:val="citation"/>
      </w:pPr>
      <w:r>
        <w:t xml:space="preserve">  </w:t>
      </w:r>
      <w:r w:rsidR="00E124DA">
        <w:t xml:space="preserve">un suivi audiologique et un </w:t>
      </w:r>
      <w:r w:rsidR="00CD427E">
        <w:t>test d’acouphène après dix semaines.</w:t>
      </w:r>
    </w:p>
    <w:p w:rsidR="00631C10" w:rsidRDefault="00631C10" w:rsidP="00631C10">
      <w:pPr>
        <w:pStyle w:val="citation"/>
      </w:pPr>
    </w:p>
    <w:p w:rsidR="00240976" w:rsidRDefault="00240976" w:rsidP="00631C10">
      <w:pPr>
        <w:pStyle w:val="citation"/>
      </w:pPr>
    </w:p>
    <w:p w:rsidR="00CD427E" w:rsidRDefault="00CD427E" w:rsidP="00FB71AC">
      <w:pPr>
        <w:pStyle w:val="corpsdedcision"/>
      </w:pPr>
      <w:r>
        <w:t xml:space="preserve">Le </w:t>
      </w:r>
      <w:r w:rsidR="00631C10">
        <w:t>6</w:t>
      </w:r>
      <w:r>
        <w:t xml:space="preserve"> mars 2014, la travailleuse </w:t>
      </w:r>
      <w:r w:rsidR="00631C10">
        <w:t>se soumet à un</w:t>
      </w:r>
      <w:r>
        <w:t xml:space="preserve"> audiogramme et fait faire un ajustement</w:t>
      </w:r>
      <w:r w:rsidR="002D563B">
        <w:t xml:space="preserve"> de la stimulation acoustique par la Clinique de l’acouphène de Montré</w:t>
      </w:r>
      <w:r w:rsidR="00E124DA">
        <w:t>al. Un reçu au montant de 225</w:t>
      </w:r>
      <w:r w:rsidR="002D563B">
        <w:t> $ est émis.</w:t>
      </w:r>
    </w:p>
    <w:p w:rsidR="00741ACB" w:rsidRDefault="00741ACB" w:rsidP="00741ACB">
      <w:pPr>
        <w:pStyle w:val="corpsdedcision"/>
      </w:pPr>
      <w:r>
        <w:t>Le 26 mai 2014, une mise à jour du plan d’intervention auprès de l’Institut Raymond-Deward est complétée. On y rappelle que l’objectif du traitement s’inscrit dans un contexte où la travailleuse présente une hyperacousie ainsi que des acouphènes dérangeants. On y indique que la travailleuse a consulté à la Clinique de l’acouphène de Montréal où elle s’est procuré un générateur de signal acoustique personnalisé lequel permet de diminuer les acouphènes pour quelques heures à droite et quelques jours à gauche. Suite à ce traitement, il y a également eu une modification du type d’acouphènes, lesquels sont maintenant plus tolérables.</w:t>
      </w:r>
    </w:p>
    <w:p w:rsidR="002D563B" w:rsidRDefault="002D563B" w:rsidP="00FB71AC">
      <w:pPr>
        <w:pStyle w:val="corpsdedcision"/>
      </w:pPr>
      <w:r>
        <w:t>Le 21 juillet 2014, la Commission des lésions professionnelles rend une décision</w:t>
      </w:r>
      <w:r w:rsidR="00120B8C">
        <w:rPr>
          <w:rStyle w:val="Appelnotedebasdep"/>
        </w:rPr>
        <w:footnoteReference w:id="2"/>
      </w:r>
      <w:r>
        <w:t>, reconnaissant que la travailleuse a été victime d’un stress post-traumatique lors de l’événement du 18 septembre 2012.</w:t>
      </w:r>
    </w:p>
    <w:p w:rsidR="002D563B" w:rsidRDefault="002D563B" w:rsidP="00FB71AC">
      <w:pPr>
        <w:pStyle w:val="corpsdedcision"/>
      </w:pPr>
      <w:r>
        <w:lastRenderedPageBreak/>
        <w:t xml:space="preserve">Le 13 novembre 2014, le docteur Zeitouni écrit une lettre où il confirme </w:t>
      </w:r>
      <w:r w:rsidR="00631C10">
        <w:t>qu’</w:t>
      </w:r>
      <w:r>
        <w:t>en date du 12 août 2013</w:t>
      </w:r>
      <w:r w:rsidR="00120B8C">
        <w:t>,</w:t>
      </w:r>
      <w:r>
        <w:t xml:space="preserve"> il a référé la travailleuse à la Clinique de l’acouphène</w:t>
      </w:r>
      <w:r w:rsidR="00120B8C">
        <w:t xml:space="preserve"> de Montréal afin de compléter l</w:t>
      </w:r>
      <w:r>
        <w:t>es tests et les traitements nécessaires à l’amélioration de sa condition résultant de son trauma acoustique.</w:t>
      </w:r>
    </w:p>
    <w:p w:rsidR="002D563B" w:rsidRDefault="002D563B" w:rsidP="00FB71AC">
      <w:pPr>
        <w:pStyle w:val="corpsdedcision"/>
      </w:pPr>
      <w:r>
        <w:t>Le 15 décembre 2014, madame Bourbonnet</w:t>
      </w:r>
      <w:r w:rsidR="00120B8C">
        <w:t>,</w:t>
      </w:r>
      <w:r>
        <w:t xml:space="preserve"> audiologiste de l’Institut Raymond-Deward</w:t>
      </w:r>
      <w:r w:rsidR="00120B8C">
        <w:t>,</w:t>
      </w:r>
      <w:r>
        <w:t xml:space="preserve"> confirme que l’établissement </w:t>
      </w:r>
      <w:r w:rsidR="00631C10">
        <w:t xml:space="preserve">ne fournit pas </w:t>
      </w:r>
      <w:r>
        <w:t>de traitements à base de générateur</w:t>
      </w:r>
      <w:r w:rsidR="00120B8C">
        <w:t>s</w:t>
      </w:r>
      <w:r>
        <w:t xml:space="preserve"> de bruit</w:t>
      </w:r>
      <w:r w:rsidR="00120B8C">
        <w:t>s</w:t>
      </w:r>
      <w:r>
        <w:t xml:space="preserve"> vis</w:t>
      </w:r>
      <w:r w:rsidR="00120B8C">
        <w:t xml:space="preserve">ant à modifier la fréquence des </w:t>
      </w:r>
      <w:r>
        <w:t>acouphène</w:t>
      </w:r>
      <w:r w:rsidR="00120B8C">
        <w:t>s et ne vend</w:t>
      </w:r>
      <w:r>
        <w:t xml:space="preserve"> pas</w:t>
      </w:r>
      <w:r w:rsidR="00631C10">
        <w:t xml:space="preserve"> ce type d’équipement</w:t>
      </w:r>
      <w:r>
        <w:t>, la preuve scientifique ne supportant pas ce type de traitement.</w:t>
      </w:r>
    </w:p>
    <w:p w:rsidR="00F001E4" w:rsidRDefault="00F001E4" w:rsidP="00FB71AC">
      <w:pPr>
        <w:pStyle w:val="corpsdedcision"/>
      </w:pPr>
      <w:r>
        <w:t>La travaille</w:t>
      </w:r>
      <w:r w:rsidR="00DD3AD1">
        <w:t>use témoigne lors de l’audience</w:t>
      </w:r>
      <w:r>
        <w:t xml:space="preserve">. Suite à sa lésion professionnelle, la travailleuse conserve, en plus d’une perte d’audition dans les hautes fréquences, des acouphènes qui sont constants. Elle dort avec des </w:t>
      </w:r>
      <w:r w:rsidR="00DD3AD1">
        <w:t>stimulateurs</w:t>
      </w:r>
      <w:r>
        <w:t xml:space="preserve"> de bruit</w:t>
      </w:r>
      <w:r w:rsidR="00120B8C">
        <w:t>s acoustiques,</w:t>
      </w:r>
      <w:r>
        <w:t xml:space="preserve"> lesquels ont pour fonction d’atténuer les acouphènes.</w:t>
      </w:r>
    </w:p>
    <w:p w:rsidR="00DD3AD1" w:rsidRDefault="00DD3AD1" w:rsidP="00FB71AC">
      <w:pPr>
        <w:pStyle w:val="corpsdedcision"/>
      </w:pPr>
      <w:r>
        <w:t>Un grand pan de sa vie s’est écroulé en raison des conséquences de sa lésion auditive. Elle ne peut plus enseigner la musique de façon pratique. Elle est limitée à l’enseignement théorique. Elle présente également des acouphènes permanents qu’elle décrit comme des sirènes de véhicules d’urgence</w:t>
      </w:r>
      <w:r w:rsidR="00120B8C">
        <w:t>. Ces conditions ont occasionné</w:t>
      </w:r>
      <w:r>
        <w:t xml:space="preserve"> une dépression dont elle s’est rétablie suite aux traitements avec l’appareil stimulateur de bruits acoustiques.</w:t>
      </w:r>
    </w:p>
    <w:p w:rsidR="004E1979" w:rsidRDefault="004E1979" w:rsidP="00FB71AC">
      <w:pPr>
        <w:pStyle w:val="corpsdedcision"/>
      </w:pPr>
      <w:r>
        <w:t>Dans le cadre du suivi de son dossier, l’employeur l’a envoyé voir le docteur Chagnon pour évaluer sa condi</w:t>
      </w:r>
      <w:r w:rsidR="00E124DA">
        <w:t>tion. Ce dernier l’a référé au C</w:t>
      </w:r>
      <w:r>
        <w:t>entre Ouest pour faire certains tests. À cet endroit, on lui a dévoilé l’existence des stimulateurs de bruit</w:t>
      </w:r>
      <w:r w:rsidR="00546331">
        <w:t>s</w:t>
      </w:r>
      <w:r>
        <w:t xml:space="preserve"> acoustique</w:t>
      </w:r>
      <w:r w:rsidR="00546331">
        <w:t>s</w:t>
      </w:r>
      <w:r>
        <w:t>. On lui a fait tenter l’expérience</w:t>
      </w:r>
      <w:r w:rsidR="00DD3AD1">
        <w:t xml:space="preserve"> et elle a immédiatement constaté l’effet bénéfique sur sa condition</w:t>
      </w:r>
      <w:r>
        <w:t>.</w:t>
      </w:r>
    </w:p>
    <w:p w:rsidR="00546331" w:rsidRDefault="00546331" w:rsidP="00546331">
      <w:pPr>
        <w:pStyle w:val="corpsdedcision"/>
      </w:pPr>
      <w:r>
        <w:t>Elle a discuté avec</w:t>
      </w:r>
      <w:r w:rsidRPr="00546331">
        <w:t xml:space="preserve"> </w:t>
      </w:r>
      <w:r>
        <w:t>le docteur Zeitouni de l’expérience faite avec le stimulateur</w:t>
      </w:r>
      <w:r w:rsidR="00240976">
        <w:t xml:space="preserve"> </w:t>
      </w:r>
      <w:r>
        <w:t xml:space="preserve">de bruits acoustiques. Il lui a parlé de la Clinique de l’acouphène </w:t>
      </w:r>
      <w:r w:rsidR="00120B8C">
        <w:t xml:space="preserve">de Montréal </w:t>
      </w:r>
      <w:r>
        <w:t>et l’a référée à cet endroit. Une prescription du 7 octobre 2013 de ce médecin recommande des appareils de stimulation</w:t>
      </w:r>
      <w:r w:rsidR="00120B8C">
        <w:t>s</w:t>
      </w:r>
      <w:r>
        <w:t xml:space="preserve"> acoustique</w:t>
      </w:r>
      <w:r w:rsidR="00120B8C">
        <w:t>s</w:t>
      </w:r>
      <w:r>
        <w:t xml:space="preserve"> pour le contrôle des acouphènes.</w:t>
      </w:r>
    </w:p>
    <w:p w:rsidR="000E35E1" w:rsidRDefault="004E1979" w:rsidP="00FB71AC">
      <w:pPr>
        <w:pStyle w:val="corpsdedcision"/>
      </w:pPr>
      <w:r>
        <w:t>La travailleuse précise que le stimulateur vise à reprogrammer des sons qu’elle n’entend plus afin d’envoyer certains messages au cerveau pour diminuer les acouphènes. Depuis qu’elle utilise les stimulateurs de bruit</w:t>
      </w:r>
      <w:r w:rsidR="00546331">
        <w:t>s</w:t>
      </w:r>
      <w:r>
        <w:t xml:space="preserve"> acoustique</w:t>
      </w:r>
      <w:r w:rsidR="00546331">
        <w:t>s</w:t>
      </w:r>
      <w:r>
        <w:t xml:space="preserve">, elle prend moins de médicaments et tolère mieux les acouphènes. </w:t>
      </w:r>
    </w:p>
    <w:p w:rsidR="00546331" w:rsidRDefault="00546331" w:rsidP="00FB71AC">
      <w:pPr>
        <w:pStyle w:val="corpsdedcision"/>
      </w:pPr>
      <w:r>
        <w:t>La travailleuse porte également des masqueurs d’acouphène</w:t>
      </w:r>
      <w:r w:rsidR="00120B8C">
        <w:t>s</w:t>
      </w:r>
      <w:r>
        <w:t xml:space="preserve"> intégrés à des appareils auditifs. Ces appareils ne fonctionnent pas sur le</w:t>
      </w:r>
      <w:r w:rsidR="00120B8C">
        <w:t xml:space="preserve"> même</w:t>
      </w:r>
      <w:r>
        <w:t xml:space="preserve"> principe que l’app</w:t>
      </w:r>
      <w:r w:rsidR="002D1A57">
        <w:t xml:space="preserve">areil de stimulation de bruits </w:t>
      </w:r>
      <w:r>
        <w:t>acoustiques. L’emploi des deux appareils donne de meilleurs résultats et lui permet de retrouver une certaine qualité de vie.</w:t>
      </w:r>
    </w:p>
    <w:p w:rsidR="004E1979" w:rsidRDefault="004E1979" w:rsidP="00FB71AC">
      <w:pPr>
        <w:pStyle w:val="corpsdedcision"/>
      </w:pPr>
      <w:r>
        <w:lastRenderedPageBreak/>
        <w:t>La travailleuse précise qu’elle a été en mesure de faire un retour au travail</w:t>
      </w:r>
      <w:r w:rsidR="005E170C">
        <w:t xml:space="preserve"> progressif depuis janvier 2014, mais elle consulte toujours de façon régulière le docteur Zeitouni. La travailleuse précise que les stimulateurs de bruit</w:t>
      </w:r>
      <w:r w:rsidR="002D1A57">
        <w:t>s</w:t>
      </w:r>
      <w:r w:rsidR="005E170C">
        <w:t xml:space="preserve"> acoustique</w:t>
      </w:r>
      <w:r w:rsidR="002D1A57">
        <w:t>s</w:t>
      </w:r>
      <w:r w:rsidR="005E170C">
        <w:t xml:space="preserve"> ont eu un impact significatif sur sa qualité de vie, laquelle avait été particulièrement perturbée par la présence constante d’acouphènes. Son autonomie et sa santé psychologique ont grandement bénéficié de ces appareils.</w:t>
      </w:r>
    </w:p>
    <w:p w:rsidR="005E170C" w:rsidRDefault="005E170C">
      <w:pPr>
        <w:pStyle w:val="corpsdedcision"/>
        <w:numPr>
          <w:ilvl w:val="0"/>
          <w:numId w:val="0"/>
        </w:numPr>
      </w:pPr>
      <w:r>
        <w:rPr>
          <w:b/>
        </w:rPr>
        <w:t>L’AVIS DES MEMBRES</w:t>
      </w:r>
    </w:p>
    <w:p w:rsidR="005E170C" w:rsidRDefault="005E170C" w:rsidP="00FB71AC">
      <w:pPr>
        <w:pStyle w:val="corpsdedcision"/>
      </w:pPr>
      <w:r>
        <w:t>La membre issue des associations d’employeurs de même que le membre issu des associations syndicales sont d’avis d’accueillir les requêtes de la travailleuse. Bien que le plan de traitements pour les générateurs de bruit</w:t>
      </w:r>
      <w:r w:rsidR="00546331">
        <w:t>s</w:t>
      </w:r>
      <w:r>
        <w:t xml:space="preserve"> acoustique</w:t>
      </w:r>
      <w:r w:rsidR="00546331">
        <w:t>s</w:t>
      </w:r>
      <w:r w:rsidR="002D1A57">
        <w:t xml:space="preserve"> ne soi</w:t>
      </w:r>
      <w:r>
        <w:t>t pas prévu à la réglementat</w:t>
      </w:r>
      <w:r w:rsidR="002D1A57">
        <w:t>ion, il s’agit d’éléments permetta</w:t>
      </w:r>
      <w:r>
        <w:t>nt d’atténuer considérablement les conséquences</w:t>
      </w:r>
      <w:r w:rsidR="002D1A57">
        <w:t xml:space="preserve"> de la lésion professionnelle et </w:t>
      </w:r>
      <w:r>
        <w:t xml:space="preserve">doivent </w:t>
      </w:r>
      <w:r w:rsidR="002D1A57">
        <w:t xml:space="preserve">donc </w:t>
      </w:r>
      <w:r>
        <w:t>être remboursés par la CSST, conformément aux dispositions de l’article 184 de la loi.</w:t>
      </w:r>
    </w:p>
    <w:p w:rsidR="00D26489" w:rsidRDefault="00D26489">
      <w:pPr>
        <w:pStyle w:val="corpsdedcision"/>
        <w:numPr>
          <w:ilvl w:val="0"/>
          <w:numId w:val="0"/>
        </w:numPr>
      </w:pPr>
      <w:r>
        <w:rPr>
          <w:b/>
        </w:rPr>
        <w:t>LES MOTIFS DE LA DÉCISION</w:t>
      </w:r>
    </w:p>
    <w:p w:rsidR="00D26489" w:rsidRPr="00E124DA" w:rsidRDefault="00D26489" w:rsidP="00D26489">
      <w:pPr>
        <w:pStyle w:val="corpsdedcision"/>
        <w:numPr>
          <w:ilvl w:val="0"/>
          <w:numId w:val="0"/>
        </w:numPr>
        <w:rPr>
          <w:b/>
        </w:rPr>
      </w:pPr>
      <w:r w:rsidRPr="00E124DA">
        <w:rPr>
          <w:b/>
        </w:rPr>
        <w:t>Dossiers 539697-71-1404 et 558491-71-1411</w:t>
      </w:r>
    </w:p>
    <w:p w:rsidR="00D26489" w:rsidRDefault="00D26489" w:rsidP="00FB71AC">
      <w:pPr>
        <w:pStyle w:val="corpsdedcision"/>
      </w:pPr>
      <w:r>
        <w:t>La Commission des lésions professionnelles doit déterminer si la travailleuse a droit au remboursement du coût d’acquisition, d’entretien et du plan de traitement lié au port de stimulateurs de bruit</w:t>
      </w:r>
      <w:r w:rsidR="00546331">
        <w:t>s</w:t>
      </w:r>
      <w:r>
        <w:t xml:space="preserve"> acoustique</w:t>
      </w:r>
      <w:r w:rsidR="00546331">
        <w:t>s</w:t>
      </w:r>
      <w:r>
        <w:t>.</w:t>
      </w:r>
    </w:p>
    <w:p w:rsidR="00D16389" w:rsidRDefault="007C77E4" w:rsidP="00FB71AC">
      <w:pPr>
        <w:pStyle w:val="corpsdedcision"/>
      </w:pPr>
      <w:r>
        <w:t>La travailleuse a été victime d’une lésion professionnelle le 18 septembre 2012</w:t>
      </w:r>
      <w:r w:rsidR="002D1A57">
        <w:t>,</w:t>
      </w:r>
      <w:r>
        <w:t xml:space="preserve"> laquelle a ent</w:t>
      </w:r>
      <w:r w:rsidR="002D1A57">
        <w:t>raîné des séquelles permanentes dont</w:t>
      </w:r>
      <w:r>
        <w:t xml:space="preserve"> la persistance d’acouphènes</w:t>
      </w:r>
      <w:r w:rsidR="002D1A57">
        <w:t>,</w:t>
      </w:r>
      <w:r>
        <w:t xml:space="preserve"> lesquels ont participé grandement à la détérioration de l’ét</w:t>
      </w:r>
      <w:r w:rsidR="00D16389">
        <w:t>at de santé de la travailleuse.</w:t>
      </w:r>
    </w:p>
    <w:p w:rsidR="00D26489" w:rsidRDefault="007C77E4" w:rsidP="00FB71AC">
      <w:pPr>
        <w:pStyle w:val="corpsdedcision"/>
      </w:pPr>
      <w:r>
        <w:t xml:space="preserve">Il y a lieu </w:t>
      </w:r>
      <w:r w:rsidR="00546331">
        <w:t>de rappeler</w:t>
      </w:r>
      <w:r>
        <w:t xml:space="preserve"> que la Commission des lésions professionnelles a reconnu que la travailleuse</w:t>
      </w:r>
      <w:r w:rsidR="00D16389">
        <w:t xml:space="preserve"> était porteuse d’une lésion professionnelle de nature psychiatrique découlant des conséquences de l’accident du travail du 18 septembre 2012.</w:t>
      </w:r>
      <w:r w:rsidR="00546331">
        <w:t xml:space="preserve"> La lésion professionnelle a perturbé de façon très significative la vie de la travailleuse.</w:t>
      </w:r>
    </w:p>
    <w:p w:rsidR="00D16389" w:rsidRDefault="000115A1" w:rsidP="00FB71AC">
      <w:pPr>
        <w:pStyle w:val="corpsdedcision"/>
      </w:pPr>
      <w:r>
        <w:t>La Commission des lésions professionnelles retient du témoignage crédible de la travailleuse que cette dernière a eu beaucoup de difficultés à composer avec la présence d’acouphènes permanents et que le</w:t>
      </w:r>
      <w:r w:rsidR="00A75CC1">
        <w:t>s</w:t>
      </w:r>
      <w:r>
        <w:t xml:space="preserve"> traitement</w:t>
      </w:r>
      <w:r w:rsidR="00A75CC1">
        <w:t>s</w:t>
      </w:r>
      <w:r>
        <w:t xml:space="preserve"> </w:t>
      </w:r>
      <w:r w:rsidR="00A75CC1">
        <w:t>re</w:t>
      </w:r>
      <w:r>
        <w:t>connu</w:t>
      </w:r>
      <w:r w:rsidR="00A75CC1">
        <w:t>s</w:t>
      </w:r>
      <w:r>
        <w:t xml:space="preserve"> et dispensé</w:t>
      </w:r>
      <w:r w:rsidR="00A75CC1">
        <w:t>s</w:t>
      </w:r>
      <w:r>
        <w:t xml:space="preserve"> par l’Institut Raymon-Deward</w:t>
      </w:r>
      <w:r w:rsidR="00A75CC1">
        <w:t>,</w:t>
      </w:r>
      <w:r>
        <w:t xml:space="preserve"> approuvé</w:t>
      </w:r>
      <w:r w:rsidR="00A75CC1">
        <w:t>s</w:t>
      </w:r>
      <w:r>
        <w:t xml:space="preserve"> par la CSST</w:t>
      </w:r>
      <w:r w:rsidR="00A75CC1">
        <w:t>,</w:t>
      </w:r>
      <w:r>
        <w:t xml:space="preserve"> n’ont pas permis de résoudre ce problème de façon satisfaisante.</w:t>
      </w:r>
    </w:p>
    <w:p w:rsidR="000115A1" w:rsidRDefault="000115A1" w:rsidP="00FB71AC">
      <w:pPr>
        <w:pStyle w:val="corpsdedcision"/>
      </w:pPr>
      <w:r>
        <w:t xml:space="preserve">Le médecin spécialiste de la travailleuse, le docteur Zeitouni l’a référé en octobre 2013 à la Clinique de l’acouphène de Montréal pour tenter d’atténuer les conséquences de sa lésion professionnelle avec un appareil de stimulation </w:t>
      </w:r>
      <w:r w:rsidR="00A75CC1">
        <w:t xml:space="preserve">de bruits </w:t>
      </w:r>
      <w:r>
        <w:t>acoustique</w:t>
      </w:r>
      <w:r w:rsidR="00A75CC1">
        <w:t>s</w:t>
      </w:r>
      <w:r>
        <w:t>. Le port de ce type d’appareil s’est avéré bénéfique pour la travailleuse, entraînant une diminution marquée, voire une disparition temporaire des acouphènes.</w:t>
      </w:r>
    </w:p>
    <w:p w:rsidR="00A75CC1" w:rsidRDefault="00A75CC1" w:rsidP="00A75CC1">
      <w:pPr>
        <w:pStyle w:val="corpsdedcision"/>
      </w:pPr>
      <w:r>
        <w:t>La procureure de la travailleuse soulève avec justesse que les stimulateurs de bruits acoustiques ne sont pas des appareils qui sont remboursables selon les dispositions portant sur l’assistance médicale puisqu’ils ne sont pas inclus au Règlement sur l’assistance médicale</w:t>
      </w:r>
      <w:r>
        <w:rPr>
          <w:rStyle w:val="Appelnotedebasdep"/>
        </w:rPr>
        <w:footnoteReference w:id="3"/>
      </w:r>
      <w:r>
        <w:t xml:space="preserve">. </w:t>
      </w:r>
    </w:p>
    <w:p w:rsidR="000115A1" w:rsidRDefault="000115A1" w:rsidP="00FB71AC">
      <w:pPr>
        <w:pStyle w:val="corpsdedcision"/>
      </w:pPr>
      <w:r>
        <w:t>La représentante de la travailleuse soumet que la CSST doit effectuer le remboursement de ces traitements conformément au</w:t>
      </w:r>
      <w:r w:rsidR="00E124DA">
        <w:t xml:space="preserve">x dispositions de l’article 184 </w:t>
      </w:r>
      <w:r>
        <w:t>de la loi. Cet article se lit comme suit :</w:t>
      </w:r>
    </w:p>
    <w:p w:rsidR="000115A1" w:rsidRDefault="000115A1">
      <w:pPr>
        <w:pStyle w:val="articlesdelaLATMP"/>
      </w:pPr>
      <w:r w:rsidRPr="00873C39">
        <w:rPr>
          <w:b/>
        </w:rPr>
        <w:t>184.</w:t>
      </w:r>
      <w:r>
        <w:t xml:space="preserve">  La Commission peut</w:t>
      </w:r>
      <w:r>
        <w:rPr>
          <w:rFonts w:cs="Arial"/>
        </w:rPr>
        <w:t> </w:t>
      </w:r>
      <w:r>
        <w:t>:</w:t>
      </w:r>
    </w:p>
    <w:p w:rsidR="000115A1" w:rsidRDefault="000115A1">
      <w:pPr>
        <w:pStyle w:val="articlesdelaLATMP"/>
      </w:pPr>
    </w:p>
    <w:p w:rsidR="000115A1" w:rsidRDefault="000115A1">
      <w:pPr>
        <w:pStyle w:val="articlesdelaLATMP"/>
      </w:pPr>
      <w:r>
        <w:t>1° développer et soutenir les activités des personnes et des organismes qui s'occupent de réadaptation et coopérer avec eux;</w:t>
      </w:r>
    </w:p>
    <w:p w:rsidR="000115A1" w:rsidRDefault="000115A1">
      <w:pPr>
        <w:pStyle w:val="articlesdelaLATMP"/>
      </w:pPr>
    </w:p>
    <w:p w:rsidR="000115A1" w:rsidRDefault="000115A1">
      <w:pPr>
        <w:pStyle w:val="articlesdelaLATMP"/>
      </w:pPr>
      <w:r>
        <w:t xml:space="preserve">2° évaluer l'efficacité des politiques, des programmes et des services de réadaptation disponibles; </w:t>
      </w:r>
    </w:p>
    <w:p w:rsidR="000115A1" w:rsidRDefault="000115A1">
      <w:pPr>
        <w:pStyle w:val="articlesdelaLATMP"/>
      </w:pPr>
    </w:p>
    <w:p w:rsidR="000115A1" w:rsidRDefault="000115A1">
      <w:pPr>
        <w:pStyle w:val="articlesdelaLATMP"/>
      </w:pPr>
      <w:r>
        <w:t>3° effectuer ou faire effectuer des études et des recherches sur la réadaptation;</w:t>
      </w:r>
    </w:p>
    <w:p w:rsidR="000115A1" w:rsidRDefault="000115A1">
      <w:pPr>
        <w:pStyle w:val="articlesdelaLATMP"/>
      </w:pPr>
    </w:p>
    <w:p w:rsidR="000115A1" w:rsidRDefault="000115A1">
      <w:pPr>
        <w:pStyle w:val="articlesdelaLATMP"/>
      </w:pPr>
      <w:r>
        <w:t>4° prendre toute mesure qu'elle estime utile pour favoriser la réinsertion professionnelle du conjoint d'un travailleur décédé en raison d'une lésion professionnelle;</w:t>
      </w:r>
    </w:p>
    <w:p w:rsidR="000115A1" w:rsidRDefault="000115A1">
      <w:pPr>
        <w:pStyle w:val="articlesdelaLATMP"/>
      </w:pPr>
    </w:p>
    <w:p w:rsidR="000115A1" w:rsidRDefault="000115A1">
      <w:pPr>
        <w:pStyle w:val="articlesdelaLATMP"/>
      </w:pPr>
      <w:r>
        <w:t>5° prendre toute mesure qu'elle estime utile pour atténuer ou faire disparaître les conséquences d'une lésion professionnelle.</w:t>
      </w:r>
    </w:p>
    <w:p w:rsidR="000115A1" w:rsidRDefault="000115A1">
      <w:pPr>
        <w:pStyle w:val="articlesdelaLATMP"/>
      </w:pPr>
    </w:p>
    <w:p w:rsidR="000115A1" w:rsidRDefault="000115A1">
      <w:pPr>
        <w:pStyle w:val="articlesdelaLATMP"/>
      </w:pPr>
      <w:r>
        <w:t>Aux fins des paragraphes 1°, 2° et 3°, la Commission forme un comité multidisciplinaire.</w:t>
      </w:r>
    </w:p>
    <w:p w:rsidR="000115A1" w:rsidRDefault="000115A1">
      <w:pPr>
        <w:pStyle w:val="articlesdelaLATMP"/>
      </w:pPr>
      <w:r>
        <w:t>__________</w:t>
      </w:r>
    </w:p>
    <w:p w:rsidR="000115A1" w:rsidRDefault="000115A1">
      <w:pPr>
        <w:pStyle w:val="articlesdelaLATMP"/>
      </w:pPr>
      <w:r>
        <w:t>1985, c. 6, a. 184.</w:t>
      </w:r>
    </w:p>
    <w:p w:rsidR="000115A1" w:rsidRDefault="000115A1">
      <w:pPr>
        <w:pStyle w:val="articlesdelaLATMP"/>
      </w:pPr>
    </w:p>
    <w:p w:rsidR="000115A1" w:rsidRDefault="000115A1">
      <w:pPr>
        <w:pStyle w:val="articlesdelaLATMP"/>
      </w:pPr>
    </w:p>
    <w:p w:rsidR="007A0F6B" w:rsidRDefault="007A0F6B" w:rsidP="00FB71AC">
      <w:pPr>
        <w:pStyle w:val="corpsdedcision"/>
      </w:pPr>
      <w:r>
        <w:t xml:space="preserve">La Commission des lésions professionnelles dans l’affaire </w:t>
      </w:r>
      <w:r w:rsidR="00941CD5">
        <w:rPr>
          <w:i/>
        </w:rPr>
        <w:t>La</w:t>
      </w:r>
      <w:r w:rsidRPr="006D51F3">
        <w:rPr>
          <w:i/>
        </w:rPr>
        <w:t>dora</w:t>
      </w:r>
      <w:r>
        <w:t xml:space="preserve"> et </w:t>
      </w:r>
      <w:r w:rsidRPr="006D51F3">
        <w:rPr>
          <w:i/>
        </w:rPr>
        <w:t>Hôpital</w:t>
      </w:r>
      <w:r>
        <w:t xml:space="preserve"> </w:t>
      </w:r>
      <w:r w:rsidRPr="006D51F3">
        <w:rPr>
          <w:i/>
        </w:rPr>
        <w:t>Rivière-des-Prairies</w:t>
      </w:r>
      <w:r>
        <w:rPr>
          <w:rStyle w:val="Appelnotedebasdep"/>
        </w:rPr>
        <w:footnoteReference w:id="4"/>
      </w:r>
      <w:r w:rsidR="006D51F3">
        <w:t>, interprétait les dispositions de l’article 184 (5) de la loi de la façon suivante :</w:t>
      </w:r>
    </w:p>
    <w:p w:rsidR="00EF4EED" w:rsidRDefault="00941CD5" w:rsidP="00EF4EED">
      <w:pPr>
        <w:pStyle w:val="citation"/>
      </w:pPr>
      <w:r>
        <w:t>[78]</w:t>
      </w:r>
      <w:r>
        <w:tab/>
      </w:r>
      <w:r w:rsidR="00EF4EED">
        <w:t>Certes, il s’agit là d’un pouvoir discrétionnaire, mais il est tout de même « sujet à révision en vertu de l’article 358 et éventuellement en vertu de l’article 359 » de la Loi</w:t>
      </w:r>
      <w:r w:rsidR="00402A4E" w:rsidRPr="00402A4E">
        <w:rPr>
          <w:vertAlign w:val="superscript"/>
        </w:rPr>
        <w:t>16</w:t>
      </w:r>
      <w:r w:rsidR="00EF4EED">
        <w:t>.</w:t>
      </w:r>
    </w:p>
    <w:p w:rsidR="00B477AA" w:rsidRDefault="00B477AA" w:rsidP="00EF4EED">
      <w:pPr>
        <w:pStyle w:val="citation"/>
      </w:pPr>
    </w:p>
    <w:p w:rsidR="00EF4EED" w:rsidRDefault="00B477AA" w:rsidP="00EF4EED">
      <w:pPr>
        <w:pStyle w:val="citation"/>
      </w:pPr>
      <w:r>
        <w:t>[79]</w:t>
      </w:r>
      <w:r>
        <w:tab/>
      </w:r>
      <w:r w:rsidR="00EF4EED">
        <w:t>De plus, l’exercice de ce pouvoir n’est pas discrétionnaire : « la CSST n’a pas l’obligation d’accorder ce que l’administré lui demande, puisqu’il s’agit d’un pouvoir discrétionnaire, mais elle a l’obligation de se demander si elle le fera »</w:t>
      </w:r>
      <w:r w:rsidR="00402A4E" w:rsidRPr="00402A4E">
        <w:rPr>
          <w:vertAlign w:val="superscript"/>
        </w:rPr>
        <w:t>17</w:t>
      </w:r>
      <w:r w:rsidR="00EF4EED">
        <w:t>.</w:t>
      </w:r>
    </w:p>
    <w:p w:rsidR="00941CD5" w:rsidRDefault="00941CD5" w:rsidP="00EF4EED">
      <w:pPr>
        <w:pStyle w:val="citation"/>
      </w:pPr>
    </w:p>
    <w:p w:rsidR="00EF4EED" w:rsidRDefault="00B477AA" w:rsidP="00EF4EED">
      <w:pPr>
        <w:pStyle w:val="citation"/>
      </w:pPr>
      <w:r>
        <w:t>[80]</w:t>
      </w:r>
      <w:r>
        <w:tab/>
      </w:r>
      <w:r w:rsidR="00EF4EED">
        <w:t xml:space="preserve">Au vu du dossier constitué, force est de constater que la CSST ne s’est pas demandé si elle accorderait ou non à la </w:t>
      </w:r>
      <w:r w:rsidR="00EF4EED" w:rsidRPr="00C07EFF">
        <w:t>travailleuse</w:t>
      </w:r>
      <w:r w:rsidR="00EF4EED">
        <w:t xml:space="preserve"> le remboursement des frais dits d’ostéopathie sur la base de l’article 184 (5) de la Loi.  Or, elle avait le devoir de rendre une décision en vertu de cet article</w:t>
      </w:r>
      <w:r w:rsidR="00402A4E" w:rsidRPr="00402A4E">
        <w:rPr>
          <w:vertAlign w:val="superscript"/>
        </w:rPr>
        <w:t>18</w:t>
      </w:r>
      <w:r w:rsidR="00EF4EED">
        <w:t>.</w:t>
      </w:r>
    </w:p>
    <w:p w:rsidR="00B477AA" w:rsidRDefault="00B477AA" w:rsidP="00EF4EED">
      <w:pPr>
        <w:pStyle w:val="citation"/>
      </w:pPr>
    </w:p>
    <w:p w:rsidR="00EF4EED" w:rsidRDefault="00B477AA" w:rsidP="00EF4EED">
      <w:pPr>
        <w:pStyle w:val="citation"/>
      </w:pPr>
      <w:r>
        <w:t>[81]</w:t>
      </w:r>
      <w:r>
        <w:tab/>
      </w:r>
      <w:r w:rsidR="00EF4EED">
        <w:t xml:space="preserve">Dûment saisie du mérite du litige, la </w:t>
      </w:r>
      <w:r w:rsidR="00EF4EED" w:rsidRPr="00C07EFF">
        <w:t>Commission des lésions professionnelles</w:t>
      </w:r>
      <w:r w:rsidR="00EF4EED">
        <w:t xml:space="preserve"> peut donc rendre maintenant à cet égard la décision qui, à son avis, aurait dû être rendue en premier lieu, le tout conformément au deuxième alinéa de l’article 377 de la Loi :</w:t>
      </w:r>
    </w:p>
    <w:p w:rsidR="00B477AA" w:rsidRDefault="00B477AA" w:rsidP="00EF4EED">
      <w:pPr>
        <w:pStyle w:val="citation"/>
      </w:pPr>
    </w:p>
    <w:p w:rsidR="00EF4EED" w:rsidRPr="008A0D1A" w:rsidRDefault="00EF4EED" w:rsidP="008A0D1A">
      <w:pPr>
        <w:pStyle w:val="articlesdelaLATMPnouveaux"/>
        <w:ind w:left="1418" w:right="1280"/>
        <w:rPr>
          <w:sz w:val="18"/>
          <w:szCs w:val="18"/>
        </w:rPr>
      </w:pPr>
      <w:r w:rsidRPr="008A0D1A">
        <w:rPr>
          <w:b/>
          <w:sz w:val="18"/>
          <w:szCs w:val="18"/>
        </w:rPr>
        <w:t xml:space="preserve">377. </w:t>
      </w:r>
      <w:r w:rsidRPr="008A0D1A">
        <w:rPr>
          <w:sz w:val="18"/>
          <w:szCs w:val="18"/>
        </w:rPr>
        <w:t>La Commission des lésions professionnelles a le pouvoir de décider de toute question de droit ou de fait nécessaire à l'exercice de sa compétence.</w:t>
      </w:r>
    </w:p>
    <w:p w:rsidR="00EF4EED" w:rsidRPr="008A0D1A" w:rsidRDefault="00EF4EED" w:rsidP="008A0D1A">
      <w:pPr>
        <w:pStyle w:val="articlesdelaLATMPnouveaux"/>
        <w:ind w:left="1418" w:right="1280"/>
        <w:rPr>
          <w:sz w:val="18"/>
          <w:szCs w:val="18"/>
        </w:rPr>
      </w:pPr>
    </w:p>
    <w:p w:rsidR="00EF4EED" w:rsidRPr="008A0D1A" w:rsidRDefault="00EF4EED" w:rsidP="008A0D1A">
      <w:pPr>
        <w:pStyle w:val="articlesdelaLATMPnouveaux"/>
        <w:ind w:left="1418" w:right="1280"/>
        <w:rPr>
          <w:sz w:val="18"/>
          <w:szCs w:val="18"/>
        </w:rPr>
      </w:pPr>
      <w:r w:rsidRPr="008A0D1A">
        <w:rPr>
          <w:sz w:val="18"/>
          <w:szCs w:val="18"/>
        </w:rPr>
        <w:t>Elle peut confirmer, modifier ou infirmer la décision, l'ordre ou l'ordonnance contesté et, s'il y a lieu, rendre la décision, l'ordre ou l'ordonnance qui, à son avis, aurait dû être rendu en premier lieu.</w:t>
      </w:r>
    </w:p>
    <w:p w:rsidR="00EF4EED" w:rsidRPr="008A0D1A" w:rsidRDefault="00EF4EED" w:rsidP="008A0D1A">
      <w:pPr>
        <w:pStyle w:val="articlesdelaLATMPnouveaux"/>
        <w:ind w:left="1418" w:right="1280"/>
        <w:rPr>
          <w:sz w:val="18"/>
          <w:szCs w:val="18"/>
        </w:rPr>
      </w:pPr>
      <w:r w:rsidRPr="008A0D1A">
        <w:rPr>
          <w:sz w:val="18"/>
          <w:szCs w:val="18"/>
        </w:rPr>
        <w:t>__________</w:t>
      </w:r>
    </w:p>
    <w:p w:rsidR="00EF4EED" w:rsidRPr="008A0D1A" w:rsidRDefault="00EF4EED" w:rsidP="008A0D1A">
      <w:pPr>
        <w:pStyle w:val="articlesdelaLATMPnouveaux"/>
        <w:ind w:left="1418" w:right="1280"/>
        <w:rPr>
          <w:sz w:val="18"/>
          <w:szCs w:val="18"/>
        </w:rPr>
      </w:pPr>
      <w:r w:rsidRPr="008A0D1A">
        <w:rPr>
          <w:sz w:val="18"/>
          <w:szCs w:val="18"/>
        </w:rPr>
        <w:t xml:space="preserve">1985, c. </w:t>
      </w:r>
      <w:smartTag w:uri="urn:schemas-microsoft-com:office:smarttags" w:element="metricconverter">
        <w:smartTagPr>
          <w:attr w:name="ProductID" w:val="6, a"/>
        </w:smartTagPr>
        <w:r w:rsidRPr="008A0D1A">
          <w:rPr>
            <w:sz w:val="18"/>
            <w:szCs w:val="18"/>
          </w:rPr>
          <w:t>6, a</w:t>
        </w:r>
      </w:smartTag>
      <w:r w:rsidRPr="008A0D1A">
        <w:rPr>
          <w:sz w:val="18"/>
          <w:szCs w:val="18"/>
        </w:rPr>
        <w:t xml:space="preserve">. 377; 1997, c. </w:t>
      </w:r>
      <w:smartTag w:uri="urn:schemas-microsoft-com:office:smarttags" w:element="metricconverter">
        <w:smartTagPr>
          <w:attr w:name="ProductID" w:val="27, a"/>
        </w:smartTagPr>
        <w:r w:rsidRPr="008A0D1A">
          <w:rPr>
            <w:sz w:val="18"/>
            <w:szCs w:val="18"/>
          </w:rPr>
          <w:t>27, a</w:t>
        </w:r>
      </w:smartTag>
      <w:r w:rsidRPr="008A0D1A">
        <w:rPr>
          <w:sz w:val="18"/>
          <w:szCs w:val="18"/>
        </w:rPr>
        <w:t>. 24.</w:t>
      </w:r>
    </w:p>
    <w:p w:rsidR="00EF4EED" w:rsidRDefault="00EF4EED" w:rsidP="00EF4EED">
      <w:pPr>
        <w:pStyle w:val="articlesdelaLATMPnouveaux"/>
      </w:pPr>
    </w:p>
    <w:p w:rsidR="00EF4EED" w:rsidRDefault="00EF4EED" w:rsidP="00EF4EED">
      <w:pPr>
        <w:pStyle w:val="articlesdelaLATMPnouveaux"/>
      </w:pPr>
    </w:p>
    <w:p w:rsidR="00EF4EED" w:rsidRDefault="00B477AA" w:rsidP="00EF4EED">
      <w:pPr>
        <w:pStyle w:val="citation"/>
      </w:pPr>
      <w:r>
        <w:t>[82]</w:t>
      </w:r>
      <w:r>
        <w:tab/>
      </w:r>
      <w:r w:rsidR="00EF4EED">
        <w:t xml:space="preserve">La preuve non contredite déjà rapportée établit que les </w:t>
      </w:r>
      <w:r w:rsidR="00EF4EED" w:rsidRPr="00C07EFF">
        <w:t>traitements</w:t>
      </w:r>
      <w:r w:rsidR="00EF4EED">
        <w:t xml:space="preserve"> dits d’ostéopathie prodigués à la </w:t>
      </w:r>
      <w:r w:rsidR="00EF4EED" w:rsidRPr="00C07EFF">
        <w:t>travailleuse</w:t>
      </w:r>
      <w:r w:rsidR="00EF4EED">
        <w:t xml:space="preserve"> lui procurent un soulagement appréciable et apprécié bien que temporaire.  Ces moments de répit sont nul doute précieux pour une personne continuellement souffrante depuis des décennies comme conséquence directe de la </w:t>
      </w:r>
      <w:r w:rsidR="00EF4EED" w:rsidRPr="00C07EFF">
        <w:t>lésion professionnelle</w:t>
      </w:r>
      <w:r w:rsidR="00EF4EED">
        <w:t xml:space="preserve"> dont elle a été victime.</w:t>
      </w:r>
    </w:p>
    <w:p w:rsidR="00B477AA" w:rsidRDefault="00B477AA" w:rsidP="00EF4EED">
      <w:pPr>
        <w:pStyle w:val="citation"/>
      </w:pPr>
    </w:p>
    <w:p w:rsidR="00EF4EED" w:rsidRDefault="00B477AA" w:rsidP="00EF4EED">
      <w:pPr>
        <w:pStyle w:val="citation"/>
      </w:pPr>
      <w:r>
        <w:t>[83]</w:t>
      </w:r>
      <w:r>
        <w:tab/>
      </w:r>
      <w:r w:rsidR="00EF4EED">
        <w:t xml:space="preserve">À l’évidence, ces </w:t>
      </w:r>
      <w:r w:rsidR="00EF4EED" w:rsidRPr="00C07EFF">
        <w:t>traitements</w:t>
      </w:r>
      <w:r w:rsidR="00EF4EED">
        <w:t xml:space="preserve"> contribuent à maintenir chez la </w:t>
      </w:r>
      <w:r w:rsidR="00EF4EED" w:rsidRPr="00C07EFF">
        <w:t>travailleuse</w:t>
      </w:r>
      <w:r w:rsidR="00EF4EED">
        <w:t xml:space="preserve"> un minimum de capacité et de bien-être</w:t>
      </w:r>
      <w:r w:rsidR="00402A4E" w:rsidRPr="00402A4E">
        <w:rPr>
          <w:vertAlign w:val="superscript"/>
        </w:rPr>
        <w:t>19</w:t>
      </w:r>
      <w:r w:rsidR="00EF4EED">
        <w:t xml:space="preserve">, ce qui justifie de les considérer comme constituant une </w:t>
      </w:r>
      <w:r w:rsidR="00EF4EED" w:rsidRPr="00656372">
        <w:rPr>
          <w:i/>
        </w:rPr>
        <w:t>mesure utile pour atténuer les conséquences</w:t>
      </w:r>
      <w:r w:rsidR="00EF4EED">
        <w:t xml:space="preserve"> de ses </w:t>
      </w:r>
      <w:r w:rsidR="00EF4EED" w:rsidRPr="00C07EFF">
        <w:t>lésion</w:t>
      </w:r>
      <w:r w:rsidR="00EF4EED">
        <w:t>s</w:t>
      </w:r>
      <w:r w:rsidR="00EF4EED" w:rsidRPr="00C07EFF">
        <w:t xml:space="preserve"> professionnelle</w:t>
      </w:r>
      <w:r w:rsidR="00EF4EED">
        <w:t>s, selon les termes de l’article 184 (5) précité.</w:t>
      </w:r>
    </w:p>
    <w:p w:rsidR="00402A4E" w:rsidRDefault="00402A4E" w:rsidP="00EF4EED">
      <w:pPr>
        <w:pStyle w:val="citation"/>
      </w:pPr>
    </w:p>
    <w:p w:rsidR="00EF4EED" w:rsidRDefault="00B477AA" w:rsidP="00EF4EED">
      <w:pPr>
        <w:pStyle w:val="citation"/>
      </w:pPr>
      <w:r>
        <w:t>[84]</w:t>
      </w:r>
      <w:r>
        <w:tab/>
      </w:r>
      <w:r w:rsidR="00EF4EED">
        <w:t xml:space="preserve">Ainsi que l’a rappelé la commissaire Pauline Perron, dans l’affaire </w:t>
      </w:r>
      <w:r w:rsidR="00EF4EED" w:rsidRPr="002320D9">
        <w:rPr>
          <w:i/>
        </w:rPr>
        <w:t>Guylaine Laurin</w:t>
      </w:r>
      <w:r w:rsidR="00EF4EED">
        <w:t xml:space="preserve"> et </w:t>
      </w:r>
      <w:r w:rsidR="00EF4EED" w:rsidRPr="002320D9">
        <w:rPr>
          <w:i/>
        </w:rPr>
        <w:t>Mont Sutton inc</w:t>
      </w:r>
      <w:r w:rsidR="00EF4EED">
        <w:t>.</w:t>
      </w:r>
      <w:r w:rsidR="00402A4E" w:rsidRPr="00402A4E">
        <w:rPr>
          <w:vertAlign w:val="superscript"/>
        </w:rPr>
        <w:t>20</w:t>
      </w:r>
      <w:r w:rsidR="00EF4EED">
        <w:t xml:space="preserve">, « la préoccupation d’une saine gestion des fonds publics est certes louable », mais elle ne doit pas empêcher le tribunal d’« aider la </w:t>
      </w:r>
      <w:r w:rsidR="00EF4EED" w:rsidRPr="00C07EFF">
        <w:t>travailleuse</w:t>
      </w:r>
      <w:r w:rsidR="00EF4EED">
        <w:t xml:space="preserve"> à surmonter les conséquences personnelles et sociales de sa </w:t>
      </w:r>
      <w:r w:rsidR="00EF4EED" w:rsidRPr="00C07EFF">
        <w:t>lésion professionnelle</w:t>
      </w:r>
      <w:r w:rsidR="00EF4EED">
        <w:t> ».</w:t>
      </w:r>
    </w:p>
    <w:p w:rsidR="00B477AA" w:rsidRDefault="00B477AA" w:rsidP="00EF4EED">
      <w:pPr>
        <w:pStyle w:val="citation"/>
      </w:pPr>
    </w:p>
    <w:p w:rsidR="00EF4EED" w:rsidRDefault="00B477AA" w:rsidP="00EF4EED">
      <w:pPr>
        <w:pStyle w:val="citation"/>
      </w:pPr>
      <w:r>
        <w:t>[85]</w:t>
      </w:r>
      <w:r>
        <w:tab/>
      </w:r>
      <w:r w:rsidR="00EF4EED">
        <w:t>Il s’agit aussi d’une thérapie de support</w:t>
      </w:r>
      <w:r w:rsidR="00402A4E" w:rsidRPr="00402A4E">
        <w:rPr>
          <w:vertAlign w:val="superscript"/>
        </w:rPr>
        <w:t>21</w:t>
      </w:r>
      <w:r w:rsidR="00EF4EED">
        <w:t xml:space="preserve"> visant à préserver les derniers acquis physiques et sociaux de la </w:t>
      </w:r>
      <w:r w:rsidR="00EF4EED" w:rsidRPr="00C07EFF">
        <w:t>travailleuse</w:t>
      </w:r>
      <w:r w:rsidR="00EF4EED">
        <w:t xml:space="preserve">, sans lesquels la </w:t>
      </w:r>
      <w:r w:rsidR="00EF4EED" w:rsidRPr="00C07EFF">
        <w:t>travailleuse</w:t>
      </w:r>
      <w:r w:rsidR="00EF4EED">
        <w:t xml:space="preserve"> se verra confinée à l’isolement</w:t>
      </w:r>
      <w:r w:rsidR="00402A4E" w:rsidRPr="00402A4E">
        <w:rPr>
          <w:vertAlign w:val="superscript"/>
        </w:rPr>
        <w:t>22</w:t>
      </w:r>
      <w:r w:rsidR="00EF4EED">
        <w:t>, en dehors des rares activités de sa communauté qu’elle partage encore.</w:t>
      </w:r>
    </w:p>
    <w:p w:rsidR="00B477AA" w:rsidRDefault="00B477AA" w:rsidP="00EF4EED">
      <w:pPr>
        <w:pStyle w:val="citation"/>
      </w:pPr>
    </w:p>
    <w:p w:rsidR="00EF4EED" w:rsidRDefault="00B477AA" w:rsidP="00EF4EED">
      <w:pPr>
        <w:pStyle w:val="citation"/>
      </w:pPr>
      <w:r>
        <w:t>[86]</w:t>
      </w:r>
      <w:r>
        <w:tab/>
      </w:r>
      <w:r w:rsidR="00EF4EED">
        <w:t xml:space="preserve">Cette mesure, en lui épargnant quelques souffrances, contribue enfin à la préservation chez la </w:t>
      </w:r>
      <w:r w:rsidR="00EF4EED" w:rsidRPr="00C07EFF">
        <w:t>travailleuse</w:t>
      </w:r>
      <w:r w:rsidR="00EF4EED">
        <w:t xml:space="preserve"> d’un certain équilibre psychique susceptible de diminuer les risques de récidive dépressive ou même de régression, comme l’ont constaté tant le psychiatre que la psychologue assurant un suivi auprès de la réclamante.  Il n’est dès lors pas étonnant que tous deux aient chaudement recommandé la poursuite des </w:t>
      </w:r>
      <w:r w:rsidR="00EF4EED" w:rsidRPr="00C07EFF">
        <w:t>traitements</w:t>
      </w:r>
      <w:r w:rsidR="00EF4EED">
        <w:t xml:space="preserve"> dispensés par monsieur Eid.</w:t>
      </w:r>
    </w:p>
    <w:p w:rsidR="00B477AA" w:rsidRDefault="00B477AA" w:rsidP="00EF4EED">
      <w:pPr>
        <w:pStyle w:val="citation"/>
      </w:pPr>
    </w:p>
    <w:p w:rsidR="00EF4EED" w:rsidRDefault="00B477AA" w:rsidP="00EF4EED">
      <w:pPr>
        <w:pStyle w:val="citation"/>
      </w:pPr>
      <w:r>
        <w:t>[87]</w:t>
      </w:r>
      <w:r>
        <w:tab/>
      </w:r>
      <w:r w:rsidR="00EF4EED">
        <w:t xml:space="preserve">En somme, la situation de la </w:t>
      </w:r>
      <w:r w:rsidR="00EF4EED" w:rsidRPr="00C07EFF">
        <w:t>travailleuse</w:t>
      </w:r>
      <w:r w:rsidR="00EF4EED">
        <w:t xml:space="preserve">, maintenant âgée de 68 ans, désoeuvrée et sans ressources, est franchement pathétique.  Par leurs conséquences directes et leurs complications multiples, la </w:t>
      </w:r>
      <w:r w:rsidR="00EF4EED" w:rsidRPr="00C07EFF">
        <w:t>lésion professionnelle</w:t>
      </w:r>
      <w:r w:rsidR="00EF4EED">
        <w:t xml:space="preserve"> qu’elle a subie il y a près de quarante ans ainsi que ses nombreuses récidives ont eu un impact exceptionnellement désastreux sur sa vie entière.</w:t>
      </w:r>
    </w:p>
    <w:p w:rsidR="00B477AA" w:rsidRDefault="00B477AA" w:rsidP="00EF4EED">
      <w:pPr>
        <w:pStyle w:val="citation"/>
      </w:pPr>
    </w:p>
    <w:p w:rsidR="00EF4EED" w:rsidRDefault="00B477AA" w:rsidP="00EF4EED">
      <w:pPr>
        <w:pStyle w:val="citation"/>
      </w:pPr>
      <w:r>
        <w:t>[88]</w:t>
      </w:r>
      <w:r>
        <w:tab/>
      </w:r>
      <w:r w:rsidR="00EF4EED">
        <w:t>Il convient d’adopter ici une interprétation généreuse des dispositions de la Loi pour trouver, à même la panoplie des mesures de réparation qui s’y trouvent, celle qui correspond adéquatement au mérite réel du cas, comme les articles 1 et 351 autorisent le tribunal à le faire dans des circonstances inhabituelles :</w:t>
      </w:r>
    </w:p>
    <w:p w:rsidR="00B477AA" w:rsidRDefault="00B477AA" w:rsidP="00EF4EED">
      <w:pPr>
        <w:pStyle w:val="citation"/>
      </w:pPr>
    </w:p>
    <w:p w:rsidR="00EF4EED" w:rsidRPr="008A0D1A" w:rsidRDefault="00EF4EED" w:rsidP="008A0D1A">
      <w:pPr>
        <w:pStyle w:val="articlesdelaLATMPnouveaux"/>
        <w:ind w:left="1418" w:right="1280"/>
        <w:rPr>
          <w:sz w:val="18"/>
          <w:szCs w:val="18"/>
        </w:rPr>
      </w:pPr>
      <w:r w:rsidRPr="008A0D1A">
        <w:rPr>
          <w:b/>
          <w:sz w:val="18"/>
          <w:szCs w:val="18"/>
        </w:rPr>
        <w:t xml:space="preserve">1. </w:t>
      </w:r>
      <w:r w:rsidRPr="008A0D1A">
        <w:rPr>
          <w:sz w:val="18"/>
          <w:szCs w:val="18"/>
        </w:rPr>
        <w:t>La présente loi a pour objet la réparation des lésions professionnelles et des conséquences qu'elles entraînent pour les bénéficiaires.</w:t>
      </w:r>
    </w:p>
    <w:p w:rsidR="00EF4EED" w:rsidRPr="008A0D1A" w:rsidRDefault="00EF4EED" w:rsidP="00EF4EED">
      <w:pPr>
        <w:pStyle w:val="citation"/>
        <w:rPr>
          <w:sz w:val="18"/>
          <w:szCs w:val="18"/>
        </w:rPr>
      </w:pPr>
    </w:p>
    <w:p w:rsidR="00EF4EED" w:rsidRPr="008A0D1A" w:rsidRDefault="00EF4EED" w:rsidP="008A0D1A">
      <w:pPr>
        <w:pStyle w:val="articlesdelaLATMPnouveaux"/>
        <w:ind w:left="1418" w:right="1280"/>
        <w:rPr>
          <w:sz w:val="18"/>
          <w:szCs w:val="18"/>
        </w:rPr>
      </w:pPr>
      <w:r w:rsidRPr="008A0D1A">
        <w:rPr>
          <w:sz w:val="18"/>
          <w:szCs w:val="18"/>
        </w:rPr>
        <w:t>Le processus de réparation des lésions professionnelles comprend la fourniture des soins nécessaires à la consolidation d'une lésion, la réadaptation physique, sociale et professionnelle du travailleur victime d'une lésion, le paiement d'indemnités de remplacement du revenu, d'indemnités pour préjudice corporel et, le cas échéant, d'indemnités de décès.</w:t>
      </w:r>
    </w:p>
    <w:p w:rsidR="00EF4EED" w:rsidRPr="008A0D1A" w:rsidRDefault="00EF4EED" w:rsidP="00EF4EED">
      <w:pPr>
        <w:pStyle w:val="citation"/>
        <w:rPr>
          <w:sz w:val="18"/>
          <w:szCs w:val="18"/>
        </w:rPr>
      </w:pPr>
    </w:p>
    <w:p w:rsidR="00EF4EED" w:rsidRPr="008A0D1A" w:rsidRDefault="00EF4EED" w:rsidP="008A0D1A">
      <w:pPr>
        <w:pStyle w:val="articlesdelaLATMPnouveaux"/>
        <w:ind w:left="1418" w:right="1280"/>
        <w:rPr>
          <w:sz w:val="18"/>
          <w:szCs w:val="18"/>
        </w:rPr>
      </w:pPr>
      <w:r w:rsidRPr="008A0D1A">
        <w:rPr>
          <w:sz w:val="18"/>
          <w:szCs w:val="18"/>
        </w:rPr>
        <w:t>La présente loi confère en outre, dans les limites prévues au chapitre VII, le droit au retour au travail du travailleur victime d'une lésion professionnelle.</w:t>
      </w:r>
    </w:p>
    <w:p w:rsidR="00EF4EED" w:rsidRPr="008A0D1A" w:rsidRDefault="00EF4EED" w:rsidP="008A0D1A">
      <w:pPr>
        <w:pStyle w:val="articlesdelaLATMPnouveaux"/>
        <w:ind w:left="1418" w:right="1280"/>
        <w:rPr>
          <w:sz w:val="18"/>
          <w:szCs w:val="18"/>
        </w:rPr>
      </w:pPr>
      <w:r w:rsidRPr="008A0D1A">
        <w:rPr>
          <w:sz w:val="18"/>
          <w:szCs w:val="18"/>
        </w:rPr>
        <w:t>__________</w:t>
      </w:r>
    </w:p>
    <w:p w:rsidR="00EF4EED" w:rsidRPr="008A0D1A" w:rsidRDefault="00EF4EED" w:rsidP="008A0D1A">
      <w:pPr>
        <w:pStyle w:val="articlesdelaLATMPnouveaux"/>
        <w:ind w:left="1418" w:right="1280"/>
        <w:rPr>
          <w:sz w:val="18"/>
          <w:szCs w:val="18"/>
        </w:rPr>
      </w:pPr>
      <w:r w:rsidRPr="008A0D1A">
        <w:rPr>
          <w:sz w:val="18"/>
          <w:szCs w:val="18"/>
        </w:rPr>
        <w:t xml:space="preserve">1985, c. </w:t>
      </w:r>
      <w:smartTag w:uri="urn:schemas-microsoft-com:office:smarttags" w:element="metricconverter">
        <w:smartTagPr>
          <w:attr w:name="ProductID" w:val="6, a"/>
        </w:smartTagPr>
        <w:r w:rsidRPr="008A0D1A">
          <w:rPr>
            <w:sz w:val="18"/>
            <w:szCs w:val="18"/>
          </w:rPr>
          <w:t>6, a</w:t>
        </w:r>
      </w:smartTag>
      <w:r w:rsidRPr="008A0D1A">
        <w:rPr>
          <w:sz w:val="18"/>
          <w:szCs w:val="18"/>
        </w:rPr>
        <w:t xml:space="preserve">. 1; 1999, c. </w:t>
      </w:r>
      <w:smartTag w:uri="urn:schemas-microsoft-com:office:smarttags" w:element="metricconverter">
        <w:smartTagPr>
          <w:attr w:name="ProductID" w:val="40, a"/>
        </w:smartTagPr>
        <w:r w:rsidRPr="008A0D1A">
          <w:rPr>
            <w:sz w:val="18"/>
            <w:szCs w:val="18"/>
          </w:rPr>
          <w:t>40, a</w:t>
        </w:r>
      </w:smartTag>
      <w:r w:rsidRPr="008A0D1A">
        <w:rPr>
          <w:sz w:val="18"/>
          <w:szCs w:val="18"/>
        </w:rPr>
        <w:t>. 4.</w:t>
      </w:r>
    </w:p>
    <w:p w:rsidR="00EF4EED" w:rsidRPr="008A0D1A" w:rsidRDefault="00EF4EED" w:rsidP="00EF4EED">
      <w:pPr>
        <w:pStyle w:val="citation"/>
        <w:rPr>
          <w:sz w:val="18"/>
          <w:szCs w:val="18"/>
        </w:rPr>
      </w:pPr>
    </w:p>
    <w:p w:rsidR="00EF4EED" w:rsidRPr="008A0D1A" w:rsidRDefault="00EF4EED" w:rsidP="00EF4EED">
      <w:pPr>
        <w:pStyle w:val="citation"/>
        <w:rPr>
          <w:sz w:val="18"/>
          <w:szCs w:val="18"/>
        </w:rPr>
      </w:pPr>
    </w:p>
    <w:p w:rsidR="00EF4EED" w:rsidRPr="008A0D1A" w:rsidRDefault="00EF4EED" w:rsidP="008A0D1A">
      <w:pPr>
        <w:pStyle w:val="articlesdelaLATMPnouveaux"/>
        <w:ind w:left="1418" w:right="1280"/>
        <w:rPr>
          <w:sz w:val="18"/>
          <w:szCs w:val="18"/>
        </w:rPr>
      </w:pPr>
      <w:r w:rsidRPr="008A0D1A">
        <w:rPr>
          <w:b/>
          <w:sz w:val="18"/>
          <w:szCs w:val="18"/>
        </w:rPr>
        <w:t xml:space="preserve">351. </w:t>
      </w:r>
      <w:r w:rsidRPr="008A0D1A">
        <w:rPr>
          <w:sz w:val="18"/>
          <w:szCs w:val="18"/>
        </w:rPr>
        <w:t>La Commission rend ses décisions suivant l'équité, d'après le mérite réel et la justice du cas.</w:t>
      </w:r>
    </w:p>
    <w:p w:rsidR="00EF4EED" w:rsidRPr="008A0D1A" w:rsidRDefault="00EF4EED" w:rsidP="00EF4EED">
      <w:pPr>
        <w:pStyle w:val="citation"/>
        <w:rPr>
          <w:sz w:val="18"/>
          <w:szCs w:val="18"/>
        </w:rPr>
      </w:pPr>
    </w:p>
    <w:p w:rsidR="00EF4EED" w:rsidRPr="008A0D1A" w:rsidRDefault="00EF4EED" w:rsidP="008A0D1A">
      <w:pPr>
        <w:pStyle w:val="articlesdelaLATMPnouveaux"/>
        <w:ind w:left="1418" w:right="1280"/>
        <w:rPr>
          <w:sz w:val="18"/>
          <w:szCs w:val="18"/>
        </w:rPr>
      </w:pPr>
      <w:r w:rsidRPr="008A0D1A">
        <w:rPr>
          <w:sz w:val="18"/>
          <w:szCs w:val="18"/>
        </w:rPr>
        <w:t>Elle peut, par tous les moyens légaux qu'elle juge les meilleurs, s'enquérir des matières qui lui sont attribuées.</w:t>
      </w:r>
    </w:p>
    <w:p w:rsidR="00EF4EED" w:rsidRPr="008A0D1A" w:rsidRDefault="00EF4EED" w:rsidP="008A0D1A">
      <w:pPr>
        <w:pStyle w:val="articlesdelaLATMPnouveaux"/>
        <w:ind w:left="1418" w:right="1280"/>
        <w:rPr>
          <w:sz w:val="18"/>
          <w:szCs w:val="18"/>
        </w:rPr>
      </w:pPr>
      <w:r w:rsidRPr="008A0D1A">
        <w:rPr>
          <w:sz w:val="18"/>
          <w:szCs w:val="18"/>
        </w:rPr>
        <w:t>__________</w:t>
      </w:r>
    </w:p>
    <w:p w:rsidR="00EF4EED" w:rsidRPr="008A0D1A" w:rsidRDefault="00EF4EED" w:rsidP="008A0D1A">
      <w:pPr>
        <w:pStyle w:val="articlesdelaLATMPnouveaux"/>
        <w:ind w:left="1418" w:right="1280"/>
        <w:rPr>
          <w:sz w:val="18"/>
          <w:szCs w:val="18"/>
        </w:rPr>
      </w:pPr>
      <w:r w:rsidRPr="008A0D1A">
        <w:rPr>
          <w:sz w:val="18"/>
          <w:szCs w:val="18"/>
        </w:rPr>
        <w:t xml:space="preserve">1985, c. </w:t>
      </w:r>
      <w:smartTag w:uri="urn:schemas-microsoft-com:office:smarttags" w:element="metricconverter">
        <w:smartTagPr>
          <w:attr w:name="ProductID" w:val="6, a"/>
        </w:smartTagPr>
        <w:r w:rsidRPr="008A0D1A">
          <w:rPr>
            <w:sz w:val="18"/>
            <w:szCs w:val="18"/>
          </w:rPr>
          <w:t>6, a</w:t>
        </w:r>
      </w:smartTag>
      <w:r w:rsidRPr="008A0D1A">
        <w:rPr>
          <w:sz w:val="18"/>
          <w:szCs w:val="18"/>
        </w:rPr>
        <w:t xml:space="preserve">. 351; 1997, c. </w:t>
      </w:r>
      <w:smartTag w:uri="urn:schemas-microsoft-com:office:smarttags" w:element="metricconverter">
        <w:smartTagPr>
          <w:attr w:name="ProductID" w:val="27, a"/>
        </w:smartTagPr>
        <w:r w:rsidRPr="008A0D1A">
          <w:rPr>
            <w:sz w:val="18"/>
            <w:szCs w:val="18"/>
          </w:rPr>
          <w:t>27, a</w:t>
        </w:r>
      </w:smartTag>
      <w:r w:rsidRPr="008A0D1A">
        <w:rPr>
          <w:sz w:val="18"/>
          <w:szCs w:val="18"/>
        </w:rPr>
        <w:t>. 13.</w:t>
      </w:r>
    </w:p>
    <w:p w:rsidR="00EF4EED" w:rsidRPr="008A0D1A" w:rsidRDefault="00EF4EED" w:rsidP="00EF4EED">
      <w:pPr>
        <w:pStyle w:val="citation"/>
        <w:rPr>
          <w:sz w:val="18"/>
          <w:szCs w:val="18"/>
        </w:rPr>
      </w:pPr>
    </w:p>
    <w:p w:rsidR="006D51F3" w:rsidRPr="00402A4E" w:rsidRDefault="00E124DA" w:rsidP="00EF4EED">
      <w:pPr>
        <w:pStyle w:val="citation"/>
        <w:rPr>
          <w:sz w:val="24"/>
          <w:szCs w:val="24"/>
        </w:rPr>
      </w:pPr>
      <w:r>
        <w:rPr>
          <w:sz w:val="24"/>
          <w:szCs w:val="24"/>
        </w:rPr>
        <w:t>[N</w:t>
      </w:r>
      <w:r w:rsidR="00402A4E" w:rsidRPr="00402A4E">
        <w:rPr>
          <w:sz w:val="24"/>
          <w:szCs w:val="24"/>
        </w:rPr>
        <w:t>otes omises]</w:t>
      </w:r>
    </w:p>
    <w:p w:rsidR="00402A4E" w:rsidRDefault="00402A4E" w:rsidP="00EF4EED">
      <w:pPr>
        <w:pStyle w:val="citation"/>
        <w:rPr>
          <w:sz w:val="18"/>
          <w:szCs w:val="18"/>
        </w:rPr>
      </w:pPr>
    </w:p>
    <w:p w:rsidR="00402A4E" w:rsidRPr="008A0D1A" w:rsidRDefault="00402A4E" w:rsidP="00EF4EED">
      <w:pPr>
        <w:pStyle w:val="citation"/>
        <w:rPr>
          <w:sz w:val="18"/>
          <w:szCs w:val="18"/>
        </w:rPr>
      </w:pPr>
    </w:p>
    <w:p w:rsidR="006D51F3" w:rsidRDefault="006D51F3" w:rsidP="006D51F3">
      <w:pPr>
        <w:pStyle w:val="corpsdedcision"/>
      </w:pPr>
      <w:r w:rsidRPr="00A72CA4">
        <w:t>Dans le</w:t>
      </w:r>
      <w:r>
        <w:t xml:space="preserve"> présent dossier, la Commission des lésions professionnelles en vient à la conclusion que les </w:t>
      </w:r>
      <w:r w:rsidR="002D1A57">
        <w:t>stimulateu</w:t>
      </w:r>
      <w:r>
        <w:t>rs de bruit</w:t>
      </w:r>
      <w:r w:rsidR="00A75CC1">
        <w:t>s</w:t>
      </w:r>
      <w:r>
        <w:t xml:space="preserve"> acoustique</w:t>
      </w:r>
      <w:r w:rsidR="00A75CC1">
        <w:t>s</w:t>
      </w:r>
      <w:r>
        <w:t xml:space="preserve"> peuvent effectivement atténuer ou faire disparaître en partie les conséquences de la lésion professionnelle.</w:t>
      </w:r>
    </w:p>
    <w:p w:rsidR="006D51F3" w:rsidRDefault="006D51F3" w:rsidP="006D51F3">
      <w:pPr>
        <w:pStyle w:val="corpsdedcision"/>
      </w:pPr>
      <w:r>
        <w:t>La travailleuse a donc droit au remboursement tant des coûts d’acquisition que des frais associés à ce type de traitement.</w:t>
      </w:r>
    </w:p>
    <w:p w:rsidR="006D51F3" w:rsidRDefault="006D51F3" w:rsidP="006D51F3">
      <w:pPr>
        <w:pStyle w:val="corpsdedcision"/>
      </w:pPr>
      <w:r>
        <w:t>La CSST reproche à la travailleuse d’avoir entrepris des démarches auprès de la Clinique de l’acouphène de Montréal</w:t>
      </w:r>
      <w:r w:rsidR="002D1A57">
        <w:t xml:space="preserve"> </w:t>
      </w:r>
      <w:r w:rsidR="00A75CC1">
        <w:t>pour un</w:t>
      </w:r>
      <w:r w:rsidR="007A2A7A">
        <w:t xml:space="preserve"> programme de traitements</w:t>
      </w:r>
      <w:r w:rsidR="00A75CC1">
        <w:t xml:space="preserve"> par stimulateur</w:t>
      </w:r>
      <w:r w:rsidR="002D1A57">
        <w:t>s</w:t>
      </w:r>
      <w:r w:rsidR="00A75CC1">
        <w:t xml:space="preserve"> de bruits acoustiques sans, au préalable, avoir reçu</w:t>
      </w:r>
      <w:r w:rsidR="007A2A7A">
        <w:t xml:space="preserve"> </w:t>
      </w:r>
      <w:r w:rsidR="00A75CC1">
        <w:t>une</w:t>
      </w:r>
      <w:r w:rsidR="007A2A7A">
        <w:t xml:space="preserve"> prescription médicale</w:t>
      </w:r>
      <w:r w:rsidR="00A75CC1">
        <w:t xml:space="preserve"> et fait approuver ce traitement</w:t>
      </w:r>
      <w:r w:rsidR="007A2A7A">
        <w:t>.</w:t>
      </w:r>
    </w:p>
    <w:p w:rsidR="007A2A7A" w:rsidRDefault="007A2A7A" w:rsidP="006D51F3">
      <w:pPr>
        <w:pStyle w:val="corpsdedcision"/>
      </w:pPr>
      <w:r>
        <w:t xml:space="preserve">Dans l’affaire </w:t>
      </w:r>
      <w:r w:rsidRPr="004B0AE5">
        <w:rPr>
          <w:i/>
        </w:rPr>
        <w:t>Larose</w:t>
      </w:r>
      <w:r>
        <w:t xml:space="preserve"> et </w:t>
      </w:r>
      <w:r w:rsidR="004B0AE5" w:rsidRPr="004B0AE5">
        <w:rPr>
          <w:i/>
        </w:rPr>
        <w:t>CSST</w:t>
      </w:r>
      <w:r w:rsidR="00E124DA">
        <w:rPr>
          <w:i/>
        </w:rPr>
        <w:t xml:space="preserve"> – Soutien à l’imputation</w:t>
      </w:r>
      <w:r w:rsidR="004B0AE5" w:rsidRPr="00E124DA">
        <w:rPr>
          <w:rStyle w:val="Appelnotedebasdep"/>
        </w:rPr>
        <w:footnoteReference w:id="5"/>
      </w:r>
      <w:r w:rsidR="004B0AE5">
        <w:t>, la Commission des lésions professionnelles se prononçait de la façon suivante face à l’empressement d’une travailleuse d</w:t>
      </w:r>
      <w:r w:rsidR="002D1A57">
        <w:t xml:space="preserve">e recevoir </w:t>
      </w:r>
      <w:r w:rsidR="004B0AE5">
        <w:t>les aides techniques avant d’obtenir une prescription de son médecin :</w:t>
      </w:r>
    </w:p>
    <w:p w:rsidR="00E124DA" w:rsidRDefault="00E124DA" w:rsidP="00E124DA">
      <w:pPr>
        <w:pStyle w:val="citation"/>
      </w:pPr>
      <w:r>
        <w:t>[36]</w:t>
      </w:r>
      <w:r>
        <w:tab/>
        <w:t xml:space="preserve">En pareilles circonstances, le tribunal considère que le droit du travailleur d’obtenir l’assistance médicale que requiert son état ne doit pas être anéanti par son empressement à acquérir l’appareil auditif dont il a besoin car cela serait inéquitable à son égard et serait contraire à l’objectif principal de la loi. </w:t>
      </w:r>
    </w:p>
    <w:p w:rsidR="00E124DA" w:rsidRDefault="00E124DA" w:rsidP="00E124DA">
      <w:pPr>
        <w:pStyle w:val="citation"/>
      </w:pPr>
    </w:p>
    <w:p w:rsidR="004B0AE5" w:rsidRDefault="00E124DA" w:rsidP="00E124DA">
      <w:pPr>
        <w:pStyle w:val="citation"/>
      </w:pPr>
      <w:r>
        <w:t>[37]</w:t>
      </w:r>
      <w:r>
        <w:tab/>
        <w:t>L’important c’est que son médecin approuve à la première occasion qui lui est donnée, le choix de l’appareil ainsi acquis et est en mesure de justifier son utilité en raison de l’atteinte observée chez le travailleur, à la suite d’une évaluation auditive objective, ce qui est le cas en l’espèce.  L’acouphène dont il est atteint et les problèmes de communication avec son entourage justifient selon le docteur Gaudreault, tout comme d’ailleurs pour l’audiologiste Ferrier, ce choix et le tribunal ne dispose d’aucun élément de preuve visant à établir que ce ne serait pas le cas.</w:t>
      </w:r>
    </w:p>
    <w:p w:rsidR="004B0AE5" w:rsidRDefault="004B0AE5" w:rsidP="004B0AE5">
      <w:pPr>
        <w:pStyle w:val="citation"/>
      </w:pPr>
    </w:p>
    <w:p w:rsidR="004B0AE5" w:rsidRDefault="004B0AE5" w:rsidP="004B0AE5">
      <w:pPr>
        <w:pStyle w:val="citation"/>
      </w:pPr>
    </w:p>
    <w:p w:rsidR="004B0AE5" w:rsidRDefault="00AC4FAF" w:rsidP="004B0AE5">
      <w:pPr>
        <w:pStyle w:val="corpsdedcision"/>
      </w:pPr>
      <w:r>
        <w:t>Dans le présent dossier, rappelons que le docteur Zeitouni a effectivement fait une prescription le 7 octobre 2013 pour l’acquisition d’appareils de stimulation</w:t>
      </w:r>
      <w:r w:rsidR="002D1A57">
        <w:t>s</w:t>
      </w:r>
      <w:r>
        <w:t xml:space="preserve"> </w:t>
      </w:r>
      <w:r w:rsidR="00A75CC1">
        <w:t xml:space="preserve">de bruits </w:t>
      </w:r>
      <w:r>
        <w:t>acoustique</w:t>
      </w:r>
      <w:r w:rsidR="00A75CC1">
        <w:t>s</w:t>
      </w:r>
      <w:r>
        <w:t xml:space="preserve"> et qu’il a reconnu par lettre avoir recommandé à la travailleuse </w:t>
      </w:r>
      <w:r w:rsidR="00A75CC1">
        <w:t>c</w:t>
      </w:r>
      <w:r>
        <w:t>e traitement auprès de la Clinique de l’acouphène de Montréal.</w:t>
      </w:r>
    </w:p>
    <w:p w:rsidR="00A75CC1" w:rsidRDefault="00AC4FAF" w:rsidP="00D5552D">
      <w:pPr>
        <w:pStyle w:val="corpsdedcision"/>
      </w:pPr>
      <w:r>
        <w:t>Le docteur Zeitouni ayant recommandé et prescrit le traitement par stimulateur</w:t>
      </w:r>
      <w:r w:rsidR="002D1A57">
        <w:t>s</w:t>
      </w:r>
      <w:r>
        <w:t xml:space="preserve"> de bruit</w:t>
      </w:r>
      <w:r w:rsidR="00A75CC1">
        <w:t>s</w:t>
      </w:r>
      <w:r>
        <w:t xml:space="preserve"> acoustique</w:t>
      </w:r>
      <w:r w:rsidR="00A75CC1">
        <w:t>s</w:t>
      </w:r>
      <w:r>
        <w:t xml:space="preserve">, la preuve </w:t>
      </w:r>
      <w:r w:rsidR="00A75CC1">
        <w:t xml:space="preserve">qu’il a approuvé le traitement tout comme celle de la  </w:t>
      </w:r>
      <w:r>
        <w:t xml:space="preserve"> relation médicale </w:t>
      </w:r>
      <w:r w:rsidR="00A75CC1">
        <w:t>se retrouvent au dossier</w:t>
      </w:r>
      <w:r>
        <w:t xml:space="preserve">. </w:t>
      </w:r>
    </w:p>
    <w:p w:rsidR="00D869E3" w:rsidRDefault="00AC4FAF" w:rsidP="00D5552D">
      <w:pPr>
        <w:pStyle w:val="corpsdedcision"/>
      </w:pPr>
      <w:r>
        <w:t xml:space="preserve">La Commission des lésions professionnelles est d’avis que la travailleuse n’avait pas à faire </w:t>
      </w:r>
      <w:r w:rsidR="00A75CC1">
        <w:t>approuver le traitement par</w:t>
      </w:r>
      <w:r>
        <w:t xml:space="preserve"> la CSST</w:t>
      </w:r>
      <w:r w:rsidR="00D869E3">
        <w:t xml:space="preserve"> afin d’en obtenir le remboursement</w:t>
      </w:r>
      <w:r w:rsidR="00A75CC1">
        <w:t>.</w:t>
      </w:r>
      <w:r w:rsidR="00D869E3">
        <w:t xml:space="preserve"> Il s’agit là d’une condition qui n’est pas prévue à la loi.</w:t>
      </w:r>
      <w:r w:rsidR="00A75CC1">
        <w:t xml:space="preserve"> </w:t>
      </w:r>
    </w:p>
    <w:p w:rsidR="00AC4FAF" w:rsidRDefault="00D869E3" w:rsidP="00D5552D">
      <w:pPr>
        <w:pStyle w:val="corpsdedcision"/>
      </w:pPr>
      <w:r>
        <w:t xml:space="preserve">La CSST </w:t>
      </w:r>
      <w:r w:rsidR="00AC4FAF">
        <w:t xml:space="preserve">pourra limiter le montant des remboursements effectués </w:t>
      </w:r>
      <w:r w:rsidR="004B3C37">
        <w:t>si une situation plus économique existait. À cet effet, l’article 181 de la loi édicte :</w:t>
      </w:r>
    </w:p>
    <w:p w:rsidR="004B3C37" w:rsidRDefault="004B3C37">
      <w:pPr>
        <w:pStyle w:val="articlesdelaLATMP"/>
      </w:pPr>
      <w:r w:rsidRPr="00873C39">
        <w:rPr>
          <w:b/>
        </w:rPr>
        <w:t>181.</w:t>
      </w:r>
      <w:r>
        <w:t xml:space="preserve">  Le coût de la réadaptation est assumé par la Commission.</w:t>
      </w:r>
    </w:p>
    <w:p w:rsidR="004B3C37" w:rsidRDefault="004B3C37">
      <w:pPr>
        <w:pStyle w:val="articlesdelaLATMP"/>
      </w:pPr>
    </w:p>
    <w:p w:rsidR="004B3C37" w:rsidRDefault="004B3C37">
      <w:pPr>
        <w:pStyle w:val="articlesdelaLATMP"/>
      </w:pPr>
      <w:r>
        <w:t xml:space="preserve">Dans la mise en </w:t>
      </w:r>
      <w:r w:rsidR="00E124DA">
        <w:t>œuvre</w:t>
      </w:r>
      <w:r>
        <w:t xml:space="preserve"> d'un plan individualisé de réadaptation, la Commission assume le coût de la solution appropriée la plus économique parmi celles qui permettent d'atteindre l'objectif recherché.</w:t>
      </w:r>
    </w:p>
    <w:p w:rsidR="004B3C37" w:rsidRDefault="004B3C37">
      <w:pPr>
        <w:pStyle w:val="articlesdelaLATMP"/>
      </w:pPr>
      <w:r>
        <w:t>__________</w:t>
      </w:r>
    </w:p>
    <w:p w:rsidR="004B3C37" w:rsidRDefault="004B3C37">
      <w:pPr>
        <w:pStyle w:val="articlesdelaLATMP"/>
      </w:pPr>
      <w:r>
        <w:t>1985, c. 6, a. 181.</w:t>
      </w:r>
    </w:p>
    <w:p w:rsidR="004B3C37" w:rsidRDefault="004B3C37">
      <w:pPr>
        <w:pStyle w:val="articlesdelaLATMP"/>
      </w:pPr>
    </w:p>
    <w:p w:rsidR="004B3C37" w:rsidRDefault="004B3C37">
      <w:pPr>
        <w:pStyle w:val="articlesdelaLATMP"/>
      </w:pPr>
    </w:p>
    <w:p w:rsidR="004B3C37" w:rsidRDefault="00C67563" w:rsidP="004B0AE5">
      <w:pPr>
        <w:pStyle w:val="corpsdedcision"/>
      </w:pPr>
      <w:r>
        <w:t>Finalement, la CSST mentionne que les stimulateurs de bruit</w:t>
      </w:r>
      <w:r w:rsidR="002D1A57">
        <w:t>s</w:t>
      </w:r>
      <w:r>
        <w:t xml:space="preserve"> acoustique</w:t>
      </w:r>
      <w:r w:rsidR="002D1A57">
        <w:t>s</w:t>
      </w:r>
      <w:r>
        <w:t xml:space="preserve"> font double emploi</w:t>
      </w:r>
      <w:r w:rsidR="00CA12AB">
        <w:t xml:space="preserve"> avec</w:t>
      </w:r>
      <w:r>
        <w:t xml:space="preserve"> les traitements</w:t>
      </w:r>
      <w:r w:rsidR="00CA12AB">
        <w:t xml:space="preserve"> offerts par l’Institut Raymond-Deward</w:t>
      </w:r>
      <w:r w:rsidR="00D869E3">
        <w:t>.</w:t>
      </w:r>
      <w:r w:rsidR="00CA12AB">
        <w:t xml:space="preserve"> </w:t>
      </w:r>
      <w:r w:rsidR="00D869E3">
        <w:t>O</w:t>
      </w:r>
      <w:r w:rsidR="00CA12AB">
        <w:t>r</w:t>
      </w:r>
      <w:r w:rsidR="00D869E3">
        <w:t>,</w:t>
      </w:r>
      <w:r w:rsidR="00CA12AB">
        <w:t xml:space="preserve"> il appert </w:t>
      </w:r>
      <w:r w:rsidR="00D869E3">
        <w:t xml:space="preserve">de la note produite à l’audience </w:t>
      </w:r>
      <w:r w:rsidR="00CA12AB">
        <w:t>que l’institut n’offre pas ce service et qu’il n’existe pas de double emploi.</w:t>
      </w:r>
    </w:p>
    <w:p w:rsidR="00CA12AB" w:rsidRDefault="00CA12AB" w:rsidP="004B0AE5">
      <w:pPr>
        <w:pStyle w:val="corpsdedcision"/>
      </w:pPr>
      <w:r>
        <w:t>La travailleuse a donc droit au remboursement demandé et ses requêtes doivent être accueillies.</w:t>
      </w:r>
    </w:p>
    <w:p w:rsidR="002D1A57" w:rsidRDefault="002D1A57" w:rsidP="002D1A57">
      <w:pPr>
        <w:pStyle w:val="corpsdedcision"/>
        <w:numPr>
          <w:ilvl w:val="0"/>
          <w:numId w:val="0"/>
        </w:numPr>
      </w:pPr>
    </w:p>
    <w:p w:rsidR="002D1A57" w:rsidRDefault="002D1A57" w:rsidP="002D1A57">
      <w:pPr>
        <w:pStyle w:val="corpsdedcision"/>
        <w:numPr>
          <w:ilvl w:val="0"/>
          <w:numId w:val="0"/>
        </w:numPr>
      </w:pPr>
    </w:p>
    <w:p w:rsidR="00C74B6F" w:rsidRDefault="00C74B6F">
      <w:pPr>
        <w:pStyle w:val="Dispositif"/>
      </w:pPr>
      <w:r>
        <w:rPr>
          <w:b/>
        </w:rPr>
        <w:t xml:space="preserve">PAR CES MOTIFS, </w:t>
      </w:r>
      <w:smartTag w:uri="urn:schemas-microsoft-com:office:smarttags" w:element="PersonName">
        <w:smartTagPr>
          <w:attr w:name="ProductID" w:val="LA COMMISSION DES"/>
        </w:smartTagPr>
        <w:r>
          <w:rPr>
            <w:b/>
          </w:rPr>
          <w:t>LA COMMISSION DES</w:t>
        </w:r>
      </w:smartTag>
      <w:r>
        <w:rPr>
          <w:b/>
        </w:rPr>
        <w:t xml:space="preserve"> LÉSIONS PROFESSIONNELLES :</w:t>
      </w:r>
    </w:p>
    <w:p w:rsidR="00524535" w:rsidRPr="00E124DA" w:rsidRDefault="00524535" w:rsidP="00524535">
      <w:pPr>
        <w:pStyle w:val="corpsdedcision"/>
        <w:numPr>
          <w:ilvl w:val="0"/>
          <w:numId w:val="0"/>
        </w:numPr>
        <w:rPr>
          <w:b/>
        </w:rPr>
      </w:pPr>
      <w:r w:rsidRPr="00E124DA">
        <w:rPr>
          <w:b/>
        </w:rPr>
        <w:t>Dossier 539697-71-1404</w:t>
      </w:r>
    </w:p>
    <w:p w:rsidR="00C74B6F" w:rsidRDefault="00CA12AB">
      <w:pPr>
        <w:pStyle w:val="Dispositif"/>
      </w:pPr>
      <w:r>
        <w:rPr>
          <w:b/>
        </w:rPr>
        <w:t>ACCUEILLE</w:t>
      </w:r>
      <w:r>
        <w:t xml:space="preserve"> la requête déposée par madame Josée Blondin, la travailleuse;</w:t>
      </w:r>
    </w:p>
    <w:p w:rsidR="00CA12AB" w:rsidRDefault="00CA12AB">
      <w:pPr>
        <w:pStyle w:val="Dispositif"/>
      </w:pPr>
      <w:r>
        <w:rPr>
          <w:b/>
        </w:rPr>
        <w:t>INFIRME</w:t>
      </w:r>
      <w:r>
        <w:t xml:space="preserve"> la décision rendue par la Commission de la santé et de la sécurité du travail le 26 mars 2014 à la suite d’une révision administrative;</w:t>
      </w:r>
    </w:p>
    <w:p w:rsidR="00CA12AB" w:rsidRDefault="00CA12AB">
      <w:pPr>
        <w:pStyle w:val="Dispositif"/>
      </w:pPr>
      <w:r>
        <w:rPr>
          <w:b/>
        </w:rPr>
        <w:t>DÉCLARE</w:t>
      </w:r>
      <w:r>
        <w:t xml:space="preserve"> que la travailleuse a droit au remboursement des frais engagés pour l’évaluation des besoins audiologiques, les frais de rédaction de rapports, l’évaluation audiométrique</w:t>
      </w:r>
      <w:r w:rsidR="00524535">
        <w:t xml:space="preserve"> et la programmation de signaux acoustiques et le suivi à la Clinique de l’acouphène de Montréal;</w:t>
      </w:r>
    </w:p>
    <w:p w:rsidR="00524535" w:rsidRPr="00E124DA" w:rsidRDefault="00524535" w:rsidP="00524535">
      <w:pPr>
        <w:pStyle w:val="Dispositif"/>
        <w:rPr>
          <w:b/>
        </w:rPr>
      </w:pPr>
      <w:r w:rsidRPr="00E124DA">
        <w:rPr>
          <w:b/>
        </w:rPr>
        <w:t>Dossier 558491-71-1411</w:t>
      </w:r>
    </w:p>
    <w:p w:rsidR="004809D7" w:rsidRDefault="004809D7" w:rsidP="004809D7">
      <w:pPr>
        <w:pStyle w:val="Dispositif"/>
      </w:pPr>
      <w:r>
        <w:rPr>
          <w:b/>
        </w:rPr>
        <w:t>ACCUEILLE</w:t>
      </w:r>
      <w:r>
        <w:t xml:space="preserve"> la requête déposée par madame Josée Blondin, la travailleuse;</w:t>
      </w:r>
    </w:p>
    <w:p w:rsidR="004809D7" w:rsidRDefault="004809D7" w:rsidP="004809D7">
      <w:pPr>
        <w:pStyle w:val="Dispositif"/>
      </w:pPr>
      <w:r>
        <w:rPr>
          <w:b/>
        </w:rPr>
        <w:t>INFIRME</w:t>
      </w:r>
      <w:r>
        <w:t xml:space="preserve"> la décision rendue par la Commission de la santé et de la sécurité du travail le 13 novembre 2014 à la suite d’une révision administrative;</w:t>
      </w:r>
    </w:p>
    <w:p w:rsidR="00524535" w:rsidRDefault="004809D7">
      <w:pPr>
        <w:pStyle w:val="Dispositif"/>
      </w:pPr>
      <w:r>
        <w:rPr>
          <w:b/>
        </w:rPr>
        <w:t>DÉCLARE</w:t>
      </w:r>
      <w:r>
        <w:t xml:space="preserve"> que la travailleuse a droit au remboursement d’un audiogramme et d’un ajustement de stimulation</w:t>
      </w:r>
      <w:r w:rsidR="002D1A57">
        <w:t>s</w:t>
      </w:r>
      <w:r>
        <w:t xml:space="preserve"> acoustique</w:t>
      </w:r>
      <w:r w:rsidR="002D1A57">
        <w:t>s</w:t>
      </w:r>
      <w:r>
        <w:t>.</w:t>
      </w:r>
    </w:p>
    <w:p w:rsidR="004809D7" w:rsidRDefault="004809D7">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tc>
          <w:tcPr>
            <w:tcW w:w="4795" w:type="dxa"/>
          </w:tcPr>
          <w:p w:rsidR="00C74B6F" w:rsidRDefault="00C74B6F"/>
        </w:tc>
        <w:tc>
          <w:tcPr>
            <w:tcW w:w="4795" w:type="dxa"/>
          </w:tcPr>
          <w:p w:rsidR="00C74B6F" w:rsidRDefault="00C74B6F">
            <w:bookmarkStart w:id="5" w:name="signature"/>
            <w:bookmarkEnd w:id="5"/>
            <w:r>
              <w:t>__________________________________</w:t>
            </w:r>
          </w:p>
        </w:tc>
      </w:tr>
      <w:tr w:rsidR="00C74B6F">
        <w:tc>
          <w:tcPr>
            <w:tcW w:w="4795" w:type="dxa"/>
          </w:tcPr>
          <w:p w:rsidR="00C74B6F" w:rsidRDefault="00C74B6F"/>
        </w:tc>
        <w:tc>
          <w:tcPr>
            <w:tcW w:w="4795" w:type="dxa"/>
          </w:tcPr>
          <w:p w:rsidR="00C74B6F" w:rsidRDefault="006972CE">
            <w:r>
              <w:t>Michel Larouche</w:t>
            </w:r>
          </w:p>
        </w:tc>
      </w:tr>
      <w:tr w:rsidR="00C74B6F">
        <w:trPr>
          <w:cantSplit/>
        </w:trPr>
        <w:tc>
          <w:tcPr>
            <w:tcW w:w="9590" w:type="dxa"/>
            <w:gridSpan w:val="2"/>
          </w:tcPr>
          <w:p w:rsidR="00C74B6F" w:rsidRDefault="00C74B6F"/>
        </w:tc>
      </w:tr>
      <w:tr w:rsidR="00C74B6F">
        <w:trPr>
          <w:cantSplit/>
        </w:trPr>
        <w:tc>
          <w:tcPr>
            <w:tcW w:w="9590" w:type="dxa"/>
            <w:gridSpan w:val="2"/>
          </w:tcPr>
          <w:p w:rsidR="00C74B6F" w:rsidRDefault="00C74B6F"/>
        </w:tc>
      </w:tr>
      <w:tr w:rsidR="00C74B6F">
        <w:trPr>
          <w:cantSplit/>
        </w:trPr>
        <w:tc>
          <w:tcPr>
            <w:tcW w:w="9590" w:type="dxa"/>
            <w:gridSpan w:val="2"/>
          </w:tcPr>
          <w:p w:rsidR="00C74B6F" w:rsidRDefault="00C74B6F"/>
        </w:tc>
      </w:tr>
      <w:tr w:rsidR="00C74B6F">
        <w:trPr>
          <w:cantSplit/>
        </w:trPr>
        <w:tc>
          <w:tcPr>
            <w:tcW w:w="9590" w:type="dxa"/>
            <w:gridSpan w:val="2"/>
          </w:tcPr>
          <w:p w:rsidR="00C74B6F" w:rsidRDefault="006972CE">
            <w:pPr>
              <w:pStyle w:val="zSoquijdatNomProcureurDem"/>
            </w:pPr>
            <w:r>
              <w:t>M</w:t>
            </w:r>
            <w:r w:rsidRPr="00E124DA">
              <w:rPr>
                <w:vertAlign w:val="superscript"/>
              </w:rPr>
              <w:t>e</w:t>
            </w:r>
            <w:r>
              <w:t xml:space="preserve"> Diane Turbide</w:t>
            </w:r>
          </w:p>
        </w:tc>
      </w:tr>
      <w:tr w:rsidR="00C74B6F">
        <w:trPr>
          <w:cantSplit/>
        </w:trPr>
        <w:tc>
          <w:tcPr>
            <w:tcW w:w="9590" w:type="dxa"/>
            <w:gridSpan w:val="2"/>
          </w:tcPr>
          <w:p w:rsidR="00C74B6F" w:rsidRDefault="006972CE">
            <w:pPr>
              <w:pStyle w:val="zSoquijdatCabinetProcureurDem"/>
            </w:pPr>
            <w:r>
              <w:t>TURBIDE LEFEBVRE ROY</w:t>
            </w:r>
          </w:p>
        </w:tc>
      </w:tr>
      <w:tr w:rsidR="00C74B6F">
        <w:trPr>
          <w:cantSplit/>
        </w:trPr>
        <w:tc>
          <w:tcPr>
            <w:tcW w:w="9590" w:type="dxa"/>
            <w:gridSpan w:val="2"/>
          </w:tcPr>
          <w:p w:rsidR="00C74B6F" w:rsidRDefault="00C74B6F">
            <w:pPr>
              <w:pStyle w:val="zSoquijlblProcureurDem"/>
            </w:pPr>
            <w:r>
              <w:t>Représentant</w:t>
            </w:r>
            <w:r w:rsidR="006972CE">
              <w:t>e</w:t>
            </w:r>
            <w:r>
              <w:t xml:space="preserve"> de la partie requérante</w:t>
            </w:r>
          </w:p>
        </w:tc>
      </w:tr>
    </w:tbl>
    <w:p w:rsidR="00C74B6F" w:rsidRDefault="00C74B6F"/>
    <w:sectPr w:rsidR="00C74B6F">
      <w:headerReference w:type="even" r:id="rId9"/>
      <w:headerReference w:type="default" r:id="rId10"/>
      <w:footerReference w:type="even" r:id="rId11"/>
      <w:footerReference w:type="default" r:id="rId12"/>
      <w:headerReference w:type="first" r:id="rId13"/>
      <w:footerReference w:type="first" r:id="rId14"/>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3A3A" w:rsidRDefault="00303A3A">
      <w:r>
        <w:separator/>
      </w:r>
    </w:p>
  </w:endnote>
  <w:endnote w:type="continuationSeparator" w:id="0">
    <w:p w:rsidR="00303A3A" w:rsidRDefault="00303A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2944" w:rsidRDefault="00B02944">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2944" w:rsidRDefault="00B02944">
    <w:pPr>
      <w:pStyle w:val="Pieddepag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2944" w:rsidRDefault="00B0294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3A3A" w:rsidRDefault="00303A3A">
      <w:r>
        <w:separator/>
      </w:r>
    </w:p>
  </w:footnote>
  <w:footnote w:type="continuationSeparator" w:id="0">
    <w:p w:rsidR="00303A3A" w:rsidRDefault="00303A3A">
      <w:r>
        <w:continuationSeparator/>
      </w:r>
    </w:p>
  </w:footnote>
  <w:footnote w:id="1">
    <w:p w:rsidR="00194859" w:rsidRPr="00194859" w:rsidRDefault="00194859" w:rsidP="0019485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A-3.001.</w:t>
      </w:r>
    </w:p>
  </w:footnote>
  <w:footnote w:id="2">
    <w:p w:rsidR="00120B8C" w:rsidRPr="00120B8C" w:rsidRDefault="00120B8C" w:rsidP="00120B8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120B8C">
        <w:rPr>
          <w:rFonts w:cs="Arial"/>
          <w:i/>
          <w:sz w:val="20"/>
        </w:rPr>
        <w:t>Blondin</w:t>
      </w:r>
      <w:r>
        <w:rPr>
          <w:rFonts w:cs="Arial"/>
          <w:sz w:val="20"/>
        </w:rPr>
        <w:t xml:space="preserve"> et </w:t>
      </w:r>
      <w:r w:rsidRPr="00120B8C">
        <w:rPr>
          <w:rFonts w:cs="Arial"/>
          <w:i/>
          <w:sz w:val="20"/>
        </w:rPr>
        <w:t>Commission scolaire de Montréal</w:t>
      </w:r>
      <w:r>
        <w:rPr>
          <w:rFonts w:cs="Arial"/>
          <w:sz w:val="20"/>
        </w:rPr>
        <w:t xml:space="preserve">, </w:t>
      </w:r>
      <w:r w:rsidRPr="00120B8C">
        <w:rPr>
          <w:rFonts w:cs="Arial"/>
          <w:sz w:val="20"/>
        </w:rPr>
        <w:t xml:space="preserve">C.L.P. </w:t>
      </w:r>
      <w:r w:rsidRPr="00120B8C">
        <w:rPr>
          <w:sz w:val="20"/>
        </w:rPr>
        <w:t>512185-71-1305</w:t>
      </w:r>
      <w:r>
        <w:t xml:space="preserve">, </w:t>
      </w:r>
      <w:r w:rsidRPr="00120B8C">
        <w:rPr>
          <w:sz w:val="20"/>
        </w:rPr>
        <w:t>27 juillet 2014, S. Lévesque.</w:t>
      </w:r>
    </w:p>
  </w:footnote>
  <w:footnote w:id="3">
    <w:p w:rsidR="00A75CC1" w:rsidRPr="007A0F6B" w:rsidRDefault="00A75CC1" w:rsidP="00A75CC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A-3.001, r. 1.</w:t>
      </w:r>
    </w:p>
  </w:footnote>
  <w:footnote w:id="4">
    <w:p w:rsidR="007A0F6B" w:rsidRPr="007A0F6B" w:rsidRDefault="007A0F6B" w:rsidP="007A0F6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941CD5">
        <w:rPr>
          <w:rFonts w:cs="Arial"/>
          <w:sz w:val="20"/>
        </w:rPr>
        <w:t xml:space="preserve">C.L.P. </w:t>
      </w:r>
      <w:r>
        <w:rPr>
          <w:rFonts w:cs="Arial"/>
          <w:sz w:val="20"/>
        </w:rPr>
        <w:t>262039-</w:t>
      </w:r>
      <w:r w:rsidR="00941CD5">
        <w:rPr>
          <w:rFonts w:cs="Arial"/>
          <w:sz w:val="20"/>
        </w:rPr>
        <w:t>64-0505, 13 mars 2007, J.-F. Martel.</w:t>
      </w:r>
    </w:p>
  </w:footnote>
  <w:footnote w:id="5">
    <w:p w:rsidR="004B0AE5" w:rsidRPr="004B0AE5" w:rsidRDefault="004B0AE5" w:rsidP="004B0AE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E124DA">
        <w:rPr>
          <w:rFonts w:cs="Arial"/>
          <w:sz w:val="20"/>
        </w:rPr>
        <w:t xml:space="preserve">C.L.P. </w:t>
      </w:r>
      <w:r>
        <w:rPr>
          <w:rFonts w:cs="Arial"/>
          <w:sz w:val="20"/>
        </w:rPr>
        <w:t>252917</w:t>
      </w:r>
      <w:r w:rsidR="00E124DA">
        <w:rPr>
          <w:rFonts w:cs="Arial"/>
          <w:sz w:val="20"/>
        </w:rPr>
        <w:t>-64-0501, 3 novembre 2005, T. Demers.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2944" w:rsidRDefault="00B02944">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A435C7" w:rsidTr="006B1609">
      <w:tc>
        <w:tcPr>
          <w:tcW w:w="8730" w:type="dxa"/>
        </w:tcPr>
        <w:p w:rsidR="00A435C7" w:rsidRDefault="00A435C7">
          <w:pPr>
            <w:pStyle w:val="En-tte"/>
            <w:ind w:left="-90"/>
          </w:pPr>
        </w:p>
      </w:tc>
      <w:tc>
        <w:tcPr>
          <w:tcW w:w="860" w:type="dxa"/>
        </w:tcPr>
        <w:p w:rsidR="00A435C7" w:rsidRDefault="00A435C7">
          <w:pPr>
            <w:pStyle w:val="En-tte"/>
            <w:ind w:left="-90"/>
          </w:pPr>
        </w:p>
      </w:tc>
    </w:tr>
    <w:tr w:rsidR="006B1609" w:rsidTr="006B1609">
      <w:tc>
        <w:tcPr>
          <w:tcW w:w="8730" w:type="dxa"/>
        </w:tcPr>
        <w:p w:rsidR="006B1609" w:rsidRDefault="006B1609" w:rsidP="006B1609">
          <w:pPr>
            <w:pStyle w:val="zSoquijdatNoDossier"/>
          </w:pPr>
          <w:r>
            <w:t>539697-71-1404</w:t>
          </w:r>
          <w:r>
            <w:tab/>
            <w:t>558491-71-1411</w:t>
          </w:r>
        </w:p>
      </w:tc>
      <w:tc>
        <w:tcPr>
          <w:tcW w:w="860" w:type="dxa"/>
        </w:tcPr>
        <w:p w:rsidR="006B1609" w:rsidRDefault="006B1609" w:rsidP="006B1609">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723557">
            <w:rPr>
              <w:rStyle w:val="Numrodepage"/>
              <w:noProof/>
            </w:rPr>
            <w:t>5</w:t>
          </w:r>
          <w:r>
            <w:rPr>
              <w:rStyle w:val="Numrodepage"/>
            </w:rPr>
            <w:fldChar w:fldCharType="end"/>
          </w:r>
        </w:p>
      </w:tc>
    </w:tr>
    <w:tr w:rsidR="006B1609" w:rsidTr="006B1609">
      <w:tc>
        <w:tcPr>
          <w:tcW w:w="8730" w:type="dxa"/>
        </w:tcPr>
        <w:p w:rsidR="006B1609" w:rsidRDefault="006B1609" w:rsidP="006B1609"/>
      </w:tc>
      <w:tc>
        <w:tcPr>
          <w:tcW w:w="860" w:type="dxa"/>
        </w:tcPr>
        <w:p w:rsidR="006B1609" w:rsidRDefault="006B1609" w:rsidP="006B1609">
          <w:pPr>
            <w:pStyle w:val="En-tte"/>
            <w:ind w:left="-90"/>
            <w:jc w:val="right"/>
          </w:pPr>
        </w:p>
      </w:tc>
    </w:tr>
  </w:tbl>
  <w:p w:rsidR="00A435C7" w:rsidRDefault="00A435C7">
    <w:pPr>
      <w:pStyle w:val="En-tt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2944" w:rsidRDefault="00B02944">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03A3A"/>
    <w:rsid w:val="000041A1"/>
    <w:rsid w:val="000115A1"/>
    <w:rsid w:val="00021E4C"/>
    <w:rsid w:val="00032D75"/>
    <w:rsid w:val="000366EC"/>
    <w:rsid w:val="0007225E"/>
    <w:rsid w:val="000833CB"/>
    <w:rsid w:val="0008378A"/>
    <w:rsid w:val="00090018"/>
    <w:rsid w:val="000A77C5"/>
    <w:rsid w:val="000B7F1B"/>
    <w:rsid w:val="000E35E1"/>
    <w:rsid w:val="001050B4"/>
    <w:rsid w:val="00120B8C"/>
    <w:rsid w:val="0012326A"/>
    <w:rsid w:val="00147B8B"/>
    <w:rsid w:val="0015125A"/>
    <w:rsid w:val="0015539F"/>
    <w:rsid w:val="001664C8"/>
    <w:rsid w:val="00194859"/>
    <w:rsid w:val="001A067E"/>
    <w:rsid w:val="001A2900"/>
    <w:rsid w:val="001A4081"/>
    <w:rsid w:val="001C2B0B"/>
    <w:rsid w:val="001D5736"/>
    <w:rsid w:val="00231C1D"/>
    <w:rsid w:val="00240976"/>
    <w:rsid w:val="00241CED"/>
    <w:rsid w:val="0025074B"/>
    <w:rsid w:val="002563F0"/>
    <w:rsid w:val="00266064"/>
    <w:rsid w:val="00281319"/>
    <w:rsid w:val="00286149"/>
    <w:rsid w:val="002948AD"/>
    <w:rsid w:val="00296A4B"/>
    <w:rsid w:val="002C3748"/>
    <w:rsid w:val="002D1A57"/>
    <w:rsid w:val="002D563B"/>
    <w:rsid w:val="00303A3A"/>
    <w:rsid w:val="003057FC"/>
    <w:rsid w:val="00312983"/>
    <w:rsid w:val="00331EA7"/>
    <w:rsid w:val="003641DD"/>
    <w:rsid w:val="003664E9"/>
    <w:rsid w:val="00373EE5"/>
    <w:rsid w:val="003B1735"/>
    <w:rsid w:val="003B6CBF"/>
    <w:rsid w:val="003E00D5"/>
    <w:rsid w:val="003F7F38"/>
    <w:rsid w:val="00402A4E"/>
    <w:rsid w:val="00406F0C"/>
    <w:rsid w:val="00415D5D"/>
    <w:rsid w:val="0043430C"/>
    <w:rsid w:val="00437137"/>
    <w:rsid w:val="004376CB"/>
    <w:rsid w:val="0044627E"/>
    <w:rsid w:val="004809D7"/>
    <w:rsid w:val="004A679B"/>
    <w:rsid w:val="004B0AE5"/>
    <w:rsid w:val="004B3C37"/>
    <w:rsid w:val="004E1979"/>
    <w:rsid w:val="0051687A"/>
    <w:rsid w:val="00517EB0"/>
    <w:rsid w:val="005205CB"/>
    <w:rsid w:val="00524535"/>
    <w:rsid w:val="00546331"/>
    <w:rsid w:val="005662E9"/>
    <w:rsid w:val="005801AE"/>
    <w:rsid w:val="00582ECC"/>
    <w:rsid w:val="0058399B"/>
    <w:rsid w:val="0058692F"/>
    <w:rsid w:val="00587B35"/>
    <w:rsid w:val="005974B7"/>
    <w:rsid w:val="005A16DE"/>
    <w:rsid w:val="005B30F6"/>
    <w:rsid w:val="005E170C"/>
    <w:rsid w:val="0061488E"/>
    <w:rsid w:val="00631C10"/>
    <w:rsid w:val="00634E6E"/>
    <w:rsid w:val="00661454"/>
    <w:rsid w:val="0066642D"/>
    <w:rsid w:val="00675E85"/>
    <w:rsid w:val="0067750F"/>
    <w:rsid w:val="006841A4"/>
    <w:rsid w:val="00692150"/>
    <w:rsid w:val="0069242F"/>
    <w:rsid w:val="006972CE"/>
    <w:rsid w:val="006B1609"/>
    <w:rsid w:val="006C380B"/>
    <w:rsid w:val="006C7B7F"/>
    <w:rsid w:val="006D19E8"/>
    <w:rsid w:val="006D51F3"/>
    <w:rsid w:val="006E793F"/>
    <w:rsid w:val="006F7944"/>
    <w:rsid w:val="0070050B"/>
    <w:rsid w:val="00704121"/>
    <w:rsid w:val="00723557"/>
    <w:rsid w:val="00741ACB"/>
    <w:rsid w:val="00745AA8"/>
    <w:rsid w:val="007510EC"/>
    <w:rsid w:val="007A0F6B"/>
    <w:rsid w:val="007A2A7A"/>
    <w:rsid w:val="007A6E2F"/>
    <w:rsid w:val="007B3BC5"/>
    <w:rsid w:val="007B461F"/>
    <w:rsid w:val="007C77E4"/>
    <w:rsid w:val="0081130F"/>
    <w:rsid w:val="00825B1F"/>
    <w:rsid w:val="008748C7"/>
    <w:rsid w:val="0087521A"/>
    <w:rsid w:val="008962E7"/>
    <w:rsid w:val="008A0D1A"/>
    <w:rsid w:val="008A7FD1"/>
    <w:rsid w:val="008B211E"/>
    <w:rsid w:val="0092684A"/>
    <w:rsid w:val="00941CD5"/>
    <w:rsid w:val="00952C99"/>
    <w:rsid w:val="009712EF"/>
    <w:rsid w:val="009824F2"/>
    <w:rsid w:val="00993B24"/>
    <w:rsid w:val="0099611F"/>
    <w:rsid w:val="009D68FA"/>
    <w:rsid w:val="009E4FC2"/>
    <w:rsid w:val="00A02EF2"/>
    <w:rsid w:val="00A04C49"/>
    <w:rsid w:val="00A04D5E"/>
    <w:rsid w:val="00A40AC7"/>
    <w:rsid w:val="00A435C7"/>
    <w:rsid w:val="00A44048"/>
    <w:rsid w:val="00A72703"/>
    <w:rsid w:val="00A72CA4"/>
    <w:rsid w:val="00A75CC1"/>
    <w:rsid w:val="00A93933"/>
    <w:rsid w:val="00A97D5F"/>
    <w:rsid w:val="00AA1D3E"/>
    <w:rsid w:val="00AB5C9B"/>
    <w:rsid w:val="00AC0449"/>
    <w:rsid w:val="00AC4FAF"/>
    <w:rsid w:val="00AD2497"/>
    <w:rsid w:val="00AF0058"/>
    <w:rsid w:val="00AF2979"/>
    <w:rsid w:val="00B02944"/>
    <w:rsid w:val="00B0375C"/>
    <w:rsid w:val="00B156C3"/>
    <w:rsid w:val="00B224C5"/>
    <w:rsid w:val="00B477AA"/>
    <w:rsid w:val="00B7000C"/>
    <w:rsid w:val="00BA6E22"/>
    <w:rsid w:val="00C009B7"/>
    <w:rsid w:val="00C32020"/>
    <w:rsid w:val="00C3408C"/>
    <w:rsid w:val="00C43CDF"/>
    <w:rsid w:val="00C512B2"/>
    <w:rsid w:val="00C67563"/>
    <w:rsid w:val="00C74B6F"/>
    <w:rsid w:val="00C9241B"/>
    <w:rsid w:val="00C97569"/>
    <w:rsid w:val="00CA12AB"/>
    <w:rsid w:val="00CB325B"/>
    <w:rsid w:val="00CD0F93"/>
    <w:rsid w:val="00CD427E"/>
    <w:rsid w:val="00CD6F23"/>
    <w:rsid w:val="00D027AF"/>
    <w:rsid w:val="00D16389"/>
    <w:rsid w:val="00D17D57"/>
    <w:rsid w:val="00D26489"/>
    <w:rsid w:val="00D3672F"/>
    <w:rsid w:val="00D43202"/>
    <w:rsid w:val="00D440FA"/>
    <w:rsid w:val="00D46E73"/>
    <w:rsid w:val="00D63951"/>
    <w:rsid w:val="00D869E3"/>
    <w:rsid w:val="00D86F2C"/>
    <w:rsid w:val="00DD3AD1"/>
    <w:rsid w:val="00E05651"/>
    <w:rsid w:val="00E124DA"/>
    <w:rsid w:val="00E20425"/>
    <w:rsid w:val="00E65C0E"/>
    <w:rsid w:val="00E746F0"/>
    <w:rsid w:val="00E87589"/>
    <w:rsid w:val="00E938FF"/>
    <w:rsid w:val="00EA5017"/>
    <w:rsid w:val="00EB14F0"/>
    <w:rsid w:val="00EB3844"/>
    <w:rsid w:val="00ED2D34"/>
    <w:rsid w:val="00ED6C51"/>
    <w:rsid w:val="00EF4EED"/>
    <w:rsid w:val="00F001E4"/>
    <w:rsid w:val="00F02237"/>
    <w:rsid w:val="00F348B2"/>
    <w:rsid w:val="00F34BF0"/>
    <w:rsid w:val="00F54044"/>
    <w:rsid w:val="00F8245F"/>
    <w:rsid w:val="00F87044"/>
    <w:rsid w:val="00F91E2A"/>
    <w:rsid w:val="00FA1D78"/>
    <w:rsid w:val="00FA1F7E"/>
    <w:rsid w:val="00FB71AC"/>
    <w:rsid w:val="00FD6206"/>
    <w:rsid w:val="00FF32C3"/>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style>
  <w:style w:type="paragraph" w:customStyle="1" w:styleId="zSoquijdatGreffe">
    <w:name w:val="zSoquij_datGreffe"/>
    <w:basedOn w:val="Normal"/>
  </w:style>
  <w:style w:type="paragraph" w:customStyle="1" w:styleId="zSoquijdatJuge">
    <w:name w:val="zSoquij_datJuge"/>
    <w:basedOn w:val="Normal"/>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semiHidden/>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pPr>
      <w:numPr>
        <w:numId w:val="1"/>
      </w:numPr>
      <w:tabs>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basedOn w:val="Normal"/>
    <w:link w:val="NotedebasdepageCar"/>
    <w:semiHidden/>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EF4EED"/>
    <w:pPr>
      <w:ind w:left="720" w:right="720"/>
      <w:jc w:val="both"/>
    </w:pPr>
    <w:rPr>
      <w:sz w:val="20"/>
    </w:rPr>
  </w:style>
  <w:style w:type="character" w:customStyle="1" w:styleId="NotedebasdepageCar">
    <w:name w:val="Note de bas de page Car"/>
    <w:link w:val="Notedebasdepage"/>
    <w:semiHidden/>
    <w:rsid w:val="00EF4EED"/>
    <w:rPr>
      <w:rFonts w:ascii="Arial" w:hAnsi="Arial"/>
      <w:sz w:val="24"/>
    </w:rPr>
  </w:style>
  <w:style w:type="paragraph" w:styleId="Textedebulles">
    <w:name w:val="Balloon Text"/>
    <w:basedOn w:val="Normal"/>
    <w:link w:val="TextedebullesCar"/>
    <w:rsid w:val="00741ACB"/>
    <w:rPr>
      <w:rFonts w:ascii="Segoe UI" w:hAnsi="Segoe UI" w:cs="Segoe UI"/>
      <w:sz w:val="18"/>
      <w:szCs w:val="18"/>
    </w:rPr>
  </w:style>
  <w:style w:type="character" w:customStyle="1" w:styleId="TextedebullesCar">
    <w:name w:val="Texte de bulles Car"/>
    <w:basedOn w:val="Policepardfaut"/>
    <w:link w:val="Textedebulles"/>
    <w:rsid w:val="00741ACB"/>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CA" w:eastAsia="fr-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054FF6-E9F1-45EB-A3C6-DC605B5496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3690</Words>
  <Characters>20300</Characters>
  <Application>Microsoft Office Word</Application>
  <DocSecurity>0</DocSecurity>
  <Lines>169</Lines>
  <Paragraphs>47</Paragraphs>
  <ScaleCrop>false</ScaleCrop>
  <Company/>
  <LinksUpToDate>false</LinksUpToDate>
  <CharactersWithSpaces>23943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2015-02-20T12:56:00Z</dcterms:created>
  <dcterms:modified xsi:type="dcterms:W3CDTF">2015-02-20T12:56:00Z</dcterms:modified>
</cp:coreProperties>
</file>