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5DDA9FBA" w14:textId="77777777">
        <w:trPr>
          <w:cantSplit/>
        </w:trPr>
        <w:tc>
          <w:tcPr>
            <w:tcW w:w="4795" w:type="dxa"/>
          </w:tcPr>
          <w:p w14:paraId="61705A13" w14:textId="41F98190" w:rsidR="008A7FD1" w:rsidRPr="004D5FB4" w:rsidRDefault="004D5FB4" w:rsidP="004D5FB4">
            <w:pPr>
              <w:pStyle w:val="zSoquijdatRepertorie"/>
              <w:rPr>
                <w:rFonts w:cs="Arial"/>
              </w:rPr>
            </w:pPr>
            <w:bookmarkStart w:id="0" w:name="_GoBack"/>
            <w:bookmarkEnd w:id="0"/>
            <w:r>
              <w:rPr>
                <w:rFonts w:cs="Arial"/>
              </w:rPr>
              <w:t>Thibodeau et Cie de pavage Lasalle ltée (fermée)</w:t>
            </w:r>
          </w:p>
        </w:tc>
        <w:tc>
          <w:tcPr>
            <w:tcW w:w="2477" w:type="dxa"/>
          </w:tcPr>
          <w:p w14:paraId="2E3C6425" w14:textId="49E4823B" w:rsidR="008A7FD1" w:rsidRPr="006467F5" w:rsidRDefault="006467F5" w:rsidP="006467F5">
            <w:pPr>
              <w:pStyle w:val="zSoquijdatRefNeutre"/>
              <w:rPr>
                <w:rFonts w:cs="Arial"/>
              </w:rPr>
            </w:pPr>
            <w:r w:rsidRPr="006467F5">
              <w:rPr>
                <w:rFonts w:cs="Arial"/>
              </w:rPr>
              <w:t>2020 QCTAT 2218</w:t>
            </w:r>
          </w:p>
        </w:tc>
      </w:tr>
    </w:tbl>
    <w:p w14:paraId="272E9CEE"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14:paraId="3DE444DD" w14:textId="77777777" w:rsidTr="002A374B">
        <w:trPr>
          <w:cantSplit/>
        </w:trPr>
        <w:tc>
          <w:tcPr>
            <w:tcW w:w="9568" w:type="dxa"/>
            <w:gridSpan w:val="4"/>
          </w:tcPr>
          <w:p w14:paraId="424721B0" w14:textId="77777777" w:rsidR="00C74B6F" w:rsidRPr="00BE1981" w:rsidRDefault="00C74B6F">
            <w:pPr>
              <w:rPr>
                <w:szCs w:val="24"/>
              </w:rPr>
            </w:pPr>
          </w:p>
        </w:tc>
      </w:tr>
      <w:tr w:rsidR="00C74B6F" w14:paraId="27A33D91" w14:textId="77777777" w:rsidTr="002A374B">
        <w:trPr>
          <w:cantSplit/>
        </w:trPr>
        <w:tc>
          <w:tcPr>
            <w:tcW w:w="9568" w:type="dxa"/>
            <w:gridSpan w:val="4"/>
            <w:vAlign w:val="center"/>
          </w:tcPr>
          <w:p w14:paraId="7932A9A6" w14:textId="77777777" w:rsidR="00C74B6F" w:rsidRPr="000E1320" w:rsidRDefault="000E1320">
            <w:pPr>
              <w:jc w:val="center"/>
              <w:rPr>
                <w:sz w:val="36"/>
                <w:szCs w:val="36"/>
              </w:rPr>
            </w:pPr>
            <w:r w:rsidRPr="000E1320">
              <w:rPr>
                <w:b/>
                <w:sz w:val="36"/>
                <w:szCs w:val="36"/>
              </w:rPr>
              <w:t>TRIBUNAL ADMINISTRATIF DU TRAVAIL</w:t>
            </w:r>
          </w:p>
        </w:tc>
      </w:tr>
      <w:tr w:rsidR="00C74B6F" w14:paraId="3C302168" w14:textId="77777777" w:rsidTr="002A374B">
        <w:trPr>
          <w:cantSplit/>
        </w:trPr>
        <w:tc>
          <w:tcPr>
            <w:tcW w:w="9568" w:type="dxa"/>
            <w:gridSpan w:val="4"/>
          </w:tcPr>
          <w:p w14:paraId="3C7DABAF" w14:textId="77777777" w:rsidR="00C74B6F" w:rsidRPr="00BE7014" w:rsidRDefault="006F0154" w:rsidP="00483D59">
            <w:pPr>
              <w:pStyle w:val="zSoquijdatDivision"/>
            </w:pPr>
            <w:r w:rsidRPr="00BE7014">
              <w:t>(</w:t>
            </w:r>
            <w:r w:rsidR="00C6223B" w:rsidRPr="00441ADA">
              <w:t>Division de la santé et de la sécurité du travail</w:t>
            </w:r>
            <w:r w:rsidRPr="00BE7014">
              <w:t>)</w:t>
            </w:r>
          </w:p>
        </w:tc>
      </w:tr>
      <w:tr w:rsidR="00C74B6F" w14:paraId="138A7EEC" w14:textId="77777777" w:rsidTr="002A374B">
        <w:trPr>
          <w:cantSplit/>
        </w:trPr>
        <w:tc>
          <w:tcPr>
            <w:tcW w:w="9568" w:type="dxa"/>
            <w:gridSpan w:val="4"/>
          </w:tcPr>
          <w:p w14:paraId="1D7E5B8A" w14:textId="77777777" w:rsidR="002B2FC3" w:rsidRDefault="002B2FC3" w:rsidP="002B2FC3"/>
        </w:tc>
      </w:tr>
      <w:tr w:rsidR="00A84FC6" w14:paraId="3997247A" w14:textId="77777777" w:rsidTr="002A374B">
        <w:trPr>
          <w:cantSplit/>
        </w:trPr>
        <w:tc>
          <w:tcPr>
            <w:tcW w:w="9568" w:type="dxa"/>
            <w:gridSpan w:val="4"/>
          </w:tcPr>
          <w:p w14:paraId="4333E9A5" w14:textId="77777777" w:rsidR="00A84FC6" w:rsidRDefault="00A84FC6" w:rsidP="002B2FC3"/>
        </w:tc>
      </w:tr>
      <w:tr w:rsidR="00C74B6F" w14:paraId="498CB0B5" w14:textId="77777777" w:rsidTr="005E654C">
        <w:tc>
          <w:tcPr>
            <w:tcW w:w="3614" w:type="dxa"/>
          </w:tcPr>
          <w:p w14:paraId="765F255F" w14:textId="77777777" w:rsidR="00C74B6F" w:rsidRDefault="0084255F">
            <w:bookmarkStart w:id="1" w:name="region" w:colFirst="1" w:colLast="1"/>
            <w:r>
              <w:t>Région :</w:t>
            </w:r>
          </w:p>
        </w:tc>
        <w:tc>
          <w:tcPr>
            <w:tcW w:w="5954" w:type="dxa"/>
            <w:gridSpan w:val="3"/>
          </w:tcPr>
          <w:p w14:paraId="3B29B189" w14:textId="77777777" w:rsidR="00C74B6F" w:rsidRDefault="00C6223B" w:rsidP="00F4095A">
            <w:pPr>
              <w:pStyle w:val="zSoquijdatGreffe"/>
            </w:pPr>
            <w:r>
              <w:t>Mauricie–Centre-du-Québec</w:t>
            </w:r>
          </w:p>
        </w:tc>
      </w:tr>
      <w:bookmarkEnd w:id="1"/>
      <w:tr w:rsidR="00C74B6F" w14:paraId="544A664C" w14:textId="77777777" w:rsidTr="002A374B">
        <w:trPr>
          <w:cantSplit/>
        </w:trPr>
        <w:tc>
          <w:tcPr>
            <w:tcW w:w="9568" w:type="dxa"/>
            <w:gridSpan w:val="4"/>
          </w:tcPr>
          <w:p w14:paraId="3563E4B9" w14:textId="77777777" w:rsidR="00C74B6F" w:rsidRDefault="00C74B6F"/>
        </w:tc>
      </w:tr>
      <w:tr w:rsidR="00C74B6F" w14:paraId="7A0B7CCE" w14:textId="77777777" w:rsidTr="005E654C">
        <w:tc>
          <w:tcPr>
            <w:tcW w:w="3614" w:type="dxa"/>
          </w:tcPr>
          <w:p w14:paraId="45434A53" w14:textId="77777777" w:rsidR="00C74B6F" w:rsidRDefault="0084255F">
            <w:bookmarkStart w:id="2" w:name="ref_dossier" w:colFirst="1" w:colLast="1"/>
            <w:r>
              <w:t>Dossier</w:t>
            </w:r>
            <w:bookmarkStart w:id="3" w:name="dossiers"/>
            <w:bookmarkEnd w:id="3"/>
            <w:r>
              <w:t> :</w:t>
            </w:r>
          </w:p>
        </w:tc>
        <w:tc>
          <w:tcPr>
            <w:tcW w:w="5954" w:type="dxa"/>
            <w:gridSpan w:val="3"/>
          </w:tcPr>
          <w:p w14:paraId="41872E64" w14:textId="77777777" w:rsidR="00C74B6F" w:rsidRDefault="00C6223B" w:rsidP="00F4095A">
            <w:pPr>
              <w:pStyle w:val="zSoquijdatNoDossier"/>
            </w:pPr>
            <w:r>
              <w:t>660056-04B-1803</w:t>
            </w:r>
          </w:p>
        </w:tc>
      </w:tr>
      <w:bookmarkEnd w:id="2"/>
      <w:tr w:rsidR="00C74B6F" w14:paraId="4C138E20" w14:textId="77777777" w:rsidTr="002A374B">
        <w:trPr>
          <w:cantSplit/>
        </w:trPr>
        <w:tc>
          <w:tcPr>
            <w:tcW w:w="9568" w:type="dxa"/>
            <w:gridSpan w:val="4"/>
          </w:tcPr>
          <w:p w14:paraId="25BFD9CF" w14:textId="77777777" w:rsidR="00C74B6F" w:rsidRDefault="00D44BCF">
            <w:r>
              <w:fldChar w:fldCharType="begin"/>
            </w:r>
            <w:r>
              <w:instrText xml:space="preserve"> AUTOTEXTLIST  \* Upper  \* MERGEFORMAT </w:instrText>
            </w:r>
            <w:r>
              <w:fldChar w:fldCharType="end"/>
            </w:r>
          </w:p>
        </w:tc>
      </w:tr>
      <w:tr w:rsidR="00C74B6F" w14:paraId="0E9F0933" w14:textId="77777777" w:rsidTr="005E654C">
        <w:tc>
          <w:tcPr>
            <w:tcW w:w="3614" w:type="dxa"/>
          </w:tcPr>
          <w:p w14:paraId="254036BF" w14:textId="77777777" w:rsidR="00C74B6F" w:rsidRDefault="008C79A7" w:rsidP="00C6223B">
            <w:pPr>
              <w:ind w:right="46"/>
            </w:pPr>
            <w:r>
              <w:t xml:space="preserve">Dossier </w:t>
            </w:r>
            <w:r w:rsidR="00C6223B">
              <w:rPr>
                <w:szCs w:val="24"/>
              </w:rPr>
              <w:t>CNESST</w:t>
            </w:r>
            <w:r w:rsidRPr="008C79A7">
              <w:rPr>
                <w:szCs w:val="24"/>
              </w:rPr>
              <w:t xml:space="preserve"> :</w:t>
            </w:r>
          </w:p>
        </w:tc>
        <w:tc>
          <w:tcPr>
            <w:tcW w:w="5954" w:type="dxa"/>
            <w:gridSpan w:val="3"/>
          </w:tcPr>
          <w:p w14:paraId="2B80FE0D" w14:textId="77777777" w:rsidR="00C74B6F" w:rsidRDefault="00C6223B" w:rsidP="004D6CEA">
            <w:pPr>
              <w:pStyle w:val="zSoquijdatNCSST"/>
            </w:pPr>
            <w:r>
              <w:t>503425209</w:t>
            </w:r>
          </w:p>
        </w:tc>
      </w:tr>
      <w:tr w:rsidR="00C74B6F" w14:paraId="127CBB9B" w14:textId="77777777" w:rsidTr="002A374B">
        <w:trPr>
          <w:cantSplit/>
        </w:trPr>
        <w:tc>
          <w:tcPr>
            <w:tcW w:w="9568" w:type="dxa"/>
            <w:gridSpan w:val="4"/>
          </w:tcPr>
          <w:p w14:paraId="0630A027" w14:textId="77777777" w:rsidR="00C74B6F" w:rsidRDefault="00C74B6F"/>
        </w:tc>
      </w:tr>
      <w:tr w:rsidR="00C74B6F" w14:paraId="6E213D22" w14:textId="77777777" w:rsidTr="002A374B">
        <w:trPr>
          <w:cantSplit/>
        </w:trPr>
        <w:tc>
          <w:tcPr>
            <w:tcW w:w="9568" w:type="dxa"/>
            <w:gridSpan w:val="4"/>
          </w:tcPr>
          <w:p w14:paraId="5635EF11" w14:textId="77777777" w:rsidR="00C74B6F" w:rsidRDefault="00C74B6F"/>
        </w:tc>
      </w:tr>
      <w:tr w:rsidR="006E3DD8" w14:paraId="551293B3" w14:textId="77777777" w:rsidTr="005E654C">
        <w:trPr>
          <w:cantSplit/>
        </w:trPr>
        <w:tc>
          <w:tcPr>
            <w:tcW w:w="3614" w:type="dxa"/>
          </w:tcPr>
          <w:p w14:paraId="0C333904" w14:textId="77777777" w:rsidR="006E3DD8" w:rsidRDefault="00C6223B" w:rsidP="006E3DD8">
            <w:pPr>
              <w:tabs>
                <w:tab w:val="left" w:pos="2672"/>
              </w:tabs>
            </w:pPr>
            <w:r>
              <w:t>Trois-Rivières</w:t>
            </w:r>
            <w:r w:rsidR="00C04E32">
              <w:t>,</w:t>
            </w:r>
          </w:p>
        </w:tc>
        <w:tc>
          <w:tcPr>
            <w:tcW w:w="5954" w:type="dxa"/>
            <w:gridSpan w:val="3"/>
          </w:tcPr>
          <w:p w14:paraId="241F0514" w14:textId="3A2D6146" w:rsidR="006E3DD8" w:rsidRDefault="00C04E32" w:rsidP="00DA1B64">
            <w:pPr>
              <w:pStyle w:val="zSoquijdatDateJugement"/>
            </w:pPr>
            <w:r>
              <w:t xml:space="preserve">le </w:t>
            </w:r>
            <w:r w:rsidR="00DA1B64">
              <w:t>26 mai 2020</w:t>
            </w:r>
          </w:p>
        </w:tc>
      </w:tr>
      <w:tr w:rsidR="00942AB8" w14:paraId="0DF95DC5" w14:textId="77777777" w:rsidTr="002A374B">
        <w:trPr>
          <w:cantSplit/>
        </w:trPr>
        <w:tc>
          <w:tcPr>
            <w:tcW w:w="9568" w:type="dxa"/>
            <w:gridSpan w:val="4"/>
          </w:tcPr>
          <w:p w14:paraId="44B92626" w14:textId="77777777" w:rsidR="00942AB8" w:rsidRDefault="00942AB8" w:rsidP="00FA153F">
            <w:r>
              <w:t>______________________________________________________________________</w:t>
            </w:r>
          </w:p>
        </w:tc>
      </w:tr>
      <w:tr w:rsidR="00942AB8" w14:paraId="3206806A" w14:textId="77777777" w:rsidTr="002A374B">
        <w:trPr>
          <w:cantSplit/>
          <w:trHeight w:val="148"/>
        </w:trPr>
        <w:tc>
          <w:tcPr>
            <w:tcW w:w="9568" w:type="dxa"/>
            <w:gridSpan w:val="4"/>
          </w:tcPr>
          <w:p w14:paraId="328EF980" w14:textId="77777777" w:rsidR="00942AB8" w:rsidRDefault="00942AB8" w:rsidP="00FA153F"/>
        </w:tc>
      </w:tr>
      <w:tr w:rsidR="0035375B" w14:paraId="4C277E9D" w14:textId="77777777" w:rsidTr="00A12E55">
        <w:trPr>
          <w:cantSplit/>
          <w:trHeight w:val="148"/>
        </w:trPr>
        <w:tc>
          <w:tcPr>
            <w:tcW w:w="5457" w:type="dxa"/>
            <w:gridSpan w:val="3"/>
          </w:tcPr>
          <w:p w14:paraId="3E791EFA" w14:textId="77777777" w:rsidR="0035375B" w:rsidRPr="00942AB8" w:rsidRDefault="0035375B" w:rsidP="00C6223B">
            <w:pPr>
              <w:rPr>
                <w:b/>
                <w:bCs/>
              </w:rPr>
            </w:pPr>
            <w:bookmarkStart w:id="4" w:name="ref_commissaire" w:colFirst="1" w:colLast="1"/>
            <w:r w:rsidRPr="00942AB8">
              <w:rPr>
                <w:b/>
                <w:bCs/>
              </w:rPr>
              <w:t>DEVANT L</w:t>
            </w:r>
            <w:r w:rsidR="00C6223B">
              <w:rPr>
                <w:b/>
                <w:bCs/>
              </w:rPr>
              <w:t>A</w:t>
            </w:r>
            <w:r w:rsidRPr="00942AB8">
              <w:rPr>
                <w:b/>
                <w:bCs/>
              </w:rPr>
              <w:t xml:space="preserve"> JUGE ADMINISTRATI</w:t>
            </w:r>
            <w:r w:rsidR="00C6223B">
              <w:rPr>
                <w:b/>
                <w:bCs/>
              </w:rPr>
              <w:t>VE</w:t>
            </w:r>
            <w:r w:rsidRPr="00942AB8">
              <w:rPr>
                <w:b/>
                <w:bCs/>
              </w:rPr>
              <w:t> :</w:t>
            </w:r>
          </w:p>
        </w:tc>
        <w:tc>
          <w:tcPr>
            <w:tcW w:w="4111" w:type="dxa"/>
          </w:tcPr>
          <w:p w14:paraId="47A626B3" w14:textId="77777777" w:rsidR="0035375B" w:rsidRPr="00942AB8" w:rsidRDefault="00C6223B" w:rsidP="005B5689">
            <w:pPr>
              <w:pStyle w:val="zSoquijdatJuge"/>
              <w:rPr>
                <w:bCs/>
              </w:rPr>
            </w:pPr>
            <w:r>
              <w:t>Dominique Tancrède</w:t>
            </w:r>
          </w:p>
        </w:tc>
      </w:tr>
      <w:bookmarkEnd w:id="4"/>
      <w:tr w:rsidR="00942AB8" w14:paraId="51EC99B6" w14:textId="77777777" w:rsidTr="002A374B">
        <w:trPr>
          <w:cantSplit/>
          <w:trHeight w:val="148"/>
        </w:trPr>
        <w:tc>
          <w:tcPr>
            <w:tcW w:w="9568" w:type="dxa"/>
            <w:gridSpan w:val="4"/>
          </w:tcPr>
          <w:p w14:paraId="223121DB" w14:textId="77777777" w:rsidR="00942AB8" w:rsidRDefault="00942AB8" w:rsidP="00FA153F">
            <w:r>
              <w:t>______________________________________________________________________</w:t>
            </w:r>
          </w:p>
        </w:tc>
      </w:tr>
      <w:tr w:rsidR="00942AB8" w14:paraId="15290065" w14:textId="77777777" w:rsidTr="002A374B">
        <w:tc>
          <w:tcPr>
            <w:tcW w:w="9568" w:type="dxa"/>
            <w:gridSpan w:val="4"/>
          </w:tcPr>
          <w:p w14:paraId="7CD1BC12" w14:textId="77777777" w:rsidR="00942AB8" w:rsidRDefault="00942AB8"/>
        </w:tc>
      </w:tr>
      <w:tr w:rsidR="00942AB8" w14:paraId="5C6DF3A9" w14:textId="77777777" w:rsidTr="00D40ABA">
        <w:tc>
          <w:tcPr>
            <w:tcW w:w="4748" w:type="dxa"/>
            <w:gridSpan w:val="2"/>
          </w:tcPr>
          <w:p w14:paraId="6100CDEC" w14:textId="77777777" w:rsidR="00942AB8" w:rsidRDefault="00942AB8">
            <w:bookmarkStart w:id="5" w:name="bloc_parties_gauche"/>
            <w:bookmarkEnd w:id="5"/>
          </w:p>
        </w:tc>
        <w:tc>
          <w:tcPr>
            <w:tcW w:w="4820" w:type="dxa"/>
            <w:gridSpan w:val="2"/>
          </w:tcPr>
          <w:p w14:paraId="76E8CF84" w14:textId="77777777" w:rsidR="00942AB8" w:rsidRDefault="00942AB8"/>
        </w:tc>
      </w:tr>
      <w:tr w:rsidR="00942AB8" w14:paraId="16F97900" w14:textId="77777777" w:rsidTr="00D40ABA">
        <w:tc>
          <w:tcPr>
            <w:tcW w:w="4748" w:type="dxa"/>
            <w:gridSpan w:val="2"/>
          </w:tcPr>
          <w:p w14:paraId="01298C37" w14:textId="77777777" w:rsidR="00942AB8" w:rsidRDefault="00C6223B">
            <w:pPr>
              <w:pStyle w:val="zSoquijdatNomPartieDem"/>
              <w:rPr>
                <w:b/>
              </w:rPr>
            </w:pPr>
            <w:r>
              <w:rPr>
                <w:b/>
              </w:rPr>
              <w:t>Marcelle Thibodeau</w:t>
            </w:r>
          </w:p>
        </w:tc>
        <w:tc>
          <w:tcPr>
            <w:tcW w:w="4820" w:type="dxa"/>
            <w:gridSpan w:val="2"/>
          </w:tcPr>
          <w:p w14:paraId="31F4CA16" w14:textId="77777777" w:rsidR="00942AB8" w:rsidRDefault="00942AB8"/>
        </w:tc>
      </w:tr>
      <w:tr w:rsidR="00942AB8" w14:paraId="3DECC0F1" w14:textId="77777777" w:rsidTr="00D40ABA">
        <w:tc>
          <w:tcPr>
            <w:tcW w:w="4748" w:type="dxa"/>
            <w:gridSpan w:val="2"/>
          </w:tcPr>
          <w:p w14:paraId="7BA3AD28" w14:textId="77777777" w:rsidR="00942AB8" w:rsidRDefault="00C6223B">
            <w:pPr>
              <w:pStyle w:val="zSoquijdatQtePartieDem"/>
              <w:ind w:left="708"/>
            </w:pPr>
            <w:r>
              <w:t>Partie demanderesse</w:t>
            </w:r>
          </w:p>
        </w:tc>
        <w:tc>
          <w:tcPr>
            <w:tcW w:w="4820" w:type="dxa"/>
            <w:gridSpan w:val="2"/>
          </w:tcPr>
          <w:p w14:paraId="5136C9E9" w14:textId="77777777" w:rsidR="00942AB8" w:rsidRDefault="00942AB8"/>
        </w:tc>
      </w:tr>
      <w:tr w:rsidR="00942AB8" w14:paraId="726E53E7" w14:textId="77777777" w:rsidTr="00D40ABA">
        <w:tc>
          <w:tcPr>
            <w:tcW w:w="4748" w:type="dxa"/>
            <w:gridSpan w:val="2"/>
          </w:tcPr>
          <w:p w14:paraId="3EB2BA76" w14:textId="77777777" w:rsidR="00942AB8" w:rsidRDefault="00942AB8"/>
        </w:tc>
        <w:tc>
          <w:tcPr>
            <w:tcW w:w="4820" w:type="dxa"/>
            <w:gridSpan w:val="2"/>
          </w:tcPr>
          <w:p w14:paraId="69A823B2" w14:textId="77777777" w:rsidR="00942AB8" w:rsidRDefault="00942AB8"/>
        </w:tc>
      </w:tr>
      <w:tr w:rsidR="00942AB8" w14:paraId="49D8C39E" w14:textId="77777777" w:rsidTr="00D40ABA">
        <w:tc>
          <w:tcPr>
            <w:tcW w:w="4748" w:type="dxa"/>
            <w:gridSpan w:val="2"/>
          </w:tcPr>
          <w:p w14:paraId="0D95C8DF" w14:textId="77777777" w:rsidR="00942AB8" w:rsidRDefault="00C6223B" w:rsidP="00D06652">
            <w:pPr>
              <w:pStyle w:val="zSoquijlblLienParties"/>
            </w:pPr>
            <w:r>
              <w:t>et</w:t>
            </w:r>
          </w:p>
        </w:tc>
        <w:tc>
          <w:tcPr>
            <w:tcW w:w="4820" w:type="dxa"/>
            <w:gridSpan w:val="2"/>
          </w:tcPr>
          <w:p w14:paraId="4647C18B" w14:textId="77777777" w:rsidR="00942AB8" w:rsidRDefault="00942AB8"/>
        </w:tc>
      </w:tr>
      <w:tr w:rsidR="00942AB8" w14:paraId="72721F64" w14:textId="77777777" w:rsidTr="00D40ABA">
        <w:tc>
          <w:tcPr>
            <w:tcW w:w="4748" w:type="dxa"/>
            <w:gridSpan w:val="2"/>
          </w:tcPr>
          <w:p w14:paraId="1BD5613D" w14:textId="77777777" w:rsidR="00942AB8" w:rsidRDefault="00942AB8"/>
        </w:tc>
        <w:tc>
          <w:tcPr>
            <w:tcW w:w="4820" w:type="dxa"/>
            <w:gridSpan w:val="2"/>
          </w:tcPr>
          <w:p w14:paraId="640016A8" w14:textId="77777777" w:rsidR="00942AB8" w:rsidRDefault="00942AB8"/>
        </w:tc>
      </w:tr>
      <w:tr w:rsidR="00942AB8" w14:paraId="0D29D262" w14:textId="77777777" w:rsidTr="00D40ABA">
        <w:tc>
          <w:tcPr>
            <w:tcW w:w="4748" w:type="dxa"/>
            <w:gridSpan w:val="2"/>
          </w:tcPr>
          <w:p w14:paraId="1F2B42E8" w14:textId="77777777" w:rsidR="00942AB8" w:rsidRDefault="00C6223B">
            <w:pPr>
              <w:pStyle w:val="zSoquijdatNomPartieDef"/>
              <w:rPr>
                <w:b/>
              </w:rPr>
            </w:pPr>
            <w:r>
              <w:rPr>
                <w:b/>
              </w:rPr>
              <w:t>La cie de pavage Lasalle ltée (fermée)</w:t>
            </w:r>
          </w:p>
          <w:p w14:paraId="59B27042" w14:textId="77777777" w:rsidR="00C6223B" w:rsidRDefault="00C6223B">
            <w:pPr>
              <w:pStyle w:val="zSoquijdatNomPartieDef"/>
              <w:rPr>
                <w:b/>
              </w:rPr>
            </w:pPr>
            <w:r>
              <w:rPr>
                <w:b/>
              </w:rPr>
              <w:t>2736-9826 Québec inc.</w:t>
            </w:r>
          </w:p>
        </w:tc>
        <w:tc>
          <w:tcPr>
            <w:tcW w:w="4820" w:type="dxa"/>
            <w:gridSpan w:val="2"/>
          </w:tcPr>
          <w:p w14:paraId="2D8973BD" w14:textId="77777777" w:rsidR="00942AB8" w:rsidRDefault="00942AB8"/>
        </w:tc>
      </w:tr>
      <w:tr w:rsidR="00942AB8" w14:paraId="5EF8837A" w14:textId="77777777" w:rsidTr="00D40ABA">
        <w:tc>
          <w:tcPr>
            <w:tcW w:w="4748" w:type="dxa"/>
            <w:gridSpan w:val="2"/>
          </w:tcPr>
          <w:p w14:paraId="1878C056" w14:textId="77777777" w:rsidR="00942AB8" w:rsidRDefault="00C6223B" w:rsidP="00C6223B">
            <w:pPr>
              <w:pStyle w:val="zSoquijdatQtePartieDef"/>
              <w:ind w:left="708"/>
            </w:pPr>
            <w:r>
              <w:t>Parties mises en cause</w:t>
            </w:r>
          </w:p>
        </w:tc>
        <w:tc>
          <w:tcPr>
            <w:tcW w:w="4820" w:type="dxa"/>
            <w:gridSpan w:val="2"/>
          </w:tcPr>
          <w:p w14:paraId="6B7768B3" w14:textId="77777777" w:rsidR="00942AB8" w:rsidRDefault="00942AB8"/>
        </w:tc>
      </w:tr>
      <w:tr w:rsidR="0065093D" w14:paraId="66FCDF68" w14:textId="77777777" w:rsidTr="00D40ABA">
        <w:tc>
          <w:tcPr>
            <w:tcW w:w="4748" w:type="dxa"/>
            <w:gridSpan w:val="2"/>
          </w:tcPr>
          <w:p w14:paraId="7ED8C140" w14:textId="77777777" w:rsidR="0065093D" w:rsidRDefault="0065093D"/>
        </w:tc>
        <w:tc>
          <w:tcPr>
            <w:tcW w:w="4820" w:type="dxa"/>
            <w:gridSpan w:val="2"/>
          </w:tcPr>
          <w:p w14:paraId="5C7A9D99" w14:textId="77777777" w:rsidR="0065093D" w:rsidRDefault="0065093D"/>
        </w:tc>
      </w:tr>
    </w:tbl>
    <w:p w14:paraId="0E13770B" w14:textId="77777777" w:rsidR="00C74B6F" w:rsidRDefault="00C74B6F">
      <w:r>
        <w:t>______________________________________________________________________</w:t>
      </w:r>
    </w:p>
    <w:p w14:paraId="1BCAA7CE" w14:textId="77777777" w:rsidR="00C74B6F" w:rsidRDefault="00C74B6F"/>
    <w:p w14:paraId="48945643" w14:textId="77777777" w:rsidR="00C74B6F" w:rsidRPr="005B0612" w:rsidRDefault="00C74B6F" w:rsidP="008B042E">
      <w:pPr>
        <w:jc w:val="center"/>
        <w:rPr>
          <w:b/>
          <w:bCs/>
        </w:rPr>
      </w:pPr>
      <w:bookmarkStart w:id="6" w:name="decision"/>
      <w:r w:rsidRPr="005B0612">
        <w:rPr>
          <w:b/>
          <w:bCs/>
        </w:rPr>
        <w:t>DÉCISION</w:t>
      </w:r>
      <w:bookmarkEnd w:id="6"/>
    </w:p>
    <w:p w14:paraId="7DBE2CAA" w14:textId="77777777" w:rsidR="00C74B6F" w:rsidRDefault="00C74B6F">
      <w:pPr>
        <w:jc w:val="center"/>
      </w:pPr>
      <w:r>
        <w:t>______________________________________________________________________</w:t>
      </w:r>
    </w:p>
    <w:p w14:paraId="03C47E48" w14:textId="77777777" w:rsidR="00C74B6F" w:rsidRDefault="00C74B6F"/>
    <w:p w14:paraId="242D41D6" w14:textId="77777777" w:rsidR="00C74B6F" w:rsidRDefault="00C74B6F"/>
    <w:p w14:paraId="774372A0" w14:textId="77777777" w:rsidR="0065699E" w:rsidRDefault="004241D8">
      <w:pPr>
        <w:pStyle w:val="corpsdedcision"/>
      </w:pPr>
      <w:r>
        <w:t xml:space="preserve">Madame Marcelle Thibodeau, la travailleuse, allègue qu’elle est atteinte d’une surdité d’origine professionnelle. Elle dépose à la Commission des normes, de l’équité de la santé et de la sécurité du travail une réclamation pour un événement survenu le </w:t>
      </w:r>
      <w:r w:rsidR="004326EE">
        <w:t>8 mai </w:t>
      </w:r>
      <w:r>
        <w:t>2017.</w:t>
      </w:r>
    </w:p>
    <w:p w14:paraId="719153B1" w14:textId="0349640A" w:rsidR="00C74B6F" w:rsidRDefault="0065699E">
      <w:pPr>
        <w:pStyle w:val="corpsdedcision"/>
      </w:pPr>
      <w:r>
        <w:t xml:space="preserve">La Commission refuse la réclamation de la travailleuse dans une décision du </w:t>
      </w:r>
      <w:r w:rsidR="004326EE">
        <w:t>14 juillet </w:t>
      </w:r>
      <w:r>
        <w:t>2017. Le motif</w:t>
      </w:r>
      <w:r w:rsidR="00B30EE6">
        <w:t xml:space="preserve"> au soutien du </w:t>
      </w:r>
      <w:r>
        <w:t>refus est que la perte auditive n’est pas de nature professionnelle.</w:t>
      </w:r>
      <w:r w:rsidR="004241D8">
        <w:t xml:space="preserve"> </w:t>
      </w:r>
      <w:r w:rsidR="009E0D81">
        <w:t xml:space="preserve">La </w:t>
      </w:r>
      <w:r w:rsidR="00577096">
        <w:t>Direction</w:t>
      </w:r>
      <w:r w:rsidR="009E0D81">
        <w:t xml:space="preserve"> de la révision administrative confirme cette décision le </w:t>
      </w:r>
      <w:r w:rsidR="004326EE">
        <w:t>27 février </w:t>
      </w:r>
      <w:r w:rsidR="009E0D81">
        <w:t>2018 d’où le présent litige.</w:t>
      </w:r>
    </w:p>
    <w:p w14:paraId="6F4498F8" w14:textId="77777777" w:rsidR="009E0D81" w:rsidRDefault="009E0D81">
      <w:pPr>
        <w:pStyle w:val="corpsdedcision"/>
      </w:pPr>
      <w:r>
        <w:t>La travailleuse allègue que sa surdité résulte de son exposition aux divers bruits dans les cuisines</w:t>
      </w:r>
      <w:r w:rsidR="005B6905">
        <w:t xml:space="preserve"> commerciales où elle a travaillé. Elle </w:t>
      </w:r>
      <w:r w:rsidR="00872B54">
        <w:t xml:space="preserve">prétend que la présomption de la </w:t>
      </w:r>
      <w:r w:rsidR="00872B54" w:rsidRPr="00883CF6">
        <w:rPr>
          <w:i/>
        </w:rPr>
        <w:t xml:space="preserve">Loi sur les accidents du travail et </w:t>
      </w:r>
      <w:r w:rsidR="00D373D1" w:rsidRPr="00883CF6">
        <w:rPr>
          <w:i/>
        </w:rPr>
        <w:t>les maladies professionnelles</w:t>
      </w:r>
      <w:r w:rsidR="004326EE">
        <w:rPr>
          <w:rStyle w:val="Appelnotedebasdep"/>
          <w:i/>
        </w:rPr>
        <w:footnoteReference w:id="1"/>
      </w:r>
      <w:r w:rsidR="00872B54">
        <w:t xml:space="preserve"> s’applique.</w:t>
      </w:r>
    </w:p>
    <w:p w14:paraId="35AD630C" w14:textId="529119E8" w:rsidR="00872B54" w:rsidRDefault="00872B54">
      <w:pPr>
        <w:pStyle w:val="corpsdedcision"/>
      </w:pPr>
      <w:r>
        <w:t xml:space="preserve">La travailleuse a eu de nombreux employeurs. </w:t>
      </w:r>
      <w:r w:rsidR="00AC6A2A">
        <w:t>C</w:t>
      </w:r>
      <w:r>
        <w:t>eu</w:t>
      </w:r>
      <w:r w:rsidR="00371523">
        <w:t>x co</w:t>
      </w:r>
      <w:r>
        <w:t xml:space="preserve">nvoqués </w:t>
      </w:r>
      <w:r w:rsidR="00FE2BBE">
        <w:t xml:space="preserve">à l'audience </w:t>
      </w:r>
      <w:r>
        <w:t>sont absent</w:t>
      </w:r>
      <w:r w:rsidR="00D373D1">
        <w:t>s</w:t>
      </w:r>
      <w:r>
        <w:t xml:space="preserve"> ou encore fermé</w:t>
      </w:r>
      <w:r w:rsidR="00D373D1">
        <w:t>s</w:t>
      </w:r>
      <w:r>
        <w:t>.</w:t>
      </w:r>
    </w:p>
    <w:p w14:paraId="57BD8E10" w14:textId="77777777" w:rsidR="00D373D1" w:rsidRDefault="00D373D1">
      <w:pPr>
        <w:pStyle w:val="corpsdedcision"/>
      </w:pPr>
      <w:r>
        <w:t>Le Tribunal conclu</w:t>
      </w:r>
      <w:r w:rsidR="00CF1E44">
        <w:t>t</w:t>
      </w:r>
      <w:r>
        <w:t xml:space="preserve"> que la travailleuse a subi une surdité d’origine professionnelle. En voici les motifs.</w:t>
      </w:r>
    </w:p>
    <w:p w14:paraId="1DFFD953" w14:textId="77777777" w:rsidR="00E26842" w:rsidRPr="00D32261" w:rsidRDefault="00E26842" w:rsidP="00E26842">
      <w:pPr>
        <w:pStyle w:val="corpsdedcision"/>
        <w:numPr>
          <w:ilvl w:val="0"/>
          <w:numId w:val="0"/>
        </w:numPr>
        <w:rPr>
          <w:b/>
        </w:rPr>
      </w:pPr>
      <w:r w:rsidRPr="00D32261">
        <w:rPr>
          <w:b/>
        </w:rPr>
        <w:t>CONTEXTE</w:t>
      </w:r>
    </w:p>
    <w:p w14:paraId="7B411300" w14:textId="6A6CF126" w:rsidR="00E26842" w:rsidRDefault="00577096">
      <w:pPr>
        <w:pStyle w:val="corpsdedcision"/>
      </w:pPr>
      <w:r>
        <w:t xml:space="preserve">La travailleuse a œuvré dans le domaine de la restauration pendant toute sa vie active. Elle a débuté en 1969. Elle a travaillé tantôt comme serveuse, tantôt comme cuisinière. À certains endroits, elle combine les </w:t>
      </w:r>
      <w:r w:rsidR="002C2D1C">
        <w:t>deux</w:t>
      </w:r>
      <w:r>
        <w:t xml:space="preserve"> fonctions. Elle travaille principalement dans des salles de réception</w:t>
      </w:r>
      <w:r w:rsidR="000A3CB6">
        <w:t xml:space="preserve">, pour des traiteurs. Elle occupe également pendant quelques années, un emploi de </w:t>
      </w:r>
      <w:r w:rsidR="00F2601E">
        <w:t>couturière</w:t>
      </w:r>
      <w:r w:rsidR="000A3CB6">
        <w:t>.</w:t>
      </w:r>
    </w:p>
    <w:p w14:paraId="0A82DCA4" w14:textId="77777777" w:rsidR="000A3CB6" w:rsidRDefault="000A3CB6">
      <w:pPr>
        <w:pStyle w:val="corpsdedcision"/>
      </w:pPr>
      <w:r>
        <w:t>Le 1</w:t>
      </w:r>
      <w:r w:rsidRPr="000A3CB6">
        <w:rPr>
          <w:vertAlign w:val="superscript"/>
        </w:rPr>
        <w:t>er</w:t>
      </w:r>
      <w:r>
        <w:t xml:space="preserve"> m</w:t>
      </w:r>
      <w:r w:rsidR="00720A25">
        <w:t>a</w:t>
      </w:r>
      <w:r>
        <w:t>i 2017, la travailleuse p</w:t>
      </w:r>
      <w:r w:rsidR="00720A25">
        <w:t>asse un audiogramme. Elle est atteinte d’hypoacousie neuro-sensorielle de degré léger en moyenne descendante bilatéralement.</w:t>
      </w:r>
      <w:r w:rsidR="00F2601E">
        <w:t xml:space="preserve"> Son acuité auditive est inférieure à la moyenne pour son âge. Elle se situe entre le 10</w:t>
      </w:r>
      <w:r w:rsidR="00F2601E" w:rsidRPr="00F2601E">
        <w:rPr>
          <w:vertAlign w:val="superscript"/>
        </w:rPr>
        <w:t>e</w:t>
      </w:r>
      <w:r w:rsidR="00F2601E">
        <w:t xml:space="preserve"> et le 25</w:t>
      </w:r>
      <w:r w:rsidR="00F2601E" w:rsidRPr="00F2601E">
        <w:rPr>
          <w:vertAlign w:val="superscript"/>
        </w:rPr>
        <w:t>e</w:t>
      </w:r>
      <w:r w:rsidR="00F2601E">
        <w:t xml:space="preserve"> percentile selon la norme ISO-7029. Un appareillage binaural est nécessaire.</w:t>
      </w:r>
    </w:p>
    <w:p w14:paraId="595739F2" w14:textId="77777777" w:rsidR="006537C4" w:rsidRDefault="002E13C1" w:rsidP="006537C4">
      <w:pPr>
        <w:pStyle w:val="corpsdedcision"/>
      </w:pPr>
      <w:r>
        <w:t>L’oto-rhino-laryngologiste, docteur Jacques Laferrière, complète une attestation médicale le 5 mai 2017. Il pose un diagnostic de surdité neuro-sensorielle bilatérale.</w:t>
      </w:r>
    </w:p>
    <w:p w14:paraId="0256E5DD" w14:textId="77777777" w:rsidR="006537C4" w:rsidRPr="00D32261" w:rsidRDefault="006537C4" w:rsidP="006537C4">
      <w:pPr>
        <w:pStyle w:val="corpsdedcision"/>
        <w:numPr>
          <w:ilvl w:val="0"/>
          <w:numId w:val="0"/>
        </w:numPr>
        <w:rPr>
          <w:b/>
        </w:rPr>
      </w:pPr>
      <w:r w:rsidRPr="00D32261">
        <w:rPr>
          <w:b/>
        </w:rPr>
        <w:t>ANALYSE</w:t>
      </w:r>
    </w:p>
    <w:p w14:paraId="5ABD06CE" w14:textId="10D62586" w:rsidR="006537C4" w:rsidRDefault="006537C4" w:rsidP="00890263">
      <w:pPr>
        <w:pStyle w:val="corpsdedcision"/>
      </w:pPr>
      <w:r>
        <w:t>La travailleuse a-t-elle subi une lésion professionnelle sous l’angle de la maladie professionnelle?</w:t>
      </w:r>
    </w:p>
    <w:p w14:paraId="20BAFD88" w14:textId="026A4A78" w:rsidR="00941767" w:rsidRDefault="00941767" w:rsidP="00941767">
      <w:pPr>
        <w:pStyle w:val="corpsdedcision"/>
        <w:tabs>
          <w:tab w:val="num" w:pos="720"/>
        </w:tabs>
      </w:pPr>
      <w:r>
        <w:t>La réclamation</w:t>
      </w:r>
      <w:r w:rsidR="00C302FE">
        <w:t xml:space="preserve"> de la travailleuse</w:t>
      </w:r>
      <w:r>
        <w:t xml:space="preserve"> pour lésion professionnelle est une maladie professionnelle. La notion de lésion professionnelle inclut la maladie professionnelle.</w:t>
      </w:r>
    </w:p>
    <w:p w14:paraId="409D1C14" w14:textId="77777777" w:rsidR="00941767" w:rsidRDefault="00941767" w:rsidP="00941767">
      <w:pPr>
        <w:pStyle w:val="Dfinitions"/>
      </w:pPr>
      <w:r>
        <w:rPr>
          <w:b/>
        </w:rPr>
        <w:t xml:space="preserve">2. </w:t>
      </w:r>
      <w:r>
        <w:t>Dans la présente loi, à moins que le contexte n’indique un sens différent, on entend par :</w:t>
      </w:r>
    </w:p>
    <w:p w14:paraId="664B04A7" w14:textId="77777777" w:rsidR="00941767" w:rsidRDefault="00941767" w:rsidP="00941767">
      <w:pPr>
        <w:pStyle w:val="Dfinitions"/>
      </w:pPr>
    </w:p>
    <w:p w14:paraId="66FE6F41" w14:textId="77777777" w:rsidR="00941767" w:rsidRDefault="00941767" w:rsidP="00941767">
      <w:pPr>
        <w:pStyle w:val="articlesdelaLATMPnouveaux"/>
      </w:pPr>
      <w:r>
        <w:rPr>
          <w:b/>
        </w:rPr>
        <w:t>« lésion professionnelle » </w:t>
      </w:r>
      <w:r>
        <w:t>: une blessure ou une maladie qui survient par le fait ou à l’occasion d’un accident du travail, ou une maladie professionnelle, y compris la récidive, la rechute ou l’aggravation :</w:t>
      </w:r>
    </w:p>
    <w:p w14:paraId="49FF02BB" w14:textId="77777777" w:rsidR="00941767" w:rsidRDefault="00941767" w:rsidP="00941767">
      <w:pPr>
        <w:pStyle w:val="Dfinitions"/>
      </w:pPr>
      <w:r>
        <w:t>__________</w:t>
      </w:r>
    </w:p>
    <w:p w14:paraId="57188BE9" w14:textId="77777777" w:rsidR="00941767" w:rsidRDefault="00941767" w:rsidP="00CC1447">
      <w:pPr>
        <w:pStyle w:val="articlesdelaLATMP"/>
        <w:spacing w:after="360"/>
      </w:pPr>
      <w:r>
        <w:t>1985, c. 6, a. 2 ; 1997, c. 27, a. 1 ; 1999, c. 14, a. 2 ; 1999, c. 40, a. 4 ; 1999, c. 89, a. 53 ; 2002, c. 6, a. 76 ; 2002, c. 76, a. 27 ; 2006, c. 53, a. 1 ; 2009, c. 24, a. 72.</w:t>
      </w:r>
    </w:p>
    <w:p w14:paraId="63BC4A86" w14:textId="77777777" w:rsidR="00941767" w:rsidRPr="007E4245" w:rsidRDefault="00941767" w:rsidP="00941767">
      <w:pPr>
        <w:pStyle w:val="corpsdedcision"/>
        <w:tabs>
          <w:tab w:val="num" w:pos="720"/>
        </w:tabs>
      </w:pPr>
      <w:r>
        <w:t xml:space="preserve">La maladie professionnelle est définie dans la </w:t>
      </w:r>
      <w:r w:rsidR="00C302FE" w:rsidRPr="00CC1447">
        <w:t>Lo</w:t>
      </w:r>
      <w:r w:rsidR="00883CF6" w:rsidRPr="00CC1447">
        <w:t>i</w:t>
      </w:r>
      <w:r w:rsidRPr="007E4245">
        <w:t> :</w:t>
      </w:r>
    </w:p>
    <w:p w14:paraId="4983F190" w14:textId="77777777" w:rsidR="00941767" w:rsidRDefault="00941767" w:rsidP="00941767">
      <w:pPr>
        <w:pStyle w:val="citation"/>
      </w:pPr>
      <w:r w:rsidRPr="007E4245">
        <w:rPr>
          <w:b/>
        </w:rPr>
        <w:t xml:space="preserve">2. </w:t>
      </w:r>
      <w:r>
        <w:t>Dans la présente loi, à moins que le contexte n’indique un sens différent, on entend par :</w:t>
      </w:r>
    </w:p>
    <w:p w14:paraId="65D6F6F4" w14:textId="77777777" w:rsidR="00941767" w:rsidRDefault="00941767" w:rsidP="00941767">
      <w:pPr>
        <w:pStyle w:val="citation"/>
      </w:pPr>
    </w:p>
    <w:p w14:paraId="02CCE016" w14:textId="77777777" w:rsidR="00941767" w:rsidRDefault="00941767" w:rsidP="00941767">
      <w:pPr>
        <w:pStyle w:val="citation"/>
      </w:pPr>
      <w:r>
        <w:rPr>
          <w:b/>
        </w:rPr>
        <w:t>« maladie professionnelle » </w:t>
      </w:r>
      <w:r>
        <w:t>: une maladie contractée par le fait ou à l’occasion du travail et qui est caractéristique de ce travail ou reliée directement aux risques particuliers de ce travail :</w:t>
      </w:r>
    </w:p>
    <w:p w14:paraId="08BD5F9F" w14:textId="77777777" w:rsidR="00941767" w:rsidRDefault="00941767" w:rsidP="00941767">
      <w:pPr>
        <w:pStyle w:val="citation"/>
      </w:pPr>
      <w:r>
        <w:t>__________</w:t>
      </w:r>
    </w:p>
    <w:p w14:paraId="640A1002" w14:textId="77777777" w:rsidR="00941767" w:rsidRDefault="00941767" w:rsidP="00941767">
      <w:pPr>
        <w:pStyle w:val="citation"/>
      </w:pPr>
      <w:r>
        <w:t>1985, c. 6, a. 2 ; 1997, c. 27, a. 1 ; 1999, c. 14, a. 2 ; 1999, c. 40, a. 4 ; 1999, c. 89, a. 53 ; 2002, c. 6, a. 76 ; 2002, c. 76, a. 27 ; 2006, c. 53, a. 1 ; 2009, c. 24, a. 72.</w:t>
      </w:r>
    </w:p>
    <w:p w14:paraId="711504DD" w14:textId="77777777" w:rsidR="00941767" w:rsidRDefault="00941767" w:rsidP="00941767">
      <w:pPr>
        <w:pStyle w:val="Dfinitions"/>
      </w:pPr>
    </w:p>
    <w:p w14:paraId="4E6895A2" w14:textId="77777777" w:rsidR="00941767" w:rsidRDefault="00941767" w:rsidP="00941767">
      <w:pPr>
        <w:pStyle w:val="Dfinitions"/>
      </w:pPr>
    </w:p>
    <w:p w14:paraId="1D4151BA" w14:textId="77777777" w:rsidR="00941767" w:rsidRDefault="00941767" w:rsidP="00941767">
      <w:pPr>
        <w:pStyle w:val="corpsdedcision"/>
        <w:tabs>
          <w:tab w:val="num" w:pos="360"/>
        </w:tabs>
      </w:pPr>
      <w:r>
        <w:t xml:space="preserve">La Loi prévoit une présomption pour faire reconnaître une maladie professionnelle : </w:t>
      </w:r>
    </w:p>
    <w:p w14:paraId="6DE9194B" w14:textId="77777777" w:rsidR="00941767" w:rsidRDefault="00941767" w:rsidP="00941767">
      <w:pPr>
        <w:pStyle w:val="articlesdelaLATMP"/>
      </w:pPr>
      <w:r w:rsidRPr="00977E47">
        <w:rPr>
          <w:b/>
        </w:rPr>
        <w:t>29.</w:t>
      </w:r>
      <w:r>
        <w:t xml:space="preserve"> Les maladies énumérées dans l’annexe I sont caractéristiques du travail correspondant à chacune de ces maladies d’après cette annexe et sont reliées directement aux risques particuliers de ce travail.</w:t>
      </w:r>
    </w:p>
    <w:p w14:paraId="227C5273" w14:textId="77777777" w:rsidR="00941767" w:rsidRDefault="00941767" w:rsidP="00941767">
      <w:pPr>
        <w:pStyle w:val="articlesdelaLATMP"/>
      </w:pPr>
    </w:p>
    <w:p w14:paraId="1673D787" w14:textId="77777777" w:rsidR="00941767" w:rsidRDefault="00941767" w:rsidP="00941767">
      <w:pPr>
        <w:pStyle w:val="articlesdelaLATMP"/>
      </w:pPr>
      <w:r>
        <w:t>Le travailleur atteint d’une maladie visée dans cette annexe est présumé atteint d’une maladie professionnelle s’il a exercé un travail correspondant à cette maladie d’après l’annexe.</w:t>
      </w:r>
    </w:p>
    <w:p w14:paraId="75201009" w14:textId="77777777" w:rsidR="00941767" w:rsidRDefault="00941767" w:rsidP="00941767">
      <w:pPr>
        <w:pStyle w:val="articlesdelaLATMP"/>
      </w:pPr>
      <w:r>
        <w:t>__________</w:t>
      </w:r>
    </w:p>
    <w:p w14:paraId="6A1419BC" w14:textId="77777777" w:rsidR="00941767" w:rsidRDefault="00941767" w:rsidP="00CC1447">
      <w:pPr>
        <w:pStyle w:val="articlesdelaLATMP"/>
        <w:spacing w:after="360"/>
      </w:pPr>
      <w:r>
        <w:t>1985, c. 6, a. 29.</w:t>
      </w:r>
    </w:p>
    <w:p w14:paraId="202C33DD" w14:textId="706C3C28" w:rsidR="00941767" w:rsidRDefault="00941767" w:rsidP="00941767">
      <w:pPr>
        <w:pStyle w:val="corpsdedcision"/>
        <w:tabs>
          <w:tab w:val="num" w:pos="360"/>
        </w:tabs>
      </w:pPr>
      <w:r>
        <w:t>La réclamation sera analysée sous l’angl</w:t>
      </w:r>
      <w:r w:rsidR="00C302FE">
        <w:t xml:space="preserve">e de </w:t>
      </w:r>
      <w:r w:rsidR="003607ED">
        <w:t>la maladie professionnelle puis</w:t>
      </w:r>
      <w:r w:rsidR="00C302FE">
        <w:t xml:space="preserve">que la travailleuse ne rapporte pas de traumatisme </w:t>
      </w:r>
      <w:r w:rsidR="005F2C6B">
        <w:t>qui aurait</w:t>
      </w:r>
      <w:r w:rsidR="00C302FE">
        <w:t xml:space="preserve"> </w:t>
      </w:r>
      <w:r w:rsidR="002C2D1C">
        <w:t>causé</w:t>
      </w:r>
      <w:r w:rsidR="00C302FE">
        <w:t xml:space="preserve"> sa lésion.</w:t>
      </w:r>
    </w:p>
    <w:p w14:paraId="5ACE74B5" w14:textId="77777777" w:rsidR="003D331B" w:rsidRDefault="00C302FE" w:rsidP="004001BC">
      <w:pPr>
        <w:pStyle w:val="corpsdedcision"/>
        <w:tabs>
          <w:tab w:val="num" w:pos="360"/>
        </w:tabs>
      </w:pPr>
      <w:r>
        <w:t>La travailleuse</w:t>
      </w:r>
      <w:r w:rsidR="00941767">
        <w:t xml:space="preserve"> doit démontrer être atteint</w:t>
      </w:r>
      <w:r w:rsidR="00CF1E44">
        <w:t>e</w:t>
      </w:r>
      <w:r w:rsidR="00941767">
        <w:t xml:space="preserve"> d’une maladie mentionnée à l’Annexe</w:t>
      </w:r>
      <w:r w:rsidR="003D331B">
        <w:t xml:space="preserve"> </w:t>
      </w:r>
      <w:r w:rsidR="00941767">
        <w:t xml:space="preserve">1 de la Loi pour bénéficier de la présomption. </w:t>
      </w:r>
      <w:r w:rsidR="003D331B">
        <w:t>Cette annexe énumère différentes maladies reconnue</w:t>
      </w:r>
      <w:r w:rsidR="00CF1E44">
        <w:t>s</w:t>
      </w:r>
      <w:r w:rsidR="003D331B">
        <w:t xml:space="preserve"> comme étant caractéristiques de certains emplois.</w:t>
      </w:r>
    </w:p>
    <w:p w14:paraId="3D603246" w14:textId="77777777" w:rsidR="00941767" w:rsidRDefault="00941767" w:rsidP="004001BC">
      <w:pPr>
        <w:pStyle w:val="corpsdedcision"/>
        <w:tabs>
          <w:tab w:val="num" w:pos="360"/>
        </w:tabs>
      </w:pPr>
      <w:r>
        <w:t>Pour déterminer s</w:t>
      </w:r>
      <w:r w:rsidR="003D331B">
        <w:t>i elle</w:t>
      </w:r>
      <w:r>
        <w:t xml:space="preserve"> peut bénéficier de la présomption ou subsidiairement si sa maladie peut être reconnue, il est nécessaire d’établir le ou les diagnostics. </w:t>
      </w:r>
    </w:p>
    <w:p w14:paraId="2E757E33" w14:textId="77777777" w:rsidR="00941767" w:rsidRDefault="00941767" w:rsidP="00941767">
      <w:pPr>
        <w:pStyle w:val="corpsdedcision"/>
        <w:tabs>
          <w:tab w:val="num" w:pos="360"/>
        </w:tabs>
      </w:pPr>
      <w:r>
        <w:t xml:space="preserve">Dans le cadre du litige, le Tribunal retient que le </w:t>
      </w:r>
      <w:r w:rsidR="00753669">
        <w:t xml:space="preserve">seul </w:t>
      </w:r>
      <w:r>
        <w:t>diagno</w:t>
      </w:r>
      <w:r w:rsidR="00753669">
        <w:t>stic de la travailleuse</w:t>
      </w:r>
      <w:r>
        <w:t xml:space="preserve"> est celui de </w:t>
      </w:r>
      <w:r w:rsidR="00753669">
        <w:t>surdité neuro-sensorielle bilatérale</w:t>
      </w:r>
      <w:r>
        <w:t xml:space="preserve">. </w:t>
      </w:r>
      <w:r w:rsidR="00753669">
        <w:t>L</w:t>
      </w:r>
      <w:r>
        <w:t>e diagnostic</w:t>
      </w:r>
      <w:r w:rsidR="00753669">
        <w:t xml:space="preserve"> n’a pas fait l’objet de la procédure d’évaluation médicale.</w:t>
      </w:r>
      <w:r>
        <w:t xml:space="preserve"> </w:t>
      </w:r>
      <w:r w:rsidR="00753669">
        <w:t xml:space="preserve">Il est </w:t>
      </w:r>
      <w:r>
        <w:t>non contesté</w:t>
      </w:r>
      <w:r w:rsidR="00753669">
        <w:t xml:space="preserve"> et </w:t>
      </w:r>
      <w:r>
        <w:t>posé</w:t>
      </w:r>
      <w:r w:rsidR="00753669">
        <w:t xml:space="preserve"> par le médecin de la </w:t>
      </w:r>
      <w:r>
        <w:t xml:space="preserve"> </w:t>
      </w:r>
      <w:r w:rsidR="00753669">
        <w:t>travailleuse</w:t>
      </w:r>
      <w:r>
        <w:t>. Le Tribunal souligne être lié par ce diagnostic en vertu des articles 224 et 358</w:t>
      </w:r>
      <w:r w:rsidR="00753669">
        <w:t xml:space="preserve"> </w:t>
      </w:r>
      <w:r>
        <w:t>de la Loi</w:t>
      </w:r>
      <w:r>
        <w:rPr>
          <w:rStyle w:val="Appelnotedebasdep"/>
        </w:rPr>
        <w:footnoteReference w:id="2"/>
      </w:r>
      <w:r>
        <w:t>.</w:t>
      </w:r>
    </w:p>
    <w:p w14:paraId="6C772B0A" w14:textId="77777777" w:rsidR="00CF7D96" w:rsidRDefault="00941767" w:rsidP="00941767">
      <w:pPr>
        <w:pStyle w:val="corpsdedcision"/>
        <w:tabs>
          <w:tab w:val="num" w:pos="360"/>
        </w:tabs>
      </w:pPr>
      <w:r>
        <w:t xml:space="preserve">Le diagnostic de </w:t>
      </w:r>
      <w:r w:rsidR="00CF7D96">
        <w:t>surdité neuro-sensorielle bilatérale se retrouve à la section IV de l’Annexe</w:t>
      </w:r>
      <w:r w:rsidR="002C2D1C">
        <w:t>.</w:t>
      </w:r>
    </w:p>
    <w:tbl>
      <w:tblPr>
        <w:tblW w:w="0" w:type="auto"/>
        <w:tblInd w:w="790" w:type="dxa"/>
        <w:tblLayout w:type="fixed"/>
        <w:tblCellMar>
          <w:left w:w="70" w:type="dxa"/>
          <w:right w:w="70" w:type="dxa"/>
        </w:tblCellMar>
        <w:tblLook w:val="0000" w:firstRow="0" w:lastRow="0" w:firstColumn="0" w:lastColumn="0" w:noHBand="0" w:noVBand="0"/>
      </w:tblPr>
      <w:tblGrid>
        <w:gridCol w:w="3760"/>
        <w:gridCol w:w="3780"/>
      </w:tblGrid>
      <w:tr w:rsidR="004D1125" w14:paraId="08A31CE8" w14:textId="77777777" w:rsidTr="007E7D0C">
        <w:tc>
          <w:tcPr>
            <w:tcW w:w="3760" w:type="dxa"/>
            <w:tcBorders>
              <w:top w:val="single" w:sz="4" w:space="0" w:color="auto"/>
              <w:bottom w:val="single" w:sz="4" w:space="0" w:color="auto"/>
            </w:tcBorders>
          </w:tcPr>
          <w:p w14:paraId="32BB0789" w14:textId="77777777" w:rsidR="004D1125" w:rsidRDefault="004D1125" w:rsidP="007E7D0C">
            <w:pPr>
              <w:spacing w:after="120"/>
              <w:jc w:val="both"/>
              <w:rPr>
                <w:sz w:val="20"/>
              </w:rPr>
            </w:pPr>
            <w:r>
              <w:rPr>
                <w:sz w:val="20"/>
              </w:rPr>
              <w:t>MALADIES</w:t>
            </w:r>
          </w:p>
        </w:tc>
        <w:tc>
          <w:tcPr>
            <w:tcW w:w="3780" w:type="dxa"/>
            <w:tcBorders>
              <w:top w:val="single" w:sz="4" w:space="0" w:color="auto"/>
              <w:bottom w:val="single" w:sz="4" w:space="0" w:color="auto"/>
            </w:tcBorders>
          </w:tcPr>
          <w:p w14:paraId="4C1CD1A2" w14:textId="77777777" w:rsidR="004D1125" w:rsidRDefault="004D1125" w:rsidP="007E7D0C">
            <w:pPr>
              <w:tabs>
                <w:tab w:val="num" w:pos="360"/>
              </w:tabs>
              <w:spacing w:after="120"/>
              <w:ind w:left="200"/>
              <w:jc w:val="both"/>
              <w:rPr>
                <w:sz w:val="20"/>
              </w:rPr>
            </w:pPr>
            <w:r>
              <w:rPr>
                <w:sz w:val="20"/>
              </w:rPr>
              <w:t>GENRES DE TRAVAIL</w:t>
            </w:r>
          </w:p>
        </w:tc>
      </w:tr>
      <w:tr w:rsidR="004D1125" w14:paraId="16756139" w14:textId="77777777" w:rsidTr="007E7D0C">
        <w:tc>
          <w:tcPr>
            <w:tcW w:w="3760" w:type="dxa"/>
          </w:tcPr>
          <w:p w14:paraId="749896B7" w14:textId="77777777" w:rsidR="004D1125" w:rsidRDefault="004D1125" w:rsidP="004D1125">
            <w:pPr>
              <w:numPr>
                <w:ilvl w:val="0"/>
                <w:numId w:val="8"/>
              </w:numPr>
              <w:spacing w:after="120"/>
              <w:ind w:left="380" w:hanging="380"/>
              <w:rPr>
                <w:sz w:val="20"/>
              </w:rPr>
            </w:pPr>
            <w:r>
              <w:rPr>
                <w:sz w:val="20"/>
              </w:rPr>
              <w:t>Atteinte auditive causée par le bruit:</w:t>
            </w:r>
          </w:p>
        </w:tc>
        <w:tc>
          <w:tcPr>
            <w:tcW w:w="3780" w:type="dxa"/>
          </w:tcPr>
          <w:p w14:paraId="1CDAF1A7" w14:textId="77777777" w:rsidR="004D1125" w:rsidRDefault="004D1125" w:rsidP="007E7D0C">
            <w:pPr>
              <w:tabs>
                <w:tab w:val="num" w:pos="360"/>
              </w:tabs>
              <w:spacing w:after="120"/>
              <w:ind w:left="200"/>
              <w:rPr>
                <w:sz w:val="20"/>
              </w:rPr>
            </w:pPr>
            <w:r>
              <w:rPr>
                <w:sz w:val="20"/>
              </w:rPr>
              <w:t>un travail impliquant une exposition à un bruit excessif</w:t>
            </w:r>
          </w:p>
        </w:tc>
      </w:tr>
    </w:tbl>
    <w:p w14:paraId="301F7B1C" w14:textId="77777777" w:rsidR="004D1125" w:rsidRDefault="004D1125" w:rsidP="00B268DE">
      <w:pPr>
        <w:pStyle w:val="corpsdedcision"/>
        <w:numPr>
          <w:ilvl w:val="0"/>
          <w:numId w:val="0"/>
        </w:numPr>
      </w:pPr>
    </w:p>
    <w:p w14:paraId="41488DE3" w14:textId="3360C79A" w:rsidR="00941767" w:rsidRDefault="00941767" w:rsidP="008D13F8">
      <w:pPr>
        <w:pStyle w:val="corpsdedcision"/>
        <w:tabs>
          <w:tab w:val="num" w:pos="360"/>
        </w:tabs>
        <w:spacing w:after="240"/>
      </w:pPr>
      <w:r>
        <w:t xml:space="preserve">Pour l’application de la présomption, </w:t>
      </w:r>
      <w:r w:rsidR="005A4B8C">
        <w:t xml:space="preserve">la travailleuse doit démontrer qu’elle </w:t>
      </w:r>
      <w:r w:rsidR="00155ABD">
        <w:t>remplit</w:t>
      </w:r>
      <w:r w:rsidR="005A4B8C">
        <w:t xml:space="preserve"> les </w:t>
      </w:r>
      <w:r w:rsidR="002C2D1C">
        <w:t>deux</w:t>
      </w:r>
      <w:r w:rsidR="005A4B8C">
        <w:t xml:space="preserve"> conditions suivantes :</w:t>
      </w:r>
    </w:p>
    <w:p w14:paraId="17780B51" w14:textId="77777777" w:rsidR="005A4B8C" w:rsidRDefault="005A4B8C" w:rsidP="008D13F8">
      <w:pPr>
        <w:pStyle w:val="corpsdedcision"/>
        <w:numPr>
          <w:ilvl w:val="0"/>
          <w:numId w:val="7"/>
        </w:numPr>
        <w:spacing w:after="120"/>
        <w:ind w:left="709"/>
      </w:pPr>
      <w:r>
        <w:t>Souffrir d’une atteinte auditive causée par le bruit;</w:t>
      </w:r>
    </w:p>
    <w:p w14:paraId="7356F1B2" w14:textId="77777777" w:rsidR="005A4B8C" w:rsidRDefault="00155ABD" w:rsidP="008D13F8">
      <w:pPr>
        <w:pStyle w:val="corpsdedcision"/>
        <w:numPr>
          <w:ilvl w:val="0"/>
          <w:numId w:val="7"/>
        </w:numPr>
        <w:ind w:left="709"/>
      </w:pPr>
      <w:r>
        <w:t>Avoir exercé un travail impliquant une exposition au bruit excessif</w:t>
      </w:r>
      <w:r w:rsidR="00A87757">
        <w:t>.</w:t>
      </w:r>
    </w:p>
    <w:p w14:paraId="6983409C" w14:textId="55BC69EA" w:rsidR="00AC5155" w:rsidRPr="00D4626D" w:rsidRDefault="00155ABD" w:rsidP="00AC5155">
      <w:pPr>
        <w:pStyle w:val="corpsdedcision"/>
      </w:pPr>
      <w:r>
        <w:t xml:space="preserve">Il est possible de renverser la </w:t>
      </w:r>
      <w:r w:rsidRPr="00D4626D">
        <w:t xml:space="preserve">présomption si </w:t>
      </w:r>
      <w:r w:rsidR="00751DB6" w:rsidRPr="00D4626D">
        <w:t>l’employeur</w:t>
      </w:r>
      <w:r w:rsidR="00D4626D" w:rsidRPr="00D4626D">
        <w:t xml:space="preserve"> prouve que </w:t>
      </w:r>
      <w:r w:rsidRPr="00D4626D">
        <w:t xml:space="preserve">la travailleuse n’a pas été exposée </w:t>
      </w:r>
      <w:r w:rsidR="009E7BEA" w:rsidRPr="00D4626D">
        <w:t xml:space="preserve">à un bruit susceptible d’être à </w:t>
      </w:r>
      <w:r w:rsidR="00AC5155" w:rsidRPr="00D4626D">
        <w:t>l’origine</w:t>
      </w:r>
      <w:r w:rsidR="009E7BEA" w:rsidRPr="00D4626D">
        <w:t xml:space="preserve"> de la surdité ou encore que la surdité découle d’une autre cause</w:t>
      </w:r>
      <w:r w:rsidR="00A87757" w:rsidRPr="00D4626D">
        <w:rPr>
          <w:rStyle w:val="Appelnotedebasdep"/>
        </w:rPr>
        <w:footnoteReference w:id="3"/>
      </w:r>
      <w:r w:rsidR="009E7BEA" w:rsidRPr="00D4626D">
        <w:t>.</w:t>
      </w:r>
    </w:p>
    <w:p w14:paraId="6B527FC1" w14:textId="77777777" w:rsidR="00AC5155" w:rsidRPr="00AC5155" w:rsidRDefault="00AC5155" w:rsidP="00AC5155">
      <w:pPr>
        <w:pStyle w:val="corpsdedcision"/>
        <w:numPr>
          <w:ilvl w:val="0"/>
          <w:numId w:val="0"/>
        </w:numPr>
        <w:rPr>
          <w:u w:val="single"/>
        </w:rPr>
      </w:pPr>
      <w:r w:rsidRPr="00AC5155">
        <w:rPr>
          <w:u w:val="single"/>
        </w:rPr>
        <w:t>Application de la présomption</w:t>
      </w:r>
    </w:p>
    <w:p w14:paraId="56FBFC35" w14:textId="434DBB73" w:rsidR="00AC5155" w:rsidRDefault="00CC13D5" w:rsidP="00AC5155">
      <w:pPr>
        <w:pStyle w:val="corpsdedcision"/>
      </w:pPr>
      <w:r>
        <w:t xml:space="preserve">Pour déterminer si l’atteinte auditive d’un travailleur est </w:t>
      </w:r>
      <w:r w:rsidR="00C2463D">
        <w:t>causée</w:t>
      </w:r>
      <w:r>
        <w:t xml:space="preserve"> par le bruit, la jurisprudence</w:t>
      </w:r>
      <w:r w:rsidR="00AC61F8">
        <w:rPr>
          <w:rStyle w:val="Appelnotedebasdep"/>
        </w:rPr>
        <w:footnoteReference w:id="4"/>
      </w:r>
      <w:r w:rsidR="00D4626D">
        <w:t xml:space="preserve"> retient 4 caractéristiques : une </w:t>
      </w:r>
      <w:r w:rsidR="00C2463D">
        <w:t>surdité de perception pure</w:t>
      </w:r>
      <w:r w:rsidR="00CF1E44">
        <w:t>,</w:t>
      </w:r>
      <w:r w:rsidR="00C2463D">
        <w:t xml:space="preserve"> soit neuro-sensorielle</w:t>
      </w:r>
      <w:r w:rsidR="00D4626D">
        <w:t xml:space="preserve">, </w:t>
      </w:r>
      <w:r w:rsidR="00C2463D">
        <w:t>une perte auditive bilatérale de même que symétrique</w:t>
      </w:r>
      <w:r w:rsidR="00AC61F8">
        <w:t xml:space="preserve"> </w:t>
      </w:r>
      <w:r w:rsidR="00D4626D">
        <w:t>et</w:t>
      </w:r>
      <w:r w:rsidR="00AC61F8">
        <w:t xml:space="preserve"> plus sévère dans les hautes fréquences.</w:t>
      </w:r>
    </w:p>
    <w:p w14:paraId="1899F07F" w14:textId="77777777" w:rsidR="00A20501" w:rsidRDefault="00A20501" w:rsidP="008D13F8">
      <w:pPr>
        <w:pStyle w:val="corpsdedcision"/>
        <w:numPr>
          <w:ilvl w:val="0"/>
          <w:numId w:val="0"/>
        </w:numPr>
      </w:pPr>
    </w:p>
    <w:p w14:paraId="1C076914" w14:textId="21197AA4" w:rsidR="006C08B5" w:rsidRDefault="000318C6" w:rsidP="00AC5155">
      <w:pPr>
        <w:pStyle w:val="corpsdedcision"/>
      </w:pPr>
      <w:r w:rsidRPr="00A06E11">
        <w:t>L</w:t>
      </w:r>
      <w:r w:rsidR="006C08B5" w:rsidRPr="00A06E11">
        <w:t xml:space="preserve">’affaire </w:t>
      </w:r>
      <w:r w:rsidR="006C08B5" w:rsidRPr="008D13F8">
        <w:rPr>
          <w:i/>
        </w:rPr>
        <w:t>Pratt &amp; Whitney</w:t>
      </w:r>
      <w:r w:rsidR="001B0C7E" w:rsidRPr="00A06E11">
        <w:rPr>
          <w:rStyle w:val="Appelnotedebasdep"/>
        </w:rPr>
        <w:footnoteReference w:id="5"/>
      </w:r>
      <w:r w:rsidRPr="00A06E11">
        <w:t xml:space="preserve"> entre autres, mentionne que l’absence d’une de ces </w:t>
      </w:r>
      <w:r w:rsidR="00DA55C5" w:rsidRPr="00A06E11">
        <w:t>caractéristiques</w:t>
      </w:r>
      <w:r w:rsidRPr="00A06E11">
        <w:t xml:space="preserve"> n’exclut pas l’application de la présomption. </w:t>
      </w:r>
      <w:r w:rsidR="00751DB6" w:rsidRPr="00A06E11">
        <w:t>En l’absence d’une des 4 caractérist</w:t>
      </w:r>
      <w:r w:rsidR="00B268DE">
        <w:t>iques,</w:t>
      </w:r>
      <w:r w:rsidR="00A06E11" w:rsidRPr="00A06E11">
        <w:t xml:space="preserve"> la présomption</w:t>
      </w:r>
      <w:r w:rsidRPr="00A06E11">
        <w:t xml:space="preserve"> peut toujours </w:t>
      </w:r>
      <w:r w:rsidR="001B0C7E" w:rsidRPr="00A06E11">
        <w:t xml:space="preserve">tenir si une preuve médicale démontre que l’atteinte auditive est </w:t>
      </w:r>
      <w:r w:rsidR="00591F73" w:rsidRPr="00A06E11">
        <w:t>reliée</w:t>
      </w:r>
      <w:r w:rsidR="001B0C7E" w:rsidRPr="00A06E11">
        <w:t xml:space="preserve"> à </w:t>
      </w:r>
      <w:r w:rsidR="00DA55C5" w:rsidRPr="00A06E11">
        <w:t>l’exposition</w:t>
      </w:r>
      <w:r w:rsidR="001B0C7E" w:rsidRPr="00A06E11">
        <w:t xml:space="preserve"> au bruit plutôt qu’à une autre cause</w:t>
      </w:r>
      <w:r w:rsidR="00A06E11" w:rsidRPr="00A06E11">
        <w:t>.</w:t>
      </w:r>
      <w:r w:rsidR="0067409B">
        <w:t xml:space="preserve"> </w:t>
      </w:r>
    </w:p>
    <w:p w14:paraId="6356E65A" w14:textId="0302C8FE" w:rsidR="00D83F15" w:rsidRDefault="00655053" w:rsidP="00AC5155">
      <w:pPr>
        <w:pStyle w:val="corpsdedcision"/>
      </w:pPr>
      <w:r>
        <w:t>Les résultats au rapport de l’a</w:t>
      </w:r>
      <w:r w:rsidR="00D83F15">
        <w:t>udiologiste Pascale Héon rapporte</w:t>
      </w:r>
      <w:r w:rsidR="00FE2BBE">
        <w:t>nt</w:t>
      </w:r>
      <w:r w:rsidR="00D83F15">
        <w:t> : « </w:t>
      </w:r>
      <w:r w:rsidR="00D83F15" w:rsidRPr="00883CF6">
        <w:rPr>
          <w:i/>
          <w:sz w:val="22"/>
          <w:szCs w:val="22"/>
        </w:rPr>
        <w:t>Audiométrie Tonale : Bilatéralement : Hypoacousie neuro-sensorielle de degré léger en moyenne descendante avec chute abrupte </w:t>
      </w:r>
      <w:r w:rsidR="00D83F15">
        <w:t>»</w:t>
      </w:r>
      <w:r w:rsidR="00063312">
        <w:t>. Le diagnostic posé par l’oto-rhino-laryngologiste est une surdité neurosensorielle bilatérale.</w:t>
      </w:r>
      <w:r w:rsidR="0067409B">
        <w:t xml:space="preserve"> Le résultat de l’</w:t>
      </w:r>
      <w:r w:rsidR="00895725">
        <w:t>audiogramme établit</w:t>
      </w:r>
      <w:r w:rsidR="0067409B">
        <w:t xml:space="preserve"> que l’atteinte est bilatérale et symétrique.</w:t>
      </w:r>
    </w:p>
    <w:p w14:paraId="17CFEC7B" w14:textId="77777777" w:rsidR="00895725" w:rsidRDefault="00895725" w:rsidP="00AC5155">
      <w:pPr>
        <w:pStyle w:val="corpsdedcision"/>
      </w:pPr>
      <w:r>
        <w:t>Par contre, l’audiogramme ne démontre pas que l’atteinte</w:t>
      </w:r>
      <w:r w:rsidR="00443ACC">
        <w:t xml:space="preserve"> est plus </w:t>
      </w:r>
      <w:r w:rsidR="00E86B21">
        <w:t>marquée</w:t>
      </w:r>
      <w:r w:rsidR="00443ACC">
        <w:t xml:space="preserve"> dans les hautes fréquences. La surdité professionnelle typique se caractérise à </w:t>
      </w:r>
      <w:r w:rsidR="00E86B21">
        <w:t>l’audiogramme</w:t>
      </w:r>
      <w:r w:rsidR="00443ACC">
        <w:t xml:space="preserve"> par une diminution évidente du seuil d’audition dans les fréquences de 4000</w:t>
      </w:r>
      <w:r w:rsidR="00B753C5">
        <w:t xml:space="preserve"> </w:t>
      </w:r>
      <w:r w:rsidR="00443ACC">
        <w:t>Hz avec une remonté</w:t>
      </w:r>
      <w:r w:rsidR="00E86B21">
        <w:t>e caractéristique dans les fréquences de 6000 et 8000 Hz</w:t>
      </w:r>
      <w:r w:rsidR="00E86B21">
        <w:rPr>
          <w:rStyle w:val="Appelnotedebasdep"/>
        </w:rPr>
        <w:footnoteReference w:id="6"/>
      </w:r>
      <w:r w:rsidR="00E86B21">
        <w:t>. C’est ce que l’on nomme l’encoche.</w:t>
      </w:r>
    </w:p>
    <w:p w14:paraId="1EAFDFBC" w14:textId="69A689C5" w:rsidR="00B753C5" w:rsidRDefault="00B753C5" w:rsidP="00AC5155">
      <w:pPr>
        <w:pStyle w:val="corpsdedcision"/>
      </w:pPr>
      <w:r>
        <w:t>L</w:t>
      </w:r>
      <w:r w:rsidR="00C83274">
        <w:t>e Tribunal note l’absence d’un</w:t>
      </w:r>
      <w:r w:rsidR="004211D3">
        <w:t>e</w:t>
      </w:r>
      <w:r w:rsidR="00C83274">
        <w:t xml:space="preserve"> encoche à l’audiogramme de la travailleuse du 1</w:t>
      </w:r>
      <w:r w:rsidR="00C83274" w:rsidRPr="00C83274">
        <w:rPr>
          <w:vertAlign w:val="superscript"/>
        </w:rPr>
        <w:t>er</w:t>
      </w:r>
      <w:r w:rsidR="00C83274">
        <w:t xml:space="preserve"> mai 2017</w:t>
      </w:r>
      <w:r w:rsidR="004211D3">
        <w:t xml:space="preserve">. La courbe audiologique n’effectue pas de remontée dans les fréquences de 8000 Hz. L’absence de cette caractéristique n’est toutefois pas fatale à la reconnaissance de la surdité </w:t>
      </w:r>
      <w:r w:rsidR="00675CE5">
        <w:t>professionnelle</w:t>
      </w:r>
      <w:r w:rsidR="004211D3">
        <w:t>.</w:t>
      </w:r>
      <w:r w:rsidR="00675CE5">
        <w:t xml:space="preserve"> La jurisprudence a reconnu qu’une preuve médicale</w:t>
      </w:r>
      <w:r w:rsidR="00DA5E0E">
        <w:t xml:space="preserve"> qui repose sur des données scientifiques ou sur de la littérature médicale</w:t>
      </w:r>
      <w:r w:rsidR="003E5A5D">
        <w:t>,</w:t>
      </w:r>
      <w:r w:rsidR="00DA5E0E">
        <w:t xml:space="preserve"> </w:t>
      </w:r>
      <w:r w:rsidR="006B3923">
        <w:t>laquelle</w:t>
      </w:r>
      <w:r w:rsidR="00DA5E0E">
        <w:t xml:space="preserve"> explique la relation entre la surdité et l’exposition aux</w:t>
      </w:r>
      <w:r w:rsidR="006B3923">
        <w:t xml:space="preserve"> bruits excessifs</w:t>
      </w:r>
      <w:r w:rsidR="00A20501">
        <w:t>,</w:t>
      </w:r>
      <w:r w:rsidR="00FB2CDE">
        <w:t xml:space="preserve"> permet de conclure à une atteinte audiologique de nature professionnelle.</w:t>
      </w:r>
    </w:p>
    <w:p w14:paraId="5E4BEFC5" w14:textId="4334D250" w:rsidR="009D2E28" w:rsidRDefault="002F2B4D" w:rsidP="00655053">
      <w:pPr>
        <w:pStyle w:val="corpsdedcision"/>
      </w:pPr>
      <w:r>
        <w:t>En l’instance, le Tribunal a entendu madame</w:t>
      </w:r>
      <w:r w:rsidR="005B7B30">
        <w:t xml:space="preserve"> Chantal Laroche, audiologiste. Madame Laroche </w:t>
      </w:r>
      <w:r w:rsidR="00571896">
        <w:t>est</w:t>
      </w:r>
      <w:r w:rsidR="005B7B30">
        <w:t xml:space="preserve"> qualifié</w:t>
      </w:r>
      <w:r w:rsidR="0063747D">
        <w:t>e</w:t>
      </w:r>
      <w:r w:rsidR="005B7B30">
        <w:t xml:space="preserve"> d’expert</w:t>
      </w:r>
      <w:r w:rsidR="0063747D">
        <w:t>e</w:t>
      </w:r>
      <w:r w:rsidR="005B7B30">
        <w:t xml:space="preserve"> par le Tribunal</w:t>
      </w:r>
      <w:r w:rsidR="00A20501">
        <w:rPr>
          <w:rStyle w:val="Appelnotedebasdep"/>
        </w:rPr>
        <w:footnoteReference w:id="7"/>
      </w:r>
      <w:r w:rsidR="005B7B30">
        <w:t xml:space="preserve">. </w:t>
      </w:r>
      <w:r w:rsidR="009D2E28">
        <w:t>Une expertise-analyse du dossier de la travailleuse du 30 avril 2019 a été déposé</w:t>
      </w:r>
      <w:r w:rsidR="0063747D">
        <w:t>e</w:t>
      </w:r>
      <w:r w:rsidR="009D2E28">
        <w:t xml:space="preserve"> en preuve</w:t>
      </w:r>
      <w:r w:rsidR="00655053">
        <w:t xml:space="preserve"> au soutien de son témoignage</w:t>
      </w:r>
      <w:r w:rsidR="009D2E28">
        <w:t>.</w:t>
      </w:r>
    </w:p>
    <w:p w14:paraId="223A2EA9" w14:textId="68D459E3" w:rsidR="009D2E28" w:rsidRDefault="00316785" w:rsidP="00AC5155">
      <w:pPr>
        <w:pStyle w:val="corpsdedcision"/>
      </w:pPr>
      <w:r>
        <w:t>Du témoignage de madame Laroche, le Tribunal retient r</w:t>
      </w:r>
      <w:r w:rsidR="009D2E28">
        <w:t>elativement</w:t>
      </w:r>
      <w:r w:rsidR="00BC5625">
        <w:t xml:space="preserve"> à l’absence d’encoche à l’audiogramme de la travailleuse,</w:t>
      </w:r>
      <w:r>
        <w:t xml:space="preserve"> ce qui suit.</w:t>
      </w:r>
      <w:r w:rsidR="00AF383C">
        <w:t xml:space="preserve"> </w:t>
      </w:r>
    </w:p>
    <w:p w14:paraId="2D1CD7EC" w14:textId="77777777" w:rsidR="00163CD8" w:rsidRDefault="00163CD8" w:rsidP="00AC5155">
      <w:pPr>
        <w:pStyle w:val="corpsdedcision"/>
      </w:pPr>
      <w:r>
        <w:t xml:space="preserve">Les seuils auditifs de la travailleuse sont très près ou en </w:t>
      </w:r>
      <w:r w:rsidR="003E5A5D">
        <w:t>deçà</w:t>
      </w:r>
      <w:r>
        <w:t xml:space="preserve"> des plus sensibles à </w:t>
      </w:r>
      <w:r w:rsidR="002500CD">
        <w:t>l’effet</w:t>
      </w:r>
      <w:r>
        <w:t xml:space="preserve"> d’âge. Elle se retrouve dans le 10</w:t>
      </w:r>
      <w:r w:rsidRPr="00163CD8">
        <w:rPr>
          <w:vertAlign w:val="superscript"/>
        </w:rPr>
        <w:t>e</w:t>
      </w:r>
      <w:r>
        <w:t xml:space="preserve"> percentile pour une femme de 77 ans. Elle obtient ce résultat pour les fréquences de 500 à 3000 Hz à l’oreille gauche et aux fréquences de 500 à 40000 H</w:t>
      </w:r>
      <w:r w:rsidR="0063747D">
        <w:t>z</w:t>
      </w:r>
      <w:r>
        <w:t xml:space="preserve"> pour </w:t>
      </w:r>
      <w:r w:rsidR="00A67CF2">
        <w:t>l’oreille</w:t>
      </w:r>
      <w:r>
        <w:t xml:space="preserve"> droite</w:t>
      </w:r>
      <w:r w:rsidR="00A67CF2">
        <w:t>. Comme la travailleuse n’a pas d’histoire personnelle, d’historique familial de surdité</w:t>
      </w:r>
      <w:r w:rsidR="0048286A">
        <w:t xml:space="preserve"> qui affecte les fréquences audiométriques normalement affecté</w:t>
      </w:r>
      <w:r w:rsidR="0063747D">
        <w:t>es</w:t>
      </w:r>
      <w:r w:rsidR="0048286A">
        <w:t xml:space="preserve"> par le bruit, la probabilité </w:t>
      </w:r>
      <w:r w:rsidR="002A7E19">
        <w:t>que la cause soit l’exposition au bruit est importante.</w:t>
      </w:r>
    </w:p>
    <w:p w14:paraId="469439FF" w14:textId="47BB83F6" w:rsidR="002A7E19" w:rsidRDefault="002A7E19" w:rsidP="00AC5155">
      <w:pPr>
        <w:pStyle w:val="corpsdedcision"/>
      </w:pPr>
      <w:r>
        <w:t xml:space="preserve">La travailleuse est </w:t>
      </w:r>
      <w:r w:rsidR="00EA1311">
        <w:t>affectée</w:t>
      </w:r>
      <w:r>
        <w:t xml:space="preserve"> d’un problème tubulaire à </w:t>
      </w:r>
      <w:r w:rsidR="00D83A88">
        <w:t>l’oreille</w:t>
      </w:r>
      <w:r>
        <w:t xml:space="preserve"> gauche.</w:t>
      </w:r>
      <w:r w:rsidR="005127CA">
        <w:t xml:space="preserve"> Il s’agit d’une problématique au niveau de l’équilibrage des pressions.</w:t>
      </w:r>
      <w:r>
        <w:t xml:space="preserve"> M</w:t>
      </w:r>
      <w:r w:rsidR="007A0136">
        <w:t>ada</w:t>
      </w:r>
      <w:r>
        <w:t>me Laroche explique qu’il n’est pas possi</w:t>
      </w:r>
      <w:r w:rsidR="003E5A5D">
        <w:t xml:space="preserve">ble que cette pathologie entre </w:t>
      </w:r>
      <w:r>
        <w:t>e</w:t>
      </w:r>
      <w:r w:rsidR="003E5A5D">
        <w:t>n</w:t>
      </w:r>
      <w:r>
        <w:t xml:space="preserve"> ligne de compte dans la surdité de la travailleuse. </w:t>
      </w:r>
      <w:r w:rsidR="00D83A88">
        <w:t xml:space="preserve">Cette affection </w:t>
      </w:r>
      <w:r w:rsidR="003E5A5D">
        <w:t>se situe à</w:t>
      </w:r>
      <w:r w:rsidR="00D83A88">
        <w:t xml:space="preserve"> la fréquence de 250</w:t>
      </w:r>
      <w:r w:rsidR="00A20501">
        <w:t xml:space="preserve"> </w:t>
      </w:r>
      <w:r w:rsidR="00D83A88">
        <w:t xml:space="preserve">Hz. Cette fréquence n’est pas reconnue comme étant une fréquence </w:t>
      </w:r>
      <w:r w:rsidR="00EA1311">
        <w:t>affectée</w:t>
      </w:r>
      <w:r w:rsidR="00D83A88">
        <w:t xml:space="preserve"> par le bruit. </w:t>
      </w:r>
      <w:r w:rsidR="00EA1311">
        <w:t>D</w:t>
      </w:r>
      <w:r w:rsidR="005127CA">
        <w:t>’</w:t>
      </w:r>
      <w:r w:rsidR="00EA1311">
        <w:t>a</w:t>
      </w:r>
      <w:r w:rsidR="009B260B">
        <w:t>i</w:t>
      </w:r>
      <w:r w:rsidR="00EA1311">
        <w:t>lleurs</w:t>
      </w:r>
      <w:r w:rsidR="00D83A88">
        <w:t xml:space="preserve">, elle n’est pas </w:t>
      </w:r>
      <w:r w:rsidR="00EA1311">
        <w:t>utilisée</w:t>
      </w:r>
      <w:r w:rsidR="00D83A88">
        <w:t xml:space="preserve"> par la Commi</w:t>
      </w:r>
      <w:r w:rsidR="00EA1311">
        <w:t>ss</w:t>
      </w:r>
      <w:r w:rsidR="00D83A88">
        <w:t>ion dans le calcul de la perte auditive.</w:t>
      </w:r>
      <w:r w:rsidR="009B260B">
        <w:t xml:space="preserve"> Le Tribunal se range aux explications de l’audiologiste et exclu</w:t>
      </w:r>
      <w:r w:rsidR="00A20501">
        <w:t>t</w:t>
      </w:r>
      <w:r w:rsidR="009B260B">
        <w:t xml:space="preserve"> cette pathologie comme pouvant être la source de la surdité de la travailleuse o</w:t>
      </w:r>
      <w:r w:rsidR="00FE2BBE">
        <w:t>u</w:t>
      </w:r>
      <w:r w:rsidR="009B260B">
        <w:t xml:space="preserve"> encore ayant pu y contribuer</w:t>
      </w:r>
      <w:r w:rsidR="007A0136">
        <w:t>.</w:t>
      </w:r>
    </w:p>
    <w:p w14:paraId="3F81CD7E" w14:textId="77777777" w:rsidR="003D137A" w:rsidRDefault="007A0136" w:rsidP="004C1B7B">
      <w:pPr>
        <w:pStyle w:val="corpsdedcision"/>
      </w:pPr>
      <w:r>
        <w:t>M</w:t>
      </w:r>
      <w:r w:rsidR="00AF383C">
        <w:t xml:space="preserve">adame Laroche mentionne qu’il n’y a effectivement pas d’encoche sur l’audiogramme de la travailleuse. La contribution du bruit ne peut être </w:t>
      </w:r>
      <w:r w:rsidR="00E71E54">
        <w:t>éliminée</w:t>
      </w:r>
      <w:r w:rsidR="00AF383C">
        <w:t xml:space="preserve"> de ce fait. L’encoche typique de la surdité </w:t>
      </w:r>
      <w:r w:rsidR="00346C66">
        <w:t>professionnelle est plus flagrante à l’audiogramme sur un travailleur qui est relativement jeune. La perte d’audition due à l’âge s’ajoute avec les années à ce</w:t>
      </w:r>
      <w:r w:rsidR="00EC3FBC">
        <w:t>lle due au bruit et estompe cette encoche.</w:t>
      </w:r>
      <w:r w:rsidR="003D137A">
        <w:t xml:space="preserve"> </w:t>
      </w:r>
      <w:r w:rsidR="00EC3FBC">
        <w:t xml:space="preserve"> La perte d’ouïe d</w:t>
      </w:r>
      <w:r w:rsidR="0073030C">
        <w:t>ue</w:t>
      </w:r>
      <w:r w:rsidR="00EC3FBC">
        <w:t xml:space="preserve"> à l’</w:t>
      </w:r>
      <w:r w:rsidR="00446A38">
        <w:t>âge se manifeste tout d’abord</w:t>
      </w:r>
      <w:r w:rsidR="00EC3FBC">
        <w:t xml:space="preserve"> sur les hautes fréquences et s’accroit vers les moyennes fréquences.</w:t>
      </w:r>
      <w:r w:rsidR="000E0893">
        <w:t xml:space="preserve"> </w:t>
      </w:r>
      <w:r w:rsidR="003D137A">
        <w:t>L’effet de l’âge se fait sentir dans les fréquences de 6000 à 8000 Hz.</w:t>
      </w:r>
    </w:p>
    <w:p w14:paraId="71B53D27" w14:textId="5C752505" w:rsidR="00C74B6F" w:rsidRDefault="000E0893" w:rsidP="004C1B7B">
      <w:pPr>
        <w:pStyle w:val="corpsdedcision"/>
      </w:pPr>
      <w:r>
        <w:t xml:space="preserve">La norme ISO 1999 utilisée pour prédire la perte auditive conséquente à une exposition aux bruits sur des années démontre que les effets de l’âge et du bruit </w:t>
      </w:r>
      <w:r w:rsidR="00CE7ECB">
        <w:t>évoluent</w:t>
      </w:r>
      <w:r>
        <w:t xml:space="preserve"> en synergie</w:t>
      </w:r>
      <w:r w:rsidR="008234BA">
        <w:t xml:space="preserve">. </w:t>
      </w:r>
      <w:r w:rsidR="00316785">
        <w:t xml:space="preserve">Il n’est pas possible de distinguer la perte auditive d’un individu </w:t>
      </w:r>
      <w:r w:rsidR="008234BA">
        <w:t>provoquée par</w:t>
      </w:r>
      <w:r w:rsidR="00316785">
        <w:t xml:space="preserve"> l’effet de l’âge et de </w:t>
      </w:r>
      <w:r w:rsidR="008234BA">
        <w:t xml:space="preserve">celle provoquée par </w:t>
      </w:r>
      <w:r w:rsidR="00316785">
        <w:t>l’effet de bruit</w:t>
      </w:r>
      <w:r w:rsidR="008234BA">
        <w:t xml:space="preserve">. </w:t>
      </w:r>
      <w:r w:rsidR="00832E77" w:rsidRPr="00F3096F">
        <w:t>Cette norme u</w:t>
      </w:r>
      <w:r w:rsidR="00574BCB" w:rsidRPr="00F3096F">
        <w:t>tilisée permet de déterminer</w:t>
      </w:r>
      <w:r w:rsidR="00832E77" w:rsidRPr="00F3096F">
        <w:t xml:space="preserve"> si le bruit a produit un dommage au-delà de l’effet d’âge.</w:t>
      </w:r>
      <w:r w:rsidR="00E1390D" w:rsidRPr="00F3096F">
        <w:t xml:space="preserve"> Conséquemment, l’absence d’une remontée</w:t>
      </w:r>
      <w:r w:rsidR="00E1390D">
        <w:t xml:space="preserve"> dans ces fréquences est normale chez une travailleuse de </w:t>
      </w:r>
      <w:r w:rsidR="00A20501">
        <w:t>77 </w:t>
      </w:r>
      <w:r w:rsidR="00E1390D">
        <w:t>ans.</w:t>
      </w:r>
    </w:p>
    <w:p w14:paraId="50F7EDF7" w14:textId="77777777" w:rsidR="004C1B7B" w:rsidRDefault="00291737" w:rsidP="004C1B7B">
      <w:pPr>
        <w:pStyle w:val="corpsdedcision"/>
      </w:pPr>
      <w:r>
        <w:t>Dans un cas comme celui de la travailleuse, madame Laroche explique que la présence d’une atteinte auditive qui s’approche ou dépasse le 10</w:t>
      </w:r>
      <w:r w:rsidRPr="00291737">
        <w:rPr>
          <w:vertAlign w:val="superscript"/>
        </w:rPr>
        <w:t>e</w:t>
      </w:r>
      <w:r>
        <w:t xml:space="preserve"> percentile de l’effet d’âge, c’est-à-dire, pour les gens plus sensibles aux effets de l’âge</w:t>
      </w:r>
      <w:r w:rsidR="00B2486A">
        <w:t>,</w:t>
      </w:r>
      <w:r>
        <w:t xml:space="preserve"> combiné à une </w:t>
      </w:r>
      <w:r w:rsidR="00B2486A">
        <w:t>histoire</w:t>
      </w:r>
      <w:r>
        <w:t xml:space="preserve"> d’</w:t>
      </w:r>
      <w:r w:rsidR="00B2486A">
        <w:t>exposition</w:t>
      </w:r>
      <w:r>
        <w:t xml:space="preserve"> aux bruits et </w:t>
      </w:r>
      <w:r w:rsidR="00B2486A">
        <w:t>en l’absence</w:t>
      </w:r>
      <w:r>
        <w:t xml:space="preserve"> d’autres particularités dans l’histoire de la personne, la perte auditive </w:t>
      </w:r>
      <w:r w:rsidR="00B2486A">
        <w:t>peut être attribué</w:t>
      </w:r>
      <w:r w:rsidR="0073030C">
        <w:t>e</w:t>
      </w:r>
      <w:r w:rsidR="00B2486A">
        <w:t xml:space="preserve"> à l’exposition aux bruit</w:t>
      </w:r>
      <w:r w:rsidR="00663EE1">
        <w:t>s</w:t>
      </w:r>
      <w:r w:rsidR="00B2486A">
        <w:t xml:space="preserve"> même si une partie de cette perte est attribuable à l’âge.</w:t>
      </w:r>
    </w:p>
    <w:p w14:paraId="5270ECAE" w14:textId="15CF8207" w:rsidR="00663EE1" w:rsidRDefault="00663EE1" w:rsidP="004C1B7B">
      <w:pPr>
        <w:pStyle w:val="corpsdedcision"/>
      </w:pPr>
      <w:r>
        <w:t xml:space="preserve">Dans une telle situation, il n’est pas possible de déterminer comment l’audition de la travailleuse aurait décliné </w:t>
      </w:r>
      <w:r w:rsidR="00956BAA">
        <w:t xml:space="preserve">sans l’exposition </w:t>
      </w:r>
      <w:r w:rsidR="00894CB3">
        <w:t>aux bruits</w:t>
      </w:r>
      <w:r w:rsidR="00956BAA">
        <w:t>, uniquement avec l’effet d’âge. Nous devons référer aux probabilités. La norme sert donc de guide. Cette norme ISO 1999 indique que moins de 10</w:t>
      </w:r>
      <w:r w:rsidR="007A0136">
        <w:t> </w:t>
      </w:r>
      <w:r w:rsidR="00956BAA">
        <w:t>% de la population de 7</w:t>
      </w:r>
      <w:r w:rsidR="00EA1653">
        <w:t>7</w:t>
      </w:r>
      <w:r w:rsidR="00956BAA">
        <w:t xml:space="preserve"> ans ont des seuils comparables à ceux de la travailleuse.</w:t>
      </w:r>
      <w:r w:rsidR="00894CB3">
        <w:t xml:space="preserve"> Selon l’analyse qu’en fait madame Laroche, il est probable que les bruits auxquels la travailleuse a été </w:t>
      </w:r>
      <w:r w:rsidR="00547621">
        <w:t>exposée</w:t>
      </w:r>
      <w:r w:rsidR="00894CB3">
        <w:t xml:space="preserve"> </w:t>
      </w:r>
      <w:r w:rsidR="00A20501">
        <w:t>o</w:t>
      </w:r>
      <w:r w:rsidR="00894CB3">
        <w:t>nt contribué à cette perte.</w:t>
      </w:r>
    </w:p>
    <w:p w14:paraId="5134A1C8" w14:textId="77777777" w:rsidR="00951FEA" w:rsidRDefault="00E1390D" w:rsidP="004C1B7B">
      <w:pPr>
        <w:pStyle w:val="corpsdedcision"/>
      </w:pPr>
      <w:r>
        <w:t>La Commission refuse la réclamation de la travailleuse alléguant</w:t>
      </w:r>
      <w:r w:rsidR="009C1235">
        <w:t xml:space="preserve"> qu’elle n’a pas été exposée à des bruits excessifs. </w:t>
      </w:r>
      <w:r w:rsidR="00FC09EA">
        <w:t xml:space="preserve">Il n’y a pas eu d’analyse de l’atteinte auditive </w:t>
      </w:r>
      <w:r w:rsidR="00E07E9F">
        <w:t>apparue</w:t>
      </w:r>
      <w:r w:rsidR="00FC09EA">
        <w:t xml:space="preserve"> à l’audiogramme à savoir si elle présentait les caractéristiques d’une perte auditive engendrée par le bruit.</w:t>
      </w:r>
    </w:p>
    <w:p w14:paraId="6B2F55F0" w14:textId="151A287B" w:rsidR="00E44A69" w:rsidRDefault="00E44A69" w:rsidP="004C1B7B">
      <w:pPr>
        <w:pStyle w:val="corpsdedcision"/>
      </w:pPr>
      <w:r>
        <w:t xml:space="preserve">Les explications apportées par </w:t>
      </w:r>
      <w:r w:rsidR="00B268DE">
        <w:t>m</w:t>
      </w:r>
      <w:r w:rsidR="007A0136">
        <w:t>ada</w:t>
      </w:r>
      <w:r>
        <w:t>me Laroche permettent au Tribunal de conclure que bien qu’il n’y ait pas présence d’une remontée dans les hautes fréquences</w:t>
      </w:r>
      <w:r w:rsidR="004001BC">
        <w:t>, l’atteinte auditive est causée par le bruit.</w:t>
      </w:r>
    </w:p>
    <w:p w14:paraId="1200C1B1" w14:textId="77777777" w:rsidR="004001BC" w:rsidRDefault="004001BC" w:rsidP="004C1B7B">
      <w:pPr>
        <w:pStyle w:val="corpsdedcision"/>
      </w:pPr>
      <w:r>
        <w:t xml:space="preserve">Maintenant que la première condition de la présomption est remplie, il reste à voir si </w:t>
      </w:r>
      <w:r w:rsidR="00210147">
        <w:t>la travailleuse a</w:t>
      </w:r>
      <w:r>
        <w:t xml:space="preserve"> exercé un travail impliquant une exposition au bruit excessif</w:t>
      </w:r>
      <w:r w:rsidR="00210147">
        <w:t>.</w:t>
      </w:r>
    </w:p>
    <w:p w14:paraId="42134D30" w14:textId="77777777" w:rsidR="00D169BD" w:rsidRDefault="00D169BD" w:rsidP="004C1B7B">
      <w:pPr>
        <w:pStyle w:val="corpsdedcision"/>
      </w:pPr>
      <w:r>
        <w:t>La loi ne définit pas la notion de bruit excessif. La jurisprudence s’en remet au sens commun du terme et le défini</w:t>
      </w:r>
      <w:r w:rsidR="0073030C">
        <w:t>t</w:t>
      </w:r>
      <w:r>
        <w:t xml:space="preserve"> ainsi</w:t>
      </w:r>
      <w:r w:rsidR="008E37E6">
        <w:t> : « </w:t>
      </w:r>
      <w:r w:rsidR="008E37E6" w:rsidRPr="00883CF6">
        <w:rPr>
          <w:i/>
          <w:sz w:val="22"/>
          <w:szCs w:val="22"/>
        </w:rPr>
        <w:t xml:space="preserve">bruit qui dépasse la mesure souhaitable ou permise; qui est trop grand; trop important; qui </w:t>
      </w:r>
      <w:r w:rsidR="00DD0673" w:rsidRPr="00883CF6">
        <w:rPr>
          <w:i/>
          <w:sz w:val="22"/>
          <w:szCs w:val="22"/>
        </w:rPr>
        <w:t>excède</w:t>
      </w:r>
      <w:r w:rsidR="008E37E6" w:rsidRPr="00883CF6">
        <w:rPr>
          <w:i/>
          <w:sz w:val="22"/>
          <w:szCs w:val="22"/>
        </w:rPr>
        <w:t xml:space="preserve"> la mesure exagéré</w:t>
      </w:r>
      <w:r w:rsidR="0073030C" w:rsidRPr="00883CF6">
        <w:rPr>
          <w:i/>
          <w:sz w:val="22"/>
          <w:szCs w:val="22"/>
        </w:rPr>
        <w:t>e</w:t>
      </w:r>
      <w:r w:rsidR="008E37E6" w:rsidRPr="00883CF6">
        <w:rPr>
          <w:i/>
          <w:sz w:val="22"/>
          <w:szCs w:val="22"/>
        </w:rPr>
        <w:t>; exorbitant</w:t>
      </w:r>
      <w:r w:rsidR="00EB3A9B">
        <w:t> »</w:t>
      </w:r>
      <w:r w:rsidR="0073030C">
        <w:t>.</w:t>
      </w:r>
      <w:r w:rsidR="00EB3A9B">
        <w:rPr>
          <w:rStyle w:val="Appelnotedebasdep"/>
        </w:rPr>
        <w:footnoteReference w:id="8"/>
      </w:r>
      <w:r w:rsidR="00B02279">
        <w:t xml:space="preserve"> </w:t>
      </w:r>
      <w:r w:rsidR="005B6CB4">
        <w:t>La notion de bruit excessif ne fait donc pas référence à une norme précise ou prédéterminée</w:t>
      </w:r>
      <w:r w:rsidR="00261DF7">
        <w:rPr>
          <w:rStyle w:val="Appelnotedebasdep"/>
        </w:rPr>
        <w:footnoteReference w:id="9"/>
      </w:r>
      <w:r w:rsidR="005B6CB4">
        <w:t>.</w:t>
      </w:r>
      <w:r w:rsidR="00DD0673">
        <w:t xml:space="preserve"> Ainsi, pour bénéficier de la présomption, il faut plus qu’une exposition à un bruit important ou significatif</w:t>
      </w:r>
      <w:r w:rsidR="00261DF7">
        <w:rPr>
          <w:rStyle w:val="Appelnotedebasdep"/>
        </w:rPr>
        <w:footnoteReference w:id="10"/>
      </w:r>
      <w:r w:rsidR="00DD0673">
        <w:t>.</w:t>
      </w:r>
    </w:p>
    <w:p w14:paraId="7984F284" w14:textId="2E091977" w:rsidR="00A355BE" w:rsidRDefault="00A355BE" w:rsidP="004C1B7B">
      <w:pPr>
        <w:pStyle w:val="corpsdedcision"/>
      </w:pPr>
      <w:r>
        <w:t xml:space="preserve">Le fardeau de preuve que doit rencontrer la travailleuse ne nécessite pas  </w:t>
      </w:r>
      <w:r w:rsidR="009A3E15">
        <w:t>qu’elle démontre une durée spécifique d’exposition à un bruit excessif ni à un niveau précis auquel son travail l’expose</w:t>
      </w:r>
      <w:r w:rsidR="00A20501">
        <w:t> :</w:t>
      </w:r>
      <w:r w:rsidR="0065762A">
        <w:t xml:space="preserve"> « </w:t>
      </w:r>
      <w:r w:rsidR="0065762A" w:rsidRPr="00883CF6">
        <w:rPr>
          <w:i/>
          <w:sz w:val="22"/>
          <w:szCs w:val="22"/>
        </w:rPr>
        <w:t>Le choix des termes utilisés par le législateur traduit la volonté de celui-ci de permettre une certaine souplesse en lien avec l’application de la présomption</w:t>
      </w:r>
      <w:r w:rsidR="0065762A">
        <w:t> »</w:t>
      </w:r>
      <w:r w:rsidR="00A20501" w:rsidRPr="00A20501">
        <w:rPr>
          <w:rStyle w:val="Appelnotedebasdep"/>
        </w:rPr>
        <w:t xml:space="preserve"> </w:t>
      </w:r>
      <w:r w:rsidR="00A20501">
        <w:rPr>
          <w:rStyle w:val="Appelnotedebasdep"/>
        </w:rPr>
        <w:footnoteReference w:id="11"/>
      </w:r>
      <w:r w:rsidR="0073030C">
        <w:t>.</w:t>
      </w:r>
    </w:p>
    <w:p w14:paraId="7C58A81D" w14:textId="77777777" w:rsidR="00905CF8" w:rsidRDefault="00905CF8" w:rsidP="004C1B7B">
      <w:pPr>
        <w:pStyle w:val="corpsdedcision"/>
      </w:pPr>
      <w:r>
        <w:t>L’objectif du législateur lorsqu’il édicte une présomption est de faciliter la preuve du lien de causalité entre la lésion et le travail. L’application d’une présomption pour la partie qui s’en prévaut lui évite d’administrer certain</w:t>
      </w:r>
      <w:r w:rsidR="0073030C">
        <w:t>s</w:t>
      </w:r>
      <w:r>
        <w:t xml:space="preserve"> élément</w:t>
      </w:r>
      <w:r w:rsidR="0073030C">
        <w:t>s</w:t>
      </w:r>
      <w:r>
        <w:t xml:space="preserve"> de preuve</w:t>
      </w:r>
      <w:r w:rsidR="0073030C">
        <w:t>,</w:t>
      </w:r>
      <w:r w:rsidR="00A40D16">
        <w:t xml:space="preserve"> </w:t>
      </w:r>
      <w:r w:rsidR="0073030C">
        <w:t>d</w:t>
      </w:r>
      <w:r w:rsidR="00A40D16">
        <w:t>ont la démonstration peut être plus complexe, technique et surtout onéreuse</w:t>
      </w:r>
      <w:r w:rsidR="00261DF7">
        <w:rPr>
          <w:rStyle w:val="Appelnotedebasdep"/>
        </w:rPr>
        <w:footnoteReference w:id="12"/>
      </w:r>
      <w:r w:rsidR="00A40D16">
        <w:t>.</w:t>
      </w:r>
    </w:p>
    <w:p w14:paraId="70364B9B" w14:textId="77777777" w:rsidR="00286705" w:rsidRDefault="00286705" w:rsidP="004C1B7B">
      <w:pPr>
        <w:pStyle w:val="corpsdedcision"/>
      </w:pPr>
      <w:r>
        <w:t xml:space="preserve">Dans l’affaire </w:t>
      </w:r>
      <w:r w:rsidRPr="00883CF6">
        <w:rPr>
          <w:i/>
        </w:rPr>
        <w:t>Tremblay et Carrière Richard Poudrette inc.</w:t>
      </w:r>
      <w:r>
        <w:rPr>
          <w:rStyle w:val="Appelnotedebasdep"/>
        </w:rPr>
        <w:footnoteReference w:id="13"/>
      </w:r>
      <w:r>
        <w:t xml:space="preserve"> </w:t>
      </w:r>
      <w:r w:rsidR="005510A4">
        <w:t xml:space="preserve">en </w:t>
      </w:r>
      <w:r w:rsidR="002500CD">
        <w:t>application</w:t>
      </w:r>
      <w:r w:rsidR="005510A4">
        <w:t xml:space="preserve"> de la présomption dans le cadre d’une atteinte auditive due à </w:t>
      </w:r>
      <w:r w:rsidR="002500CD">
        <w:t>l’exposition</w:t>
      </w:r>
      <w:r w:rsidR="005510A4">
        <w:t xml:space="preserve"> à un bruit excessif, le Tribunal s’exprime ainsi :</w:t>
      </w:r>
    </w:p>
    <w:p w14:paraId="6DFF68E0" w14:textId="07F53E48" w:rsidR="00261DF7" w:rsidRPr="007A2D07" w:rsidRDefault="005510A4" w:rsidP="00883CF6">
      <w:pPr>
        <w:pStyle w:val="citation"/>
      </w:pPr>
      <w:r w:rsidRPr="003F129E">
        <w:t>[22]</w:t>
      </w:r>
      <w:r w:rsidRPr="003F129E">
        <w:tab/>
      </w:r>
      <w:r w:rsidRPr="007A2D07">
        <w:t>Précisons également que la jurisprudence considère qu’il n’</w:t>
      </w:r>
      <w:r w:rsidR="003F129E" w:rsidRPr="007A2D07">
        <w:t>y a pas lieu, aux fins</w:t>
      </w:r>
      <w:r w:rsidRPr="007A2D07">
        <w:t xml:space="preserve"> de l’application de la présomption de maladie professionnelle, d’exiger du travail</w:t>
      </w:r>
      <w:r w:rsidR="007A2D07" w:rsidRPr="007A2D07">
        <w:t>leur</w:t>
      </w:r>
      <w:r w:rsidRPr="007A2D07">
        <w:t xml:space="preserve">, la preuve d’une étude de bruit spécifique à un emploi en particulier pour démontrer que celui-ci est à l’origine de l’exposition à un bruit excessif. La jurisprudence </w:t>
      </w:r>
      <w:r w:rsidR="003F129E" w:rsidRPr="007A2D07">
        <w:t>indique plutôt que « </w:t>
      </w:r>
      <w:r w:rsidR="003F129E" w:rsidRPr="007A2D07">
        <w:rPr>
          <w:i/>
          <w:sz w:val="18"/>
          <w:szCs w:val="18"/>
        </w:rPr>
        <w:t xml:space="preserve">le travailleur doit faire une démonstration raisonnable, par une preuve de reconnaissance générale du milieu de travail, </w:t>
      </w:r>
      <w:r w:rsidR="002A14B1" w:rsidRPr="007A2D07">
        <w:rPr>
          <w:i/>
          <w:sz w:val="18"/>
          <w:szCs w:val="18"/>
        </w:rPr>
        <w:t>dans la mesure où</w:t>
      </w:r>
      <w:r w:rsidR="003F129E" w:rsidRPr="007A2D07">
        <w:rPr>
          <w:i/>
          <w:sz w:val="18"/>
          <w:szCs w:val="18"/>
        </w:rPr>
        <w:t xml:space="preserve"> cette preuve </w:t>
      </w:r>
      <w:r w:rsidR="002A14B1" w:rsidRPr="007A2D07">
        <w:rPr>
          <w:i/>
          <w:sz w:val="18"/>
          <w:szCs w:val="18"/>
        </w:rPr>
        <w:t>est</w:t>
      </w:r>
      <w:r w:rsidR="003F129E" w:rsidRPr="007A2D07">
        <w:rPr>
          <w:i/>
          <w:sz w:val="18"/>
          <w:szCs w:val="18"/>
        </w:rPr>
        <w:t xml:space="preserve"> appuyée sur des données indépendantes et non seulement sur de simples allégations</w:t>
      </w:r>
      <w:r w:rsidR="004D1125" w:rsidRPr="007A2D07">
        <w:t> »</w:t>
      </w:r>
      <w:r w:rsidR="003F129E" w:rsidRPr="007A2D07">
        <w:t>.</w:t>
      </w:r>
    </w:p>
    <w:p w14:paraId="7A67450B" w14:textId="77777777" w:rsidR="004D1125" w:rsidRPr="007A2D07" w:rsidRDefault="004D1125" w:rsidP="00883CF6">
      <w:pPr>
        <w:pStyle w:val="citation"/>
      </w:pPr>
    </w:p>
    <w:p w14:paraId="66D0B7F2" w14:textId="77777777" w:rsidR="004D1125" w:rsidRPr="00883CF6" w:rsidRDefault="004D1125" w:rsidP="00883CF6">
      <w:pPr>
        <w:pStyle w:val="citation"/>
        <w:rPr>
          <w:sz w:val="22"/>
          <w:szCs w:val="22"/>
        </w:rPr>
      </w:pPr>
      <w:r w:rsidRPr="007A2D07">
        <w:rPr>
          <w:rFonts w:cs="Arial"/>
          <w:sz w:val="22"/>
          <w:szCs w:val="22"/>
        </w:rPr>
        <w:t>[Note omise]</w:t>
      </w:r>
    </w:p>
    <w:p w14:paraId="702DAFFA" w14:textId="77777777" w:rsidR="00261DF7" w:rsidRDefault="00261DF7" w:rsidP="00883CF6">
      <w:pPr>
        <w:pStyle w:val="citation"/>
      </w:pPr>
    </w:p>
    <w:p w14:paraId="23C50DB2" w14:textId="77777777" w:rsidR="005510A4" w:rsidRPr="003F129E" w:rsidRDefault="003F129E" w:rsidP="00883CF6">
      <w:pPr>
        <w:pStyle w:val="citation"/>
      </w:pPr>
      <w:r w:rsidRPr="003F129E">
        <w:t> </w:t>
      </w:r>
    </w:p>
    <w:p w14:paraId="59AB3383" w14:textId="2E22BFCD" w:rsidR="005510A4" w:rsidRDefault="00F56C2A" w:rsidP="004C1B7B">
      <w:pPr>
        <w:pStyle w:val="corpsdedcision"/>
      </w:pPr>
      <w:r>
        <w:t xml:space="preserve">Le degré de preuve requis va au-delà de simples allégations ou </w:t>
      </w:r>
      <w:r w:rsidR="00984711">
        <w:t>d’impressions</w:t>
      </w:r>
      <w:r>
        <w:t xml:space="preserve"> subjectives dépourvues d’un minimum d’éléments objectifs. Cependant, il est possible pour le travailleur de faire</w:t>
      </w:r>
      <w:r w:rsidR="00984711">
        <w:t xml:space="preserve"> </w:t>
      </w:r>
      <w:r>
        <w:t>la preuve de certains éléments de base</w:t>
      </w:r>
      <w:r w:rsidR="00984711">
        <w:t xml:space="preserve"> </w:t>
      </w:r>
      <w:r w:rsidR="0030789C">
        <w:t xml:space="preserve">qui permettent l’application de la présomption. Une fois les critères de la présomption </w:t>
      </w:r>
      <w:r w:rsidR="00984711">
        <w:t>remplie</w:t>
      </w:r>
      <w:r w:rsidR="0030789C">
        <w:t>, l’employeur a la possibilité de renverser la présomption en faisant la démonstration que l’</w:t>
      </w:r>
      <w:r w:rsidR="00984711">
        <w:t>atteinte auditive n’</w:t>
      </w:r>
      <w:r w:rsidR="0030789C">
        <w:t xml:space="preserve">est pas de nature </w:t>
      </w:r>
      <w:r w:rsidR="00984711">
        <w:t>professionnelle</w:t>
      </w:r>
      <w:r w:rsidR="0030789C">
        <w:t>.</w:t>
      </w:r>
    </w:p>
    <w:p w14:paraId="17E41E3B" w14:textId="77777777" w:rsidR="00984711" w:rsidRDefault="00984711" w:rsidP="004C1B7B">
      <w:pPr>
        <w:pStyle w:val="corpsdedcision"/>
      </w:pPr>
      <w:r>
        <w:t xml:space="preserve">Le Tribunal fait référence à l’affaire </w:t>
      </w:r>
      <w:r w:rsidRPr="00883CF6">
        <w:rPr>
          <w:i/>
        </w:rPr>
        <w:t>Grenier et Garage F. Cossette inc.</w:t>
      </w:r>
      <w:r w:rsidR="00B04E9F">
        <w:rPr>
          <w:rStyle w:val="Appelnotedebasdep"/>
        </w:rPr>
        <w:footnoteReference w:id="14"/>
      </w:r>
      <w:r w:rsidR="004D1125">
        <w:rPr>
          <w:i/>
        </w:rPr>
        <w:t> </w:t>
      </w:r>
      <w:r w:rsidR="004D1125" w:rsidRPr="00883CF6">
        <w:t>:</w:t>
      </w:r>
      <w:r>
        <w:t xml:space="preserve"> </w:t>
      </w:r>
    </w:p>
    <w:p w14:paraId="256877A8" w14:textId="0624DF96" w:rsidR="000C0860" w:rsidRDefault="004D1125" w:rsidP="00883CF6">
      <w:pPr>
        <w:pStyle w:val="citation"/>
      </w:pPr>
      <w:r>
        <w:rPr>
          <w:rFonts w:cs="Arial"/>
        </w:rPr>
        <w:t>[</w:t>
      </w:r>
      <w:r w:rsidR="00B04E9F" w:rsidRPr="000C0860">
        <w:t xml:space="preserve">65] De l’avis du Tribunal, la combinaison entre une preuve testimoniale fiable présentée par un travailleur à </w:t>
      </w:r>
      <w:r w:rsidR="000C0860" w:rsidRPr="000C0860">
        <w:t>l’audience</w:t>
      </w:r>
      <w:r w:rsidR="00B04E9F" w:rsidRPr="000C0860">
        <w:t xml:space="preserve"> et les données provenant d’étude</w:t>
      </w:r>
      <w:r w:rsidR="000A2A3F">
        <w:t>s</w:t>
      </w:r>
      <w:r w:rsidR="00B04E9F" w:rsidRPr="000C0860">
        <w:t xml:space="preserve"> effectuées dans un contexte de travail </w:t>
      </w:r>
      <w:r w:rsidR="00B04E9F" w:rsidRPr="007A2D07">
        <w:t xml:space="preserve">similaire et transposable à celui du travailleur, le tout présenté et analysé avec rigueur, </w:t>
      </w:r>
      <w:r w:rsidR="007A2D07" w:rsidRPr="007A2D07">
        <w:t>sert</w:t>
      </w:r>
      <w:r w:rsidR="00B04E9F" w:rsidRPr="007A2D07">
        <w:t xml:space="preserve"> mieux les </w:t>
      </w:r>
      <w:r w:rsidR="000C0860" w:rsidRPr="007A2D07">
        <w:t>intérêts</w:t>
      </w:r>
      <w:r w:rsidR="00B04E9F" w:rsidRPr="007A2D07">
        <w:t xml:space="preserve"> de la justice, car s’attendre à ce qu’un travailleur produise dans tous les cas des mesures pour chacune des situations d’exposition au bruit serait démesuré</w:t>
      </w:r>
      <w:r w:rsidRPr="007A2D07">
        <w:rPr>
          <w:vertAlign w:val="superscript"/>
        </w:rPr>
        <w:t>10</w:t>
      </w:r>
      <w:r w:rsidRPr="007A2D07">
        <w:t>.</w:t>
      </w:r>
    </w:p>
    <w:p w14:paraId="33C320AE" w14:textId="77777777" w:rsidR="004D1125" w:rsidRDefault="004D1125" w:rsidP="00883CF6">
      <w:pPr>
        <w:pStyle w:val="citation"/>
      </w:pPr>
    </w:p>
    <w:p w14:paraId="5FC972F9" w14:textId="77777777" w:rsidR="004D1125" w:rsidRPr="007E7D0C" w:rsidRDefault="004D1125" w:rsidP="004D1125">
      <w:pPr>
        <w:pStyle w:val="citation"/>
        <w:rPr>
          <w:sz w:val="22"/>
          <w:szCs w:val="22"/>
        </w:rPr>
      </w:pPr>
      <w:r w:rsidRPr="007E7D0C">
        <w:rPr>
          <w:rFonts w:cs="Arial"/>
          <w:sz w:val="22"/>
          <w:szCs w:val="22"/>
        </w:rPr>
        <w:t>[Note omise]</w:t>
      </w:r>
    </w:p>
    <w:p w14:paraId="4E4CAA66" w14:textId="77777777" w:rsidR="004D1125" w:rsidRDefault="004D1125" w:rsidP="00883CF6">
      <w:pPr>
        <w:pStyle w:val="citation"/>
      </w:pPr>
    </w:p>
    <w:p w14:paraId="6E31F321" w14:textId="77777777" w:rsidR="004D1125" w:rsidRPr="000C0860" w:rsidRDefault="004D1125" w:rsidP="00883CF6">
      <w:pPr>
        <w:pStyle w:val="citation"/>
      </w:pPr>
    </w:p>
    <w:p w14:paraId="0D491E4B" w14:textId="12D04381" w:rsidR="003778FB" w:rsidRDefault="002A184D" w:rsidP="000C0860">
      <w:pPr>
        <w:pStyle w:val="corpsdedcision"/>
      </w:pPr>
      <w:r>
        <w:t xml:space="preserve">La travailleuse a témoigné à </w:t>
      </w:r>
      <w:r w:rsidR="001569AC">
        <w:t>l’effet</w:t>
      </w:r>
      <w:r>
        <w:t xml:space="preserve"> qu’elle a été </w:t>
      </w:r>
      <w:r w:rsidR="001569AC">
        <w:t>exposée</w:t>
      </w:r>
      <w:r>
        <w:t xml:space="preserve"> à des bruits excessifs pendant sa carrière. La travailleuse a occupé divers emplois dans le domaine de la restauration</w:t>
      </w:r>
      <w:r w:rsidR="008918DE">
        <w:rPr>
          <w:rStyle w:val="Appelnotedebasdep"/>
        </w:rPr>
        <w:footnoteReference w:id="15"/>
      </w:r>
      <w:r>
        <w:t xml:space="preserve">. Elle a occupé des postes de serveuses et de </w:t>
      </w:r>
      <w:r w:rsidR="001569AC">
        <w:t>cuisinières</w:t>
      </w:r>
      <w:r>
        <w:t xml:space="preserve"> dans divers type</w:t>
      </w:r>
      <w:r w:rsidR="000A2A3F">
        <w:t>s</w:t>
      </w:r>
      <w:r>
        <w:t xml:space="preserve"> d’établissement</w:t>
      </w:r>
      <w:r w:rsidR="000A2A3F">
        <w:t>s</w:t>
      </w:r>
      <w:r>
        <w:t xml:space="preserve">. Quelquefois, les deux postes étaient </w:t>
      </w:r>
      <w:r w:rsidR="001569AC">
        <w:t>combinés</w:t>
      </w:r>
      <w:r>
        <w:t xml:space="preserve">. Elle a travaillé dans des </w:t>
      </w:r>
      <w:r w:rsidR="003778FB">
        <w:t>restaurants</w:t>
      </w:r>
      <w:r>
        <w:t xml:space="preserve"> de type familial où la clientèle est nombreuse, l</w:t>
      </w:r>
      <w:r w:rsidR="003778FB">
        <w:t>e rythme est rapide et les allées</w:t>
      </w:r>
      <w:r>
        <w:t xml:space="preserve"> et venu</w:t>
      </w:r>
      <w:r w:rsidR="003778FB">
        <w:t>e</w:t>
      </w:r>
      <w:r>
        <w:t>s en cuisine</w:t>
      </w:r>
      <w:r w:rsidR="006A03B0">
        <w:t xml:space="preserve"> sont </w:t>
      </w:r>
      <w:r w:rsidR="003778FB">
        <w:t>expéditives</w:t>
      </w:r>
      <w:r w:rsidR="006A03B0">
        <w:t>. Il est nécessaire de parler fort</w:t>
      </w:r>
      <w:r w:rsidR="003778FB">
        <w:t>,</w:t>
      </w:r>
      <w:r w:rsidR="006A03B0">
        <w:t xml:space="preserve"> voir</w:t>
      </w:r>
      <w:r w:rsidR="000A2A3F">
        <w:t>e</w:t>
      </w:r>
      <w:r w:rsidR="006A03B0">
        <w:t xml:space="preserve"> crier</w:t>
      </w:r>
      <w:r w:rsidR="003778FB">
        <w:t>,</w:t>
      </w:r>
      <w:r w:rsidR="006A03B0">
        <w:t xml:space="preserve"> pour se faire comprendre</w:t>
      </w:r>
      <w:r w:rsidR="003778FB">
        <w:t xml:space="preserve"> des collègues et des gens en cuisine. L</w:t>
      </w:r>
      <w:r w:rsidR="006A03B0">
        <w:t>es hottes, les lave-vaisselle</w:t>
      </w:r>
      <w:r w:rsidR="00F3096F">
        <w:t>s</w:t>
      </w:r>
      <w:r w:rsidR="003778FB">
        <w:t>, les appareils de cuisines</w:t>
      </w:r>
      <w:r w:rsidR="006A03B0">
        <w:t xml:space="preserve"> fonctionnent en continu et sont bruyants</w:t>
      </w:r>
      <w:r w:rsidR="001569AC">
        <w:t xml:space="preserve">. </w:t>
      </w:r>
    </w:p>
    <w:p w14:paraId="491BECE6" w14:textId="7AF935D1" w:rsidR="000C0860" w:rsidRDefault="001569AC" w:rsidP="000C0860">
      <w:pPr>
        <w:pStyle w:val="corpsdedcision"/>
      </w:pPr>
      <w:r>
        <w:t>Elle a également travaill</w:t>
      </w:r>
      <w:r w:rsidR="00B3776D">
        <w:t>é</w:t>
      </w:r>
      <w:r>
        <w:t xml:space="preserve"> pour des salles de réception. </w:t>
      </w:r>
      <w:r w:rsidR="00E0546F">
        <w:t xml:space="preserve">À ces endroits, elle débutait ses journées </w:t>
      </w:r>
      <w:r w:rsidR="00F719C1">
        <w:t>à la préparation</w:t>
      </w:r>
      <w:r w:rsidR="00E0546F">
        <w:t xml:space="preserve"> des aliments. Il s’agissait de réception dans de grandes salles et ils servaient entre 300 et 400 personnes.</w:t>
      </w:r>
      <w:r w:rsidR="006B6BFD">
        <w:t xml:space="preserve"> Dans cet emploi, le rythme était rapide. La </w:t>
      </w:r>
      <w:r w:rsidR="000443ED">
        <w:t>vaisselle</w:t>
      </w:r>
      <w:r w:rsidR="006B6BFD">
        <w:t xml:space="preserve"> et les chaudron</w:t>
      </w:r>
      <w:r w:rsidR="000443ED">
        <w:t>s</w:t>
      </w:r>
      <w:r w:rsidR="006B6BFD">
        <w:t xml:space="preserve"> s’entrechoq</w:t>
      </w:r>
      <w:r w:rsidR="008C4D1D">
        <w:t>uent</w:t>
      </w:r>
      <w:r w:rsidR="006B6BFD">
        <w:t xml:space="preserve">. La clientèle étant nombreuse, les instruments pour faire la cuisine </w:t>
      </w:r>
      <w:r w:rsidR="008C4D1D">
        <w:t>étaient</w:t>
      </w:r>
      <w:r w:rsidR="006B6BFD">
        <w:t xml:space="preserve"> gros</w:t>
      </w:r>
      <w:r w:rsidR="00B3776D">
        <w:t>,</w:t>
      </w:r>
      <w:r w:rsidR="006B6BFD">
        <w:t xml:space="preserve"> massif</w:t>
      </w:r>
      <w:r w:rsidR="00B3776D">
        <w:t>s</w:t>
      </w:r>
      <w:r w:rsidR="006B6BFD">
        <w:t xml:space="preserve"> et le bruit qu’ils </w:t>
      </w:r>
      <w:r w:rsidR="008C4D1D">
        <w:t>occasionnent</w:t>
      </w:r>
      <w:r w:rsidR="006B6BFD">
        <w:t xml:space="preserve"> est</w:t>
      </w:r>
      <w:r w:rsidR="00890263">
        <w:t xml:space="preserve"> assourdissant. La</w:t>
      </w:r>
      <w:r w:rsidR="006B6BFD">
        <w:t xml:space="preserve"> vaisselle </w:t>
      </w:r>
      <w:r w:rsidR="00265051">
        <w:t>utilisée</w:t>
      </w:r>
      <w:r w:rsidR="006B6BFD">
        <w:t xml:space="preserve"> est en céramique épaisse et elle fait beaucoup de bruit quand elle e</w:t>
      </w:r>
      <w:r w:rsidR="00265051">
        <w:t xml:space="preserve">st manipulée pour le service, </w:t>
      </w:r>
      <w:r w:rsidR="006B6BFD">
        <w:t xml:space="preserve">quand il faut </w:t>
      </w:r>
      <w:r w:rsidR="008C4D1D">
        <w:t>débarrasser</w:t>
      </w:r>
      <w:r w:rsidR="006B6BFD">
        <w:t xml:space="preserve"> </w:t>
      </w:r>
      <w:r w:rsidR="00265051">
        <w:t xml:space="preserve">et </w:t>
      </w:r>
      <w:r w:rsidR="006B6BFD">
        <w:t>davantage quand elle se choque ou casse.</w:t>
      </w:r>
      <w:r w:rsidR="00F33FDF">
        <w:t xml:space="preserve"> Dans les cuisines où elle travaille</w:t>
      </w:r>
      <w:r w:rsidR="00B3776D">
        <w:t>,</w:t>
      </w:r>
      <w:r w:rsidR="00F33FDF">
        <w:t xml:space="preserve"> plusieurs </w:t>
      </w:r>
      <w:r w:rsidR="00CE3B7E">
        <w:t>appareils</w:t>
      </w:r>
      <w:r w:rsidR="00F33FDF">
        <w:t xml:space="preserve"> font du bruit, lave-vaisselle, trancheuse industrielle, batteur sur socle et autre</w:t>
      </w:r>
      <w:r w:rsidR="00623481">
        <w:t>s</w:t>
      </w:r>
      <w:r w:rsidR="00F33FDF">
        <w:t xml:space="preserve"> appareil</w:t>
      </w:r>
      <w:r w:rsidR="00623481">
        <w:t>s</w:t>
      </w:r>
      <w:r w:rsidR="00F33FDF">
        <w:t xml:space="preserve"> </w:t>
      </w:r>
      <w:r w:rsidR="00CE3B7E">
        <w:t>électrique</w:t>
      </w:r>
      <w:r w:rsidR="00623481">
        <w:t>s</w:t>
      </w:r>
      <w:r w:rsidR="00F33FDF">
        <w:t xml:space="preserve"> du genre. La vaisselle fait du bruit tant </w:t>
      </w:r>
      <w:r w:rsidR="008918DE">
        <w:t>les couverts</w:t>
      </w:r>
      <w:r w:rsidR="00F33FDF">
        <w:t xml:space="preserve"> que les </w:t>
      </w:r>
      <w:r w:rsidR="00CE3B7E">
        <w:t>ustensiles</w:t>
      </w:r>
      <w:r w:rsidR="00F33FDF">
        <w:t xml:space="preserve"> qui sont manipulé</w:t>
      </w:r>
      <w:r w:rsidR="00B3776D">
        <w:t>s</w:t>
      </w:r>
      <w:r w:rsidR="00F33FDF">
        <w:t xml:space="preserve"> pour être </w:t>
      </w:r>
      <w:r w:rsidR="00693AA0">
        <w:t>déplac</w:t>
      </w:r>
      <w:r w:rsidR="00B3776D">
        <w:t>és</w:t>
      </w:r>
      <w:r w:rsidR="00693AA0">
        <w:t xml:space="preserve">, </w:t>
      </w:r>
      <w:r w:rsidR="00CE3B7E">
        <w:t>lavé</w:t>
      </w:r>
      <w:r w:rsidR="00B3776D">
        <w:t>s,</w:t>
      </w:r>
      <w:r w:rsidR="00693AA0">
        <w:t xml:space="preserve"> etc.</w:t>
      </w:r>
      <w:r w:rsidR="00DB7ADC">
        <w:t xml:space="preserve"> Les hottes de cuisine sont également très bruyantes et elles fonctionnent en permanence.</w:t>
      </w:r>
      <w:r w:rsidR="00693AA0">
        <w:t xml:space="preserve"> La travailleuse doit également parler à la cuisine lorsqu’elle est serveuse à </w:t>
      </w:r>
      <w:r w:rsidR="00CE3B7E">
        <w:t>travers</w:t>
      </w:r>
      <w:r w:rsidR="00693AA0">
        <w:t xml:space="preserve"> un passe</w:t>
      </w:r>
      <w:r w:rsidR="00B374B3">
        <w:t>-</w:t>
      </w:r>
      <w:r w:rsidR="00693AA0">
        <w:t>plat. Pour se faire entendre, elle doit crier.</w:t>
      </w:r>
    </w:p>
    <w:p w14:paraId="4F5C2299" w14:textId="20DBA4EA" w:rsidR="00996832" w:rsidRDefault="00996832" w:rsidP="000C0860">
      <w:pPr>
        <w:pStyle w:val="corpsdedcision"/>
      </w:pPr>
      <w:r>
        <w:t xml:space="preserve">La travailleuse a également </w:t>
      </w:r>
      <w:r w:rsidR="0017499B">
        <w:t>occupé</w:t>
      </w:r>
      <w:r>
        <w:t xml:space="preserve"> un emploi de couturière en 1975-1976. Elle travaille dans une pièce où une dizaine de couturière</w:t>
      </w:r>
      <w:r w:rsidR="00B374B3">
        <w:t>s</w:t>
      </w:r>
      <w:r>
        <w:t xml:space="preserve"> travaille</w:t>
      </w:r>
      <w:r w:rsidR="00623481">
        <w:t>nt</w:t>
      </w:r>
      <w:r>
        <w:t xml:space="preserve"> sur des machine</w:t>
      </w:r>
      <w:r w:rsidR="00B374B3">
        <w:t>s</w:t>
      </w:r>
      <w:r>
        <w:t xml:space="preserve"> à coudre </w:t>
      </w:r>
      <w:r w:rsidR="0017499B">
        <w:t>industrielles</w:t>
      </w:r>
      <w:r>
        <w:t xml:space="preserve">. Elle y travaille 8 heures par jour 5 jours par </w:t>
      </w:r>
      <w:r w:rsidR="0017499B">
        <w:t>semaine</w:t>
      </w:r>
      <w:r>
        <w:t>. La travailleuse allègue être exposé</w:t>
      </w:r>
      <w:r w:rsidR="00B374B3">
        <w:t>e</w:t>
      </w:r>
      <w:r>
        <w:t xml:space="preserve"> à du</w:t>
      </w:r>
      <w:r w:rsidR="0017499B">
        <w:t xml:space="preserve"> bruit excessif dans cet emploi également</w:t>
      </w:r>
      <w:r w:rsidR="00B268DE">
        <w:t>,</w:t>
      </w:r>
      <w:r w:rsidR="0017499B">
        <w:t xml:space="preserve"> bien que l’exposition majoritaire au</w:t>
      </w:r>
      <w:r w:rsidR="00A20501">
        <w:t>x</w:t>
      </w:r>
      <w:r w:rsidR="0017499B">
        <w:t xml:space="preserve"> bruit</w:t>
      </w:r>
      <w:r w:rsidR="00A20501">
        <w:t>s</w:t>
      </w:r>
      <w:r w:rsidR="0017499B">
        <w:t xml:space="preserve"> </w:t>
      </w:r>
      <w:r w:rsidR="00B268DE">
        <w:t>es</w:t>
      </w:r>
      <w:r w:rsidR="00A20501">
        <w:t>t</w:t>
      </w:r>
      <w:r w:rsidR="0017499B">
        <w:t xml:space="preserve"> ce</w:t>
      </w:r>
      <w:r w:rsidR="00B268DE">
        <w:t>lle</w:t>
      </w:r>
      <w:r w:rsidR="0017499B">
        <w:t xml:space="preserve"> dans le domaine de la restauration.</w:t>
      </w:r>
    </w:p>
    <w:p w14:paraId="1CA828C4" w14:textId="77777777" w:rsidR="00996832" w:rsidRDefault="00996832" w:rsidP="000C0860">
      <w:pPr>
        <w:pStyle w:val="corpsdedcision"/>
      </w:pPr>
      <w:r>
        <w:t>La travailleuse est le soutien financier de sa famille. Elle travaille 8 à 10 heures par jour</w:t>
      </w:r>
      <w:r w:rsidR="00FE2BBE">
        <w:t>,</w:t>
      </w:r>
      <w:r>
        <w:t xml:space="preserve"> et ce </w:t>
      </w:r>
      <w:r w:rsidR="0012539D">
        <w:t xml:space="preserve">5 à </w:t>
      </w:r>
      <w:r>
        <w:t>7 jours par semaine. Elle a peu de jour</w:t>
      </w:r>
      <w:r w:rsidR="00B374B3">
        <w:t>s</w:t>
      </w:r>
      <w:r w:rsidR="0012539D">
        <w:t xml:space="preserve"> de repos et elle prend peu de vacances. Elle travaille 50-51 semaines par année. </w:t>
      </w:r>
      <w:r>
        <w:t>Elle a peu de loisir</w:t>
      </w:r>
      <w:r w:rsidR="00B374B3">
        <w:t>s</w:t>
      </w:r>
      <w:r>
        <w:t xml:space="preserve"> donc rien en apparence dans sa vie personnelle </w:t>
      </w:r>
      <w:r w:rsidR="00B374B3">
        <w:t xml:space="preserve">ne </w:t>
      </w:r>
      <w:r>
        <w:t>l’expose à du bruit pouvant affecter son ouïe.</w:t>
      </w:r>
    </w:p>
    <w:p w14:paraId="7A30B13B" w14:textId="77777777" w:rsidR="00693AA0" w:rsidRDefault="00CE3B7E" w:rsidP="000C0860">
      <w:pPr>
        <w:pStyle w:val="corpsdedcision"/>
      </w:pPr>
      <w:r>
        <w:t xml:space="preserve">Le soir, lorsque la travailleuse rentre à la maison, elle a des bourdonnements dans les oreilles. Ce phénomène débute </w:t>
      </w:r>
      <w:r w:rsidR="00D83112">
        <w:t>à la fin des années 70 alors qu’elle travaille pour le</w:t>
      </w:r>
      <w:r w:rsidR="008918DE">
        <w:t xml:space="preserve">s </w:t>
      </w:r>
      <w:r w:rsidR="008918DE" w:rsidRPr="00883CF6">
        <w:rPr>
          <w:i/>
        </w:rPr>
        <w:t>E</w:t>
      </w:r>
      <w:r w:rsidR="00D83112" w:rsidRPr="00883CF6">
        <w:rPr>
          <w:i/>
        </w:rPr>
        <w:t>ntreprises Michel Lussier</w:t>
      </w:r>
      <w:r w:rsidR="008918DE" w:rsidRPr="00883CF6">
        <w:rPr>
          <w:i/>
        </w:rPr>
        <w:t xml:space="preserve"> inc</w:t>
      </w:r>
      <w:r w:rsidR="00D83112" w:rsidRPr="00883CF6">
        <w:rPr>
          <w:i/>
        </w:rPr>
        <w:t>.</w:t>
      </w:r>
    </w:p>
    <w:p w14:paraId="390C0FF5" w14:textId="5BE95498" w:rsidR="009303FF" w:rsidRDefault="0017499B" w:rsidP="000C0860">
      <w:pPr>
        <w:pStyle w:val="corpsdedcision"/>
      </w:pPr>
      <w:r>
        <w:t xml:space="preserve">La travailleuse mentionne que </w:t>
      </w:r>
      <w:r w:rsidR="00B374B3">
        <w:t>depuis</w:t>
      </w:r>
      <w:r>
        <w:t xml:space="preserve"> des années</w:t>
      </w:r>
      <w:r w:rsidR="00B374B3">
        <w:t>,</w:t>
      </w:r>
      <w:r>
        <w:t xml:space="preserve"> elle </w:t>
      </w:r>
      <w:r w:rsidR="00EF2EB6">
        <w:t>entend</w:t>
      </w:r>
      <w:r>
        <w:t xml:space="preserve"> en permanence des </w:t>
      </w:r>
      <w:r w:rsidR="0012539D">
        <w:t>cillements</w:t>
      </w:r>
      <w:r>
        <w:t xml:space="preserve"> dans ses oreilles. </w:t>
      </w:r>
      <w:r w:rsidR="00EF2EB6">
        <w:t>Elle</w:t>
      </w:r>
      <w:r>
        <w:t xml:space="preserve"> doit régulièrement faire répéter les gens lorsqu’il</w:t>
      </w:r>
      <w:r w:rsidR="003024B5">
        <w:t>s</w:t>
      </w:r>
      <w:r>
        <w:t xml:space="preserve"> s’adresse</w:t>
      </w:r>
      <w:r w:rsidR="00623481">
        <w:t>nt</w:t>
      </w:r>
      <w:r w:rsidR="001A13EC">
        <w:t xml:space="preserve"> à elle. </w:t>
      </w:r>
      <w:r w:rsidR="006240AC">
        <w:t xml:space="preserve">Dans </w:t>
      </w:r>
      <w:r w:rsidR="003024B5">
        <w:t>s</w:t>
      </w:r>
      <w:r w:rsidR="006240AC">
        <w:t>es souvenir</w:t>
      </w:r>
      <w:r w:rsidR="00B374B3">
        <w:t>s</w:t>
      </w:r>
      <w:r w:rsidR="006240AC">
        <w:t xml:space="preserve">, la travailleuse identifie </w:t>
      </w:r>
      <w:r w:rsidR="00ED1207">
        <w:t xml:space="preserve">que </w:t>
      </w:r>
      <w:r w:rsidR="006240AC">
        <w:t>ses difficulté</w:t>
      </w:r>
      <w:r w:rsidR="00B374B3">
        <w:t>s</w:t>
      </w:r>
      <w:r w:rsidR="006240AC">
        <w:t xml:space="preserve"> à entendre</w:t>
      </w:r>
      <w:r w:rsidR="00ED1207">
        <w:t xml:space="preserve"> ont débuté avant sa retraite.</w:t>
      </w:r>
      <w:r w:rsidR="006240AC">
        <w:t xml:space="preserve"> Elle remarque que depuis ce moment, elle doit monter le volume du </w:t>
      </w:r>
      <w:r w:rsidR="00EF2EB6">
        <w:t>téléviseur</w:t>
      </w:r>
      <w:r w:rsidR="006240AC">
        <w:t xml:space="preserve">. Elle a toujours </w:t>
      </w:r>
      <w:r w:rsidR="00EF2EB6">
        <w:t>attribué</w:t>
      </w:r>
      <w:r w:rsidR="006240AC">
        <w:t xml:space="preserve"> cette difficulté à entendre à l’écoulement des années.</w:t>
      </w:r>
    </w:p>
    <w:p w14:paraId="1ECCF6A8" w14:textId="77777777" w:rsidR="00F33FDF" w:rsidRDefault="00F33FDF" w:rsidP="000C0860">
      <w:pPr>
        <w:pStyle w:val="corpsdedcision"/>
      </w:pPr>
      <w:r>
        <w:t xml:space="preserve">Dans son témoignage, la travailleuse rapporte que le bruit auquel elle est </w:t>
      </w:r>
      <w:r w:rsidR="008918DE">
        <w:t>exposée</w:t>
      </w:r>
      <w:r>
        <w:t xml:space="preserve"> dans </w:t>
      </w:r>
      <w:r w:rsidR="008918DE">
        <w:t>ses emplois</w:t>
      </w:r>
      <w:r>
        <w:t xml:space="preserve"> la dérange.</w:t>
      </w:r>
      <w:r w:rsidR="008E3E6A">
        <w:t xml:space="preserve"> La travailleuse a r</w:t>
      </w:r>
      <w:r w:rsidR="00EF2EB6">
        <w:t xml:space="preserve">endu un témoignage crédible. Il est manifeste de ce qu’elle </w:t>
      </w:r>
      <w:r w:rsidR="00D314F3">
        <w:t>rapporte</w:t>
      </w:r>
      <w:r w:rsidR="00EF2EB6">
        <w:t xml:space="preserve"> qu’elle travaille dans un milieu où elle est </w:t>
      </w:r>
      <w:r w:rsidR="00C93188">
        <w:t>exposée</w:t>
      </w:r>
      <w:r w:rsidR="00EF2EB6">
        <w:t xml:space="preserve"> constamment </w:t>
      </w:r>
      <w:r w:rsidR="00C93188">
        <w:t>aux bruits</w:t>
      </w:r>
      <w:r w:rsidR="00EF2EB6">
        <w:t>. Le bruit dans ses milieu</w:t>
      </w:r>
      <w:r w:rsidR="00B374B3">
        <w:t>x</w:t>
      </w:r>
      <w:r w:rsidR="00EF2EB6">
        <w:t xml:space="preserve"> de travail l’oblige à lever le ton de la voix pour se faire comprendre de ses collègue</w:t>
      </w:r>
      <w:r w:rsidR="00B374B3">
        <w:t>s</w:t>
      </w:r>
      <w:r w:rsidR="00EF2EB6">
        <w:t xml:space="preserve"> voir même jusqu’</w:t>
      </w:r>
      <w:r w:rsidR="00D314F3">
        <w:t>à</w:t>
      </w:r>
      <w:r w:rsidR="00EF2EB6">
        <w:t xml:space="preserve"> crier. Le bruit auquel elle est </w:t>
      </w:r>
      <w:r w:rsidR="00C93188">
        <w:t>exposée</w:t>
      </w:r>
      <w:r w:rsidR="00EF2EB6">
        <w:t xml:space="preserve"> l’affecte puisque lorsqu’elle quitte son travail, il persiste </w:t>
      </w:r>
      <w:r w:rsidR="00DB7ADC">
        <w:t>des bourdonnements</w:t>
      </w:r>
      <w:r w:rsidR="00EF2EB6">
        <w:t xml:space="preserve"> dans </w:t>
      </w:r>
      <w:r w:rsidR="00C93188">
        <w:t>ses oreilles</w:t>
      </w:r>
      <w:r w:rsidR="00EF2EB6">
        <w:t xml:space="preserve"> et avec les années, elle remarque une </w:t>
      </w:r>
      <w:r w:rsidR="00D314F3">
        <w:t>diminution</w:t>
      </w:r>
      <w:r w:rsidR="00EF2EB6">
        <w:t xml:space="preserve"> de son audition.</w:t>
      </w:r>
    </w:p>
    <w:p w14:paraId="381F5DE7" w14:textId="0C031063" w:rsidR="00D314F3" w:rsidRDefault="00D314F3" w:rsidP="000C0860">
      <w:pPr>
        <w:pStyle w:val="corpsdedcision"/>
      </w:pPr>
      <w:r>
        <w:t>Lors de son tém</w:t>
      </w:r>
      <w:r w:rsidR="00D94E42">
        <w:t>oign</w:t>
      </w:r>
      <w:r w:rsidR="00133B2A">
        <w:t xml:space="preserve">age, </w:t>
      </w:r>
      <w:r w:rsidR="00B374B3">
        <w:t>madame</w:t>
      </w:r>
      <w:r w:rsidR="00133B2A">
        <w:t xml:space="preserve"> Laroche</w:t>
      </w:r>
      <w:r w:rsidR="00E40868">
        <w:t xml:space="preserve"> a admis</w:t>
      </w:r>
      <w:r w:rsidR="00D94E42">
        <w:t xml:space="preserve"> qu’elle n’</w:t>
      </w:r>
      <w:r w:rsidR="00E40868">
        <w:t>a pas bénéficié</w:t>
      </w:r>
      <w:r w:rsidR="00D94E42">
        <w:t xml:space="preserve"> de mesure</w:t>
      </w:r>
      <w:r w:rsidR="00133B2A">
        <w:t>s</w:t>
      </w:r>
      <w:r w:rsidR="00D94E42">
        <w:t xml:space="preserve"> de bruit chez les employeurs de la travailleuse</w:t>
      </w:r>
      <w:r w:rsidR="00E40868">
        <w:t xml:space="preserve">. Elle s’est donc </w:t>
      </w:r>
      <w:r w:rsidR="00133B2A">
        <w:t>référée</w:t>
      </w:r>
      <w:r w:rsidR="00E40868">
        <w:t xml:space="preserve"> à la littérature scientifique pour tenter d’établir </w:t>
      </w:r>
      <w:r w:rsidR="00133B2A">
        <w:t>la dose potentielle de bruit reçue en carrière par la travailleuse</w:t>
      </w:r>
      <w:r w:rsidR="00AD4D64">
        <w:rPr>
          <w:rStyle w:val="Appelnotedebasdep"/>
        </w:rPr>
        <w:footnoteReference w:id="16"/>
      </w:r>
      <w:r w:rsidR="00133B2A">
        <w:t xml:space="preserve">. </w:t>
      </w:r>
      <w:r w:rsidR="00F71705">
        <w:t>Il existe peu d’étude</w:t>
      </w:r>
      <w:r w:rsidR="00A20501">
        <w:t>s</w:t>
      </w:r>
      <w:r w:rsidR="00F71705">
        <w:t xml:space="preserve"> sur les bruits en cuisine. Les études que madame Laroche a </w:t>
      </w:r>
      <w:r w:rsidR="0012539D">
        <w:t>consultées</w:t>
      </w:r>
      <w:r w:rsidR="00F71705">
        <w:t xml:space="preserve"> </w:t>
      </w:r>
      <w:r w:rsidR="0012539D">
        <w:t>rapportent</w:t>
      </w:r>
      <w:r w:rsidR="00F71705">
        <w:t xml:space="preserve"> des valeurs entre 85 et 90 dBA par 8 heures de travail</w:t>
      </w:r>
      <w:r w:rsidR="001C185B">
        <w:t>. Ce sont ces valeurs qui ont servi de base à son analyse de la perte auditive de la travailleuse.</w:t>
      </w:r>
    </w:p>
    <w:p w14:paraId="26623CB6" w14:textId="255276FB" w:rsidR="004C090F" w:rsidRDefault="004C090F" w:rsidP="000C0860">
      <w:pPr>
        <w:pStyle w:val="corpsdedcision"/>
      </w:pPr>
      <w:r>
        <w:t>Par contre, dans ce que rapporte la travailleuse, elle retrouve des indices qui lui permettent d’évaluer le niveau de bruit auquel elle a pu être exposée dans sa carrière.</w:t>
      </w:r>
      <w:r w:rsidR="0024465D">
        <w:t xml:space="preserve"> Entre autre</w:t>
      </w:r>
      <w:r w:rsidR="00B374B3">
        <w:t>s</w:t>
      </w:r>
      <w:r w:rsidR="0024465D">
        <w:t>, que la travailleuse ait à hausser le ton voir</w:t>
      </w:r>
      <w:r w:rsidR="00B374B3">
        <w:t>e</w:t>
      </w:r>
      <w:r w:rsidR="0024465D">
        <w:t xml:space="preserve"> même aller jusqu’à crier pour se faire </w:t>
      </w:r>
      <w:r w:rsidR="00DB7ADC">
        <w:t>entendre</w:t>
      </w:r>
      <w:r w:rsidR="0024465D">
        <w:t xml:space="preserve"> est un indice d’une exposition à un bruit de 85-90 décibels. Les </w:t>
      </w:r>
      <w:r w:rsidR="00DB7ADC">
        <w:t>cillements</w:t>
      </w:r>
      <w:r w:rsidR="0024465D">
        <w:t xml:space="preserve"> et bourdonnement</w:t>
      </w:r>
      <w:r w:rsidR="00B374B3">
        <w:t>s</w:t>
      </w:r>
      <w:r w:rsidR="0024465D">
        <w:t xml:space="preserve"> que la travailleuse ressent et qui perdure</w:t>
      </w:r>
      <w:r w:rsidR="00B374B3">
        <w:t>nt</w:t>
      </w:r>
      <w:r w:rsidR="0024465D">
        <w:t xml:space="preserve"> après la fin de son quart de travail </w:t>
      </w:r>
      <w:r w:rsidR="00B374B3">
        <w:t>son</w:t>
      </w:r>
      <w:r w:rsidR="0024465D">
        <w:t xml:space="preserve">t un autre indice de l’exposition à du bruit à </w:t>
      </w:r>
      <w:r w:rsidR="00673A88">
        <w:t xml:space="preserve">plus de </w:t>
      </w:r>
      <w:r w:rsidR="0024465D">
        <w:t>85 décibels.</w:t>
      </w:r>
    </w:p>
    <w:p w14:paraId="21BFEB22" w14:textId="4DA0C8B1" w:rsidR="00673A88" w:rsidRDefault="00673A88" w:rsidP="000C0860">
      <w:pPr>
        <w:pStyle w:val="corpsdedcision"/>
      </w:pPr>
      <w:r>
        <w:t>M</w:t>
      </w:r>
      <w:r w:rsidR="00887D56">
        <w:t>ada</w:t>
      </w:r>
      <w:r>
        <w:t>me Laroche a pris connaissance de l’historique des emploi</w:t>
      </w:r>
      <w:r w:rsidR="00C93188">
        <w:t>s</w:t>
      </w:r>
      <w:r>
        <w:t xml:space="preserve"> de la travailleuse et e</w:t>
      </w:r>
      <w:r w:rsidR="00D94E42">
        <w:t>lle a retenu qu’elle</w:t>
      </w:r>
      <w:r>
        <w:t xml:space="preserve"> a </w:t>
      </w:r>
      <w:r w:rsidR="00563750">
        <w:t xml:space="preserve">travaillé </w:t>
      </w:r>
      <w:r>
        <w:t xml:space="preserve">dans le domaine de la restauration 18 ans </w:t>
      </w:r>
      <w:r w:rsidR="00D94E42">
        <w:t>dans</w:t>
      </w:r>
      <w:r>
        <w:t xml:space="preserve"> sa vie active</w:t>
      </w:r>
      <w:r w:rsidR="00887D56">
        <w:t>,</w:t>
      </w:r>
      <w:r w:rsidR="00C93188">
        <w:t xml:space="preserve"> soit entre 1969 et 1998</w:t>
      </w:r>
      <w:r>
        <w:t>. Elle estime que la travailleuse a également été exposé</w:t>
      </w:r>
      <w:r w:rsidR="00887D56">
        <w:t>e</w:t>
      </w:r>
      <w:r>
        <w:t xml:space="preserve"> à du bruit dans le cadre de son emploi de couturière</w:t>
      </w:r>
      <w:r w:rsidR="00887D56">
        <w:t>,</w:t>
      </w:r>
      <w:r>
        <w:t xml:space="preserve"> mais elle n’</w:t>
      </w:r>
      <w:r w:rsidR="00D94E42">
        <w:t>a pas considéré</w:t>
      </w:r>
      <w:r>
        <w:t xml:space="preserve"> ces 2 années dans son calcul.</w:t>
      </w:r>
      <w:r w:rsidR="00AE4242">
        <w:t xml:space="preserve"> Selon </w:t>
      </w:r>
      <w:r w:rsidR="001F628F">
        <w:t>les informations rapportées</w:t>
      </w:r>
      <w:r w:rsidR="00AE4242">
        <w:t xml:space="preserve"> par la travailleuse </w:t>
      </w:r>
      <w:r w:rsidR="00345CE1">
        <w:t>quant</w:t>
      </w:r>
      <w:r w:rsidR="00AE4242">
        <w:t xml:space="preserve"> à son temps de travail, dans l’analyse, madame Laroche a retenu que la travailleuse fait 3333</w:t>
      </w:r>
      <w:r w:rsidR="00FE10CB">
        <w:t xml:space="preserve"> heures de</w:t>
      </w:r>
      <w:r w:rsidR="00AE4242">
        <w:t xml:space="preserve"> travail par année</w:t>
      </w:r>
      <w:r w:rsidR="00887D56">
        <w:rPr>
          <w:rStyle w:val="Appelnotedebasdep"/>
        </w:rPr>
        <w:footnoteReference w:id="17"/>
      </w:r>
      <w:r w:rsidR="00AE4242">
        <w:t>.</w:t>
      </w:r>
      <w:r w:rsidR="00FE10CB">
        <w:t xml:space="preserve"> Elle mentionne que cette valeur est grandement supérieure au nombre d’</w:t>
      </w:r>
      <w:r w:rsidR="00345CE1">
        <w:t>heures</w:t>
      </w:r>
      <w:r w:rsidR="00FE10CB">
        <w:t xml:space="preserve"> utilisées dans la norme ISO 1999 (2000 heures) pour établir le degré de perte auditive</w:t>
      </w:r>
      <w:r w:rsidR="00922B65">
        <w:t xml:space="preserve"> attendu selon un niveau sonore et une durée d’exposition sur un nombre d’années</w:t>
      </w:r>
      <w:r w:rsidR="003D4907">
        <w:t xml:space="preserve">. Dans son hypothèse, madame Laroche a utilisé la valeur </w:t>
      </w:r>
      <w:r w:rsidR="001F628F">
        <w:t>inférieure</w:t>
      </w:r>
      <w:r w:rsidR="003D4907">
        <w:t xml:space="preserve"> de la norme pour son </w:t>
      </w:r>
      <w:r w:rsidR="001F628F">
        <w:t>calcul</w:t>
      </w:r>
      <w:r w:rsidR="003D4907">
        <w:t>.</w:t>
      </w:r>
      <w:r w:rsidR="00175814">
        <w:t xml:space="preserve"> Les voici :</w:t>
      </w:r>
    </w:p>
    <w:p w14:paraId="5AAC4919" w14:textId="77777777" w:rsidR="00566053" w:rsidRDefault="00566053" w:rsidP="00566053">
      <w:pPr>
        <w:pStyle w:val="citation"/>
      </w:pPr>
      <w:r w:rsidRPr="00566053">
        <w:t>[…]</w:t>
      </w:r>
    </w:p>
    <w:p w14:paraId="1E7D2471" w14:textId="77777777" w:rsidR="00566053" w:rsidRDefault="00566053" w:rsidP="00566053">
      <w:pPr>
        <w:pStyle w:val="citation"/>
      </w:pPr>
    </w:p>
    <w:p w14:paraId="41EBCD28" w14:textId="77777777" w:rsidR="00566053" w:rsidRDefault="00887D56" w:rsidP="00566053">
      <w:pPr>
        <w:pStyle w:val="citation"/>
        <w:ind w:left="993" w:hanging="273"/>
      </w:pPr>
      <w:r>
        <w:t>2-</w:t>
      </w:r>
      <w:r w:rsidR="00566053">
        <w:tab/>
      </w:r>
      <w:r>
        <w:t xml:space="preserve">Dans les formulaires contenus au dossier, Mme Thibodeau rapporte avoir travaillé de 10 à 12 heures par jour, 5 à 7 jours par semaine, et ce, 50-51 semaines par année. Si on calcule le nombre moyen d’heures par année, on arrive à une valeur de 3333 heures (i.e. 11 heures/ jour X 6 jours X 50.5 semaines/année). Cette valeur est largement supérieure au nombre d’heures annuel utilisé dans la norme (SO 1999 (soit 2000 heures) pour établir le degré de perte auditive attendu selon un niveau sonore et une durée d’exposition sur plusieurs années. Si on utilise comme base d’analyse une dose de bruit de 85 dBA-8h telle que </w:t>
      </w:r>
      <w:r w:rsidRPr="00887D56">
        <w:t>retrouvée dans la littérature portant sur 1’ emploi de cuisinière (en étant ici conservateur, car on pourrait aussi utiliser une dose de 90 dBA-</w:t>
      </w:r>
      <w:r>
        <w:t>8</w:t>
      </w:r>
      <w:r w:rsidRPr="00887D56">
        <w:t>h</w:t>
      </w:r>
      <w:r>
        <w:t>), cette dose doit être corrigée de 2 dB</w:t>
      </w:r>
      <w:r w:rsidRPr="00887D56">
        <w:t xml:space="preserve"> pour tenir co</w:t>
      </w:r>
      <w:r>
        <w:t>mpte des longues h</w:t>
      </w:r>
      <w:r w:rsidRPr="00887D56">
        <w:t>eures travaillées par M</w:t>
      </w:r>
      <w:r>
        <w:t>m</w:t>
      </w:r>
      <w:r w:rsidRPr="00887D56">
        <w:t xml:space="preserve">e Thibodeau (i.e. 3333 heures vs 2000 heures). Le calcul qui a servi </w:t>
      </w:r>
      <w:r>
        <w:t>à</w:t>
      </w:r>
      <w:r w:rsidRPr="00887D56">
        <w:t xml:space="preserve"> estimer la dose annuelle de Mme Thibodeau est le suivant</w:t>
      </w:r>
      <w:r>
        <w:t xml:space="preserve"> </w:t>
      </w:r>
      <w:r w:rsidRPr="00887D56">
        <w:t>:</w:t>
      </w:r>
    </w:p>
    <w:p w14:paraId="0E2A43A9" w14:textId="77777777" w:rsidR="00566053" w:rsidRDefault="00566053" w:rsidP="00566053">
      <w:pPr>
        <w:pStyle w:val="citation"/>
        <w:ind w:left="993" w:hanging="273"/>
      </w:pPr>
    </w:p>
    <w:p w14:paraId="067272DB" w14:textId="77777777" w:rsidR="00566053" w:rsidRDefault="00566053" w:rsidP="00566053">
      <w:pPr>
        <w:pStyle w:val="citation"/>
        <w:ind w:left="993" w:hanging="273"/>
      </w:pPr>
      <w:r>
        <w:tab/>
      </w:r>
      <w:r w:rsidR="00887D56">
        <w:t>L</w:t>
      </w:r>
      <w:r w:rsidR="00887D56" w:rsidRPr="00887D56">
        <w:rPr>
          <w:vertAlign w:val="subscript"/>
        </w:rPr>
        <w:t>Aeq-8h</w:t>
      </w:r>
      <w:r w:rsidR="00887D56">
        <w:t xml:space="preserve">=10 log 1/2000h (10 </w:t>
      </w:r>
      <w:r w:rsidR="00887D56" w:rsidRPr="00887D56">
        <w:rPr>
          <w:vertAlign w:val="superscript"/>
        </w:rPr>
        <w:t>85/10</w:t>
      </w:r>
      <w:r w:rsidR="00887D56">
        <w:t xml:space="preserve"> X 3333 heures) = 87.2 dBA-8  (arrondi à 87 dBA)</w:t>
      </w:r>
    </w:p>
    <w:p w14:paraId="6FACE178" w14:textId="77777777" w:rsidR="00566053" w:rsidRDefault="00566053" w:rsidP="00566053">
      <w:pPr>
        <w:pStyle w:val="citation"/>
        <w:ind w:left="993" w:hanging="273"/>
      </w:pPr>
    </w:p>
    <w:p w14:paraId="5652B559" w14:textId="77777777" w:rsidR="00566053" w:rsidRDefault="00566053" w:rsidP="00566053">
      <w:pPr>
        <w:pStyle w:val="citation"/>
        <w:ind w:left="993" w:hanging="273"/>
      </w:pPr>
    </w:p>
    <w:p w14:paraId="3E0401CE" w14:textId="77777777" w:rsidR="00566053" w:rsidRPr="00566053" w:rsidRDefault="00566053" w:rsidP="00566053">
      <w:pPr>
        <w:pStyle w:val="citation"/>
        <w:ind w:left="993" w:hanging="273"/>
      </w:pPr>
      <w:r w:rsidRPr="00566053">
        <w:t>3-</w:t>
      </w:r>
      <w:r>
        <w:tab/>
      </w:r>
      <w:r w:rsidRPr="00566053">
        <w:t>Ainsi, c</w:t>
      </w:r>
      <w:r>
        <w:t>e</w:t>
      </w:r>
      <w:r w:rsidRPr="00566053">
        <w:t xml:space="preserve"> n’</w:t>
      </w:r>
      <w:r>
        <w:t>e</w:t>
      </w:r>
      <w:r w:rsidRPr="00566053">
        <w:t>st pas 85 dBA</w:t>
      </w:r>
      <w:r>
        <w:t>-</w:t>
      </w:r>
      <w:r w:rsidRPr="00566053">
        <w:t xml:space="preserve">8h qui devrait </w:t>
      </w:r>
      <w:r>
        <w:t>être</w:t>
      </w:r>
      <w:r w:rsidRPr="00566053">
        <w:t xml:space="preserve"> utilisé pour l’analyse de ce dossier, mais bien 87 dBA-8h. Par ailleurs, co</w:t>
      </w:r>
      <w:r>
        <w:t>m</w:t>
      </w:r>
      <w:r w:rsidRPr="00566053">
        <w:t>me i</w:t>
      </w:r>
      <w:r>
        <w:t>l</w:t>
      </w:r>
      <w:r w:rsidRPr="00566053">
        <w:t xml:space="preserve"> y avait pr</w:t>
      </w:r>
      <w:r>
        <w:t>é</w:t>
      </w:r>
      <w:r w:rsidRPr="00566053">
        <w:t>sence récurrente de chocs (bruits d’i</w:t>
      </w:r>
      <w:r>
        <w:t>mpact) reliés à</w:t>
      </w:r>
      <w:r w:rsidRPr="00566053">
        <w:t xml:space="preserve"> la vaisselle et aux chaudrons, on peut corriger la dose annuelle pour tenir compte de l’effet synergique entre les bruits continus et les bruits d’impact. On peut alors ajouter 5 </w:t>
      </w:r>
      <w:r>
        <w:t>d</w:t>
      </w:r>
      <w:r w:rsidRPr="00566053">
        <w:t xml:space="preserve">B </w:t>
      </w:r>
      <w:r>
        <w:t>à</w:t>
      </w:r>
      <w:r w:rsidRPr="00566053">
        <w:t xml:space="preserve"> </w:t>
      </w:r>
      <w:r>
        <w:t>l</w:t>
      </w:r>
      <w:r w:rsidRPr="00566053">
        <w:t>a dose annuelle, pour une valeur ajustée de 92 dBA-</w:t>
      </w:r>
      <w:r>
        <w:t>8</w:t>
      </w:r>
      <w:r w:rsidRPr="00566053">
        <w:t xml:space="preserve">h sur une période de 18 ans. </w:t>
      </w:r>
      <w:r>
        <w:t xml:space="preserve">Il </w:t>
      </w:r>
      <w:r w:rsidRPr="00566053">
        <w:t>y a don</w:t>
      </w:r>
      <w:r>
        <w:t>c</w:t>
      </w:r>
      <w:r w:rsidRPr="00566053">
        <w:t xml:space="preserve"> d</w:t>
      </w:r>
      <w:r>
        <w:t>é</w:t>
      </w:r>
      <w:r w:rsidRPr="00566053">
        <w:t>monstration non-équivoque d’une expositio</w:t>
      </w:r>
      <w:r>
        <w:t>n</w:t>
      </w:r>
      <w:r w:rsidRPr="00566053">
        <w:t xml:space="preserve"> au bruit suffisante selon les crit</w:t>
      </w:r>
      <w:r>
        <w:t>è</w:t>
      </w:r>
      <w:r w:rsidRPr="00566053">
        <w:t>res de la CNESST, que l’on utilise 87 o</w:t>
      </w:r>
      <w:r>
        <w:t>u</w:t>
      </w:r>
      <w:r w:rsidRPr="00566053">
        <w:t xml:space="preserve"> 92 dBA-8h.</w:t>
      </w:r>
    </w:p>
    <w:p w14:paraId="3AC619F2" w14:textId="77777777" w:rsidR="00887D56" w:rsidRDefault="00887D56" w:rsidP="00566053">
      <w:pPr>
        <w:pStyle w:val="citation"/>
      </w:pPr>
    </w:p>
    <w:p w14:paraId="5CDE3826" w14:textId="77777777" w:rsidR="00887D56" w:rsidRDefault="00566053" w:rsidP="00566053">
      <w:pPr>
        <w:pStyle w:val="citation"/>
        <w:rPr>
          <w:rFonts w:cs="Arial"/>
        </w:rPr>
      </w:pPr>
      <w:r>
        <w:rPr>
          <w:rFonts w:cs="Arial"/>
        </w:rPr>
        <w:t>[…]</w:t>
      </w:r>
    </w:p>
    <w:p w14:paraId="541CDE79" w14:textId="77777777" w:rsidR="00566053" w:rsidRDefault="00566053" w:rsidP="00566053">
      <w:pPr>
        <w:pStyle w:val="citation"/>
        <w:rPr>
          <w:rFonts w:cs="Arial"/>
        </w:rPr>
      </w:pPr>
    </w:p>
    <w:p w14:paraId="728FAB89" w14:textId="77777777" w:rsidR="00566053" w:rsidRDefault="00566053" w:rsidP="00566053">
      <w:pPr>
        <w:pStyle w:val="citation"/>
      </w:pPr>
    </w:p>
    <w:p w14:paraId="61477EF1" w14:textId="6B6A06DF" w:rsidR="004C090F" w:rsidRDefault="00AC734B" w:rsidP="006565AC">
      <w:pPr>
        <w:pStyle w:val="corpsdedcision"/>
      </w:pPr>
      <w:r>
        <w:t>Madame Laroche a fait référence à un document : « </w:t>
      </w:r>
      <w:r w:rsidRPr="00653941">
        <w:rPr>
          <w:i/>
          <w:sz w:val="22"/>
          <w:szCs w:val="22"/>
        </w:rPr>
        <w:t>Asses</w:t>
      </w:r>
      <w:r w:rsidR="005E4249">
        <w:rPr>
          <w:i/>
          <w:sz w:val="22"/>
          <w:szCs w:val="22"/>
        </w:rPr>
        <w:t>s</w:t>
      </w:r>
      <w:r w:rsidRPr="00653941">
        <w:rPr>
          <w:i/>
          <w:sz w:val="22"/>
          <w:szCs w:val="22"/>
        </w:rPr>
        <w:t xml:space="preserve">ment of </w:t>
      </w:r>
      <w:r w:rsidR="00B268DE">
        <w:rPr>
          <w:i/>
          <w:sz w:val="22"/>
          <w:szCs w:val="22"/>
        </w:rPr>
        <w:t>N</w:t>
      </w:r>
      <w:r w:rsidRPr="00653941">
        <w:rPr>
          <w:i/>
          <w:sz w:val="22"/>
          <w:szCs w:val="22"/>
        </w:rPr>
        <w:t xml:space="preserve">oise in a </w:t>
      </w:r>
      <w:r w:rsidR="00B268DE">
        <w:rPr>
          <w:i/>
          <w:sz w:val="22"/>
          <w:szCs w:val="22"/>
        </w:rPr>
        <w:t>H</w:t>
      </w:r>
      <w:r w:rsidR="00B268DE" w:rsidRPr="00653941">
        <w:rPr>
          <w:i/>
          <w:sz w:val="22"/>
          <w:szCs w:val="22"/>
        </w:rPr>
        <w:t xml:space="preserve">ospital </w:t>
      </w:r>
      <w:r w:rsidR="00B268DE">
        <w:rPr>
          <w:i/>
          <w:sz w:val="22"/>
          <w:szCs w:val="22"/>
        </w:rPr>
        <w:t>K</w:t>
      </w:r>
      <w:r w:rsidR="00CE7E2E" w:rsidRPr="00653941">
        <w:rPr>
          <w:i/>
          <w:sz w:val="22"/>
          <w:szCs w:val="22"/>
        </w:rPr>
        <w:t>itchen</w:t>
      </w:r>
      <w:r w:rsidR="00CE7E2E" w:rsidRPr="00653941">
        <w:rPr>
          <w:i/>
        </w:rPr>
        <w:t> </w:t>
      </w:r>
      <w:r w:rsidR="00CE7E2E" w:rsidRPr="00653941">
        <w:rPr>
          <w:i/>
          <w:sz w:val="22"/>
          <w:szCs w:val="22"/>
        </w:rPr>
        <w:t>et Pattern and Trends in OSHA occupational noise exposure measurements from 1979 to 2013</w:t>
      </w:r>
      <w:r w:rsidR="005E4249">
        <w:rPr>
          <w:i/>
          <w:sz w:val="22"/>
          <w:szCs w:val="22"/>
        </w:rPr>
        <w:t>.</w:t>
      </w:r>
      <w:r w:rsidR="00CE7E2E" w:rsidRPr="00653941">
        <w:rPr>
          <w:i/>
        </w:rPr>
        <w:t> </w:t>
      </w:r>
      <w:r w:rsidR="00CE7E2E">
        <w:t>»</w:t>
      </w:r>
      <w:r>
        <w:rPr>
          <w:rStyle w:val="Appelnotedebasdep"/>
        </w:rPr>
        <w:footnoteReference w:id="18"/>
      </w:r>
      <w:r w:rsidR="00566053">
        <w:t xml:space="preserve">. </w:t>
      </w:r>
      <w:r w:rsidR="006565AC">
        <w:t xml:space="preserve"> </w:t>
      </w:r>
      <w:r w:rsidR="005561FF">
        <w:t>Les valeurs</w:t>
      </w:r>
      <w:r w:rsidR="006565AC">
        <w:t xml:space="preserve"> </w:t>
      </w:r>
      <w:r w:rsidR="00FB04D9">
        <w:t>retrouvées</w:t>
      </w:r>
      <w:r w:rsidR="006565AC">
        <w:t xml:space="preserve"> pour le bruit en cuisine s’apparente</w:t>
      </w:r>
      <w:r w:rsidR="00563750">
        <w:t>nt</w:t>
      </w:r>
      <w:r w:rsidR="006565AC">
        <w:t xml:space="preserve"> à celle</w:t>
      </w:r>
      <w:r w:rsidR="00566053">
        <w:t>s</w:t>
      </w:r>
      <w:r w:rsidR="006565AC">
        <w:t xml:space="preserve"> estimé</w:t>
      </w:r>
      <w:r w:rsidR="00563750">
        <w:t>e</w:t>
      </w:r>
      <w:r w:rsidR="00566053">
        <w:t>s</w:t>
      </w:r>
      <w:r w:rsidR="006565AC">
        <w:t xml:space="preserve"> par madame Laroche. De plus, e</w:t>
      </w:r>
      <w:r w:rsidR="004C090F">
        <w:t>lle rapporte plusieurs fois dans son témoignage avoir été conservatrice dans les chiff</w:t>
      </w:r>
      <w:r w:rsidR="00563750">
        <w:t>r</w:t>
      </w:r>
      <w:r w:rsidR="004C090F">
        <w:t>es retenus.</w:t>
      </w:r>
    </w:p>
    <w:p w14:paraId="0EDDD838" w14:textId="58F7EC99" w:rsidR="00B95E46" w:rsidRDefault="00B95E46" w:rsidP="006565AC">
      <w:pPr>
        <w:pStyle w:val="corpsdedcision"/>
      </w:pPr>
      <w:r>
        <w:t xml:space="preserve">À l’audience, </w:t>
      </w:r>
      <w:r w:rsidR="00563750">
        <w:t>madame</w:t>
      </w:r>
      <w:r>
        <w:t xml:space="preserve"> Laroche mentionne que les périodes d’exposition au bruit se </w:t>
      </w:r>
      <w:r w:rsidR="00FB04D9">
        <w:t>cumulent</w:t>
      </w:r>
      <w:r>
        <w:t>. Même si la travailleuse a pu à certaine</w:t>
      </w:r>
      <w:r w:rsidR="00563750">
        <w:t>s</w:t>
      </w:r>
      <w:r>
        <w:t xml:space="preserve"> époque</w:t>
      </w:r>
      <w:r w:rsidR="00563750">
        <w:t>s</w:t>
      </w:r>
      <w:r>
        <w:t xml:space="preserve"> être dans un milieu moins </w:t>
      </w:r>
      <w:r w:rsidR="00FB04D9">
        <w:t>bruyant</w:t>
      </w:r>
      <w:r>
        <w:t xml:space="preserve">, il demeure que </w:t>
      </w:r>
      <w:r w:rsidR="00FB04D9">
        <w:t xml:space="preserve">le temps qu’elle a été </w:t>
      </w:r>
      <w:r w:rsidR="008E3E6A">
        <w:t>exposée</w:t>
      </w:r>
      <w:r w:rsidR="00FB04D9">
        <w:t xml:space="preserve"> au bruit au niveau évalué par madame Laroche est suffisant pour générer une atteinte auditive permanente.</w:t>
      </w:r>
    </w:p>
    <w:p w14:paraId="6FBC88B3" w14:textId="77777777" w:rsidR="006565AC" w:rsidRDefault="006565AC" w:rsidP="006565AC">
      <w:pPr>
        <w:pStyle w:val="corpsdedcision"/>
      </w:pPr>
      <w:r>
        <w:t xml:space="preserve">Le Tribunal retient de la preuve, plus particulièrement de l’analyse faite par madame Laroche que la travailleuse a été </w:t>
      </w:r>
      <w:r w:rsidR="005561FF">
        <w:t>exposée</w:t>
      </w:r>
      <w:r>
        <w:t xml:space="preserve"> à des </w:t>
      </w:r>
      <w:r w:rsidR="005561FF">
        <w:t>bruits excessifs</w:t>
      </w:r>
      <w:r>
        <w:t xml:space="preserve"> en considération de différents facteurs. Outre le milieu de travail, le nombre d’heure</w:t>
      </w:r>
      <w:r w:rsidR="00563750">
        <w:t>s</w:t>
      </w:r>
      <w:r>
        <w:t xml:space="preserve"> passé</w:t>
      </w:r>
      <w:r w:rsidR="00563750">
        <w:t>es</w:t>
      </w:r>
      <w:r>
        <w:t xml:space="preserve"> au travail et les bruits d’impact</w:t>
      </w:r>
      <w:r w:rsidR="003F0D87">
        <w:t>s</w:t>
      </w:r>
      <w:r>
        <w:t xml:space="preserve"> au</w:t>
      </w:r>
      <w:r w:rsidR="00563750">
        <w:t>xquels</w:t>
      </w:r>
      <w:r>
        <w:t xml:space="preserve"> la travailleuse est exposée dans </w:t>
      </w:r>
      <w:r w:rsidR="005561FF">
        <w:t>ses différents milieux</w:t>
      </w:r>
      <w:r>
        <w:t xml:space="preserve"> de travail fait que les bruits au</w:t>
      </w:r>
      <w:r w:rsidR="00563750">
        <w:t>xquels</w:t>
      </w:r>
      <w:r>
        <w:t xml:space="preserve"> elle est </w:t>
      </w:r>
      <w:r w:rsidR="005561FF">
        <w:t>soumise</w:t>
      </w:r>
      <w:r>
        <w:t xml:space="preserve"> sont </w:t>
      </w:r>
      <w:r w:rsidR="00F90BB1">
        <w:t>excessifs</w:t>
      </w:r>
      <w:r>
        <w:t>.</w:t>
      </w:r>
    </w:p>
    <w:p w14:paraId="2ED52940" w14:textId="3A916362" w:rsidR="00F90BB1" w:rsidRDefault="00F90BB1" w:rsidP="006565AC">
      <w:pPr>
        <w:pStyle w:val="corpsdedcision"/>
      </w:pPr>
      <w:r>
        <w:t xml:space="preserve">De l’avis du </w:t>
      </w:r>
      <w:r w:rsidR="00392CAD">
        <w:t>T</w:t>
      </w:r>
      <w:r>
        <w:t xml:space="preserve">ribunal, la </w:t>
      </w:r>
      <w:r w:rsidR="00E304DB">
        <w:t xml:space="preserve">deuxième </w:t>
      </w:r>
      <w:r>
        <w:t xml:space="preserve">condition de la présomption est </w:t>
      </w:r>
      <w:r w:rsidR="00CF35E6">
        <w:t xml:space="preserve">satisfaite </w:t>
      </w:r>
      <w:r>
        <w:t xml:space="preserve">et en conséquence, la </w:t>
      </w:r>
      <w:r w:rsidR="008F29F1">
        <w:t>présomption</w:t>
      </w:r>
      <w:r>
        <w:t xml:space="preserve"> de l’article </w:t>
      </w:r>
      <w:r w:rsidR="0043510D">
        <w:t>29 s’applique à la travailleuse et celle-ci n’a pas été renversée.</w:t>
      </w:r>
    </w:p>
    <w:p w14:paraId="429C3738" w14:textId="65F9168D" w:rsidR="00F90BB1" w:rsidRDefault="00F90BB1" w:rsidP="006565AC">
      <w:pPr>
        <w:pStyle w:val="corpsdedcision"/>
      </w:pPr>
      <w:r>
        <w:t>Après considération de la preuve au dossier et des arguments soumis, le Tribunal conclut que la travailleuse est atteinte d’une surdité professionnelle</w:t>
      </w:r>
      <w:r w:rsidR="00B268DE">
        <w:t>.</w:t>
      </w:r>
    </w:p>
    <w:p w14:paraId="7DFF374E" w14:textId="77777777" w:rsidR="003F0D87" w:rsidRDefault="003F0D87">
      <w:pPr>
        <w:pStyle w:val="Dispositif"/>
        <w:rPr>
          <w:b/>
        </w:rPr>
      </w:pPr>
    </w:p>
    <w:p w14:paraId="42F9B4FB" w14:textId="77777777" w:rsidR="00C74B6F" w:rsidRDefault="00C74B6F">
      <w:pPr>
        <w:pStyle w:val="Dispositif"/>
      </w:pPr>
      <w:r>
        <w:rPr>
          <w:b/>
        </w:rPr>
        <w:t>P</w:t>
      </w:r>
      <w:r w:rsidR="00D07FA6">
        <w:rPr>
          <w:b/>
        </w:rPr>
        <w:t>AR CES MOTIFS, LE TRIBUNAL ADMINISTRATIF DU TRAVAIL</w:t>
      </w:r>
      <w:r>
        <w:rPr>
          <w:b/>
        </w:rPr>
        <w:t> :</w:t>
      </w:r>
    </w:p>
    <w:p w14:paraId="00A0CE97" w14:textId="6E5C5DB5" w:rsidR="00C74B6F" w:rsidRDefault="008F29F1">
      <w:pPr>
        <w:pStyle w:val="Dispositif"/>
      </w:pPr>
      <w:r>
        <w:rPr>
          <w:b/>
        </w:rPr>
        <w:t>ACCUEILLE</w:t>
      </w:r>
      <w:r>
        <w:t xml:space="preserve"> la contestation de madame Marcelle Thib</w:t>
      </w:r>
      <w:r w:rsidR="003F0D87">
        <w:t>ode</w:t>
      </w:r>
      <w:r>
        <w:t>au, la travailleuse;</w:t>
      </w:r>
    </w:p>
    <w:p w14:paraId="34221C52" w14:textId="77777777" w:rsidR="008F29F1" w:rsidRDefault="008F29F1">
      <w:pPr>
        <w:pStyle w:val="Dispositif"/>
      </w:pPr>
      <w:r w:rsidRPr="00392CAD">
        <w:rPr>
          <w:b/>
        </w:rPr>
        <w:t>INFIRME</w:t>
      </w:r>
      <w:r>
        <w:t xml:space="preserve"> la décision de la </w:t>
      </w:r>
      <w:r w:rsidR="00345CE1">
        <w:t>Commission</w:t>
      </w:r>
      <w:r>
        <w:t xml:space="preserve"> des normes de l’équité de la santé et de la sécurité du travail </w:t>
      </w:r>
      <w:r w:rsidR="0055715F">
        <w:t>du 27 février 2018, à la suite d’une révision administrative;</w:t>
      </w:r>
    </w:p>
    <w:p w14:paraId="1BA548BD" w14:textId="77777777" w:rsidR="0055715F" w:rsidRDefault="0055715F">
      <w:pPr>
        <w:pStyle w:val="Dispositif"/>
      </w:pPr>
      <w:r w:rsidRPr="00392CAD">
        <w:rPr>
          <w:b/>
        </w:rPr>
        <w:t>DÉCLARE</w:t>
      </w:r>
      <w:r>
        <w:t xml:space="preserve"> que la travailleuse est porteuse d’une maladie professionnelle, soit une surdité d’origine professionnelle à compter du 1</w:t>
      </w:r>
      <w:r w:rsidRPr="0055715F">
        <w:rPr>
          <w:vertAlign w:val="superscript"/>
        </w:rPr>
        <w:t>er</w:t>
      </w:r>
      <w:r>
        <w:t xml:space="preserve"> juillet 2017 et qu’elle a droit aux prestations en vertu de la </w:t>
      </w:r>
      <w:r w:rsidRPr="00392CAD">
        <w:rPr>
          <w:i/>
        </w:rPr>
        <w:t xml:space="preserve">Loi sur les accidents du travail et </w:t>
      </w:r>
      <w:r w:rsidR="00BF6B6C" w:rsidRPr="00392CAD">
        <w:rPr>
          <w:i/>
        </w:rPr>
        <w:t>des maladies</w:t>
      </w:r>
      <w:r w:rsidRPr="00392CAD">
        <w:rPr>
          <w:i/>
        </w:rPr>
        <w:t xml:space="preserve"> </w:t>
      </w:r>
      <w:r w:rsidR="00BF6B6C" w:rsidRPr="00392CAD">
        <w:rPr>
          <w:i/>
        </w:rPr>
        <w:t>professionnelles</w:t>
      </w:r>
      <w:r>
        <w:t>.</w:t>
      </w:r>
    </w:p>
    <w:p w14:paraId="2EE43C90" w14:textId="77777777" w:rsidR="00C74B6F" w:rsidRDefault="00C74B6F">
      <w:pPr>
        <w:pStyle w:val="Dispositif"/>
      </w:pPr>
    </w:p>
    <w:p w14:paraId="04F41D7F" w14:textId="557F80A5" w:rsidR="00BE2F5E" w:rsidRDefault="00BE2F5E" w:rsidP="000C67F0">
      <w:pPr>
        <w:pStyle w:val="Dispositif"/>
        <w:spacing w:after="0"/>
        <w:ind w:left="4956"/>
        <w:rPr>
          <w:rFonts w:ascii="Helv" w:hAnsi="Helv" w:cs="Helv"/>
          <w:noProof/>
          <w:color w:val="5F5F5F"/>
          <w:sz w:val="18"/>
          <w:szCs w:val="18"/>
        </w:rPr>
      </w:pPr>
    </w:p>
    <w:p w14:paraId="17772B63" w14:textId="77777777" w:rsidR="00E45C6A" w:rsidRDefault="00E45C6A" w:rsidP="000C67F0">
      <w:pPr>
        <w:pStyle w:val="Dispositif"/>
        <w:spacing w:after="0"/>
        <w:ind w:left="4956"/>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10000CE" w14:textId="77777777">
        <w:tc>
          <w:tcPr>
            <w:tcW w:w="4795" w:type="dxa"/>
          </w:tcPr>
          <w:p w14:paraId="241C3D4F" w14:textId="77777777" w:rsidR="00C74B6F" w:rsidRDefault="00C74B6F"/>
        </w:tc>
        <w:tc>
          <w:tcPr>
            <w:tcW w:w="4795" w:type="dxa"/>
          </w:tcPr>
          <w:p w14:paraId="6A68C950" w14:textId="77777777" w:rsidR="00C74B6F" w:rsidRDefault="00C74B6F">
            <w:bookmarkStart w:id="7" w:name="signature"/>
            <w:bookmarkEnd w:id="7"/>
            <w:r>
              <w:t>__________________________________</w:t>
            </w:r>
          </w:p>
        </w:tc>
      </w:tr>
      <w:tr w:rsidR="00C74B6F" w14:paraId="438B1607" w14:textId="77777777">
        <w:tc>
          <w:tcPr>
            <w:tcW w:w="4795" w:type="dxa"/>
          </w:tcPr>
          <w:p w14:paraId="082BAEDD" w14:textId="77777777" w:rsidR="00C74B6F" w:rsidRDefault="00C74B6F"/>
        </w:tc>
        <w:tc>
          <w:tcPr>
            <w:tcW w:w="4795" w:type="dxa"/>
          </w:tcPr>
          <w:p w14:paraId="0EE00777" w14:textId="77777777" w:rsidR="00C74B6F" w:rsidRDefault="00C6223B">
            <w:r>
              <w:t>Dominique Tancrède</w:t>
            </w:r>
          </w:p>
        </w:tc>
      </w:tr>
      <w:tr w:rsidR="00C74B6F" w14:paraId="2325799A" w14:textId="77777777">
        <w:trPr>
          <w:cantSplit/>
        </w:trPr>
        <w:tc>
          <w:tcPr>
            <w:tcW w:w="9590" w:type="dxa"/>
            <w:gridSpan w:val="2"/>
          </w:tcPr>
          <w:p w14:paraId="49D8F46B" w14:textId="77777777" w:rsidR="00C74B6F" w:rsidRDefault="00C74B6F"/>
        </w:tc>
      </w:tr>
      <w:tr w:rsidR="00C74B6F" w14:paraId="50674CE8" w14:textId="77777777">
        <w:trPr>
          <w:cantSplit/>
        </w:trPr>
        <w:tc>
          <w:tcPr>
            <w:tcW w:w="9590" w:type="dxa"/>
            <w:gridSpan w:val="2"/>
          </w:tcPr>
          <w:p w14:paraId="6FB6BC6B" w14:textId="77777777" w:rsidR="00C74B6F" w:rsidRPr="00C912F9" w:rsidRDefault="00C74B6F" w:rsidP="00EC5C8D">
            <w:pPr>
              <w:tabs>
                <w:tab w:val="left" w:pos="1592"/>
              </w:tabs>
            </w:pPr>
          </w:p>
        </w:tc>
      </w:tr>
      <w:tr w:rsidR="00C74B6F" w14:paraId="24FD0974" w14:textId="77777777">
        <w:trPr>
          <w:cantSplit/>
        </w:trPr>
        <w:tc>
          <w:tcPr>
            <w:tcW w:w="9590" w:type="dxa"/>
            <w:gridSpan w:val="2"/>
          </w:tcPr>
          <w:p w14:paraId="25FE39D3" w14:textId="77777777" w:rsidR="00C74B6F" w:rsidRDefault="00C74B6F"/>
        </w:tc>
      </w:tr>
      <w:tr w:rsidR="00C74B6F" w14:paraId="7FE85564" w14:textId="77777777">
        <w:trPr>
          <w:cantSplit/>
        </w:trPr>
        <w:tc>
          <w:tcPr>
            <w:tcW w:w="9590" w:type="dxa"/>
            <w:gridSpan w:val="2"/>
          </w:tcPr>
          <w:p w14:paraId="1A606AA7" w14:textId="77777777" w:rsidR="00C74B6F" w:rsidRDefault="00C6223B">
            <w:pPr>
              <w:pStyle w:val="zSoquijdatNomProcureurDem"/>
            </w:pPr>
            <w:r>
              <w:t>M</w:t>
            </w:r>
            <w:r w:rsidRPr="00C6223B">
              <w:rPr>
                <w:vertAlign w:val="superscript"/>
              </w:rPr>
              <w:t>e</w:t>
            </w:r>
            <w:r>
              <w:t xml:space="preserve"> Audrey Lajoie</w:t>
            </w:r>
          </w:p>
        </w:tc>
      </w:tr>
      <w:tr w:rsidR="00C74B6F" w14:paraId="7ADF7C26" w14:textId="77777777">
        <w:trPr>
          <w:cantSplit/>
        </w:trPr>
        <w:tc>
          <w:tcPr>
            <w:tcW w:w="9590" w:type="dxa"/>
            <w:gridSpan w:val="2"/>
          </w:tcPr>
          <w:p w14:paraId="0F20DD89" w14:textId="77777777" w:rsidR="00C74B6F" w:rsidRDefault="00C6223B">
            <w:pPr>
              <w:pStyle w:val="zSoquijdatCabinetProcureurDem"/>
            </w:pPr>
            <w:r>
              <w:t>AIDE JURIDIQUE DE DRUMMONDVILLE</w:t>
            </w:r>
          </w:p>
        </w:tc>
      </w:tr>
      <w:tr w:rsidR="00C74B6F" w14:paraId="3442394C" w14:textId="77777777">
        <w:trPr>
          <w:cantSplit/>
        </w:trPr>
        <w:tc>
          <w:tcPr>
            <w:tcW w:w="9590" w:type="dxa"/>
            <w:gridSpan w:val="2"/>
          </w:tcPr>
          <w:p w14:paraId="6AAAC486" w14:textId="77777777" w:rsidR="00C74B6F" w:rsidRDefault="00CB05A7">
            <w:pPr>
              <w:pStyle w:val="zSoquijlblProcureurDem"/>
            </w:pPr>
            <w:r>
              <w:t>Pour la partie demanderesse</w:t>
            </w:r>
          </w:p>
        </w:tc>
      </w:tr>
      <w:tr w:rsidR="00C74B6F" w14:paraId="7F16970F" w14:textId="77777777">
        <w:trPr>
          <w:cantSplit/>
        </w:trPr>
        <w:tc>
          <w:tcPr>
            <w:tcW w:w="9590" w:type="dxa"/>
            <w:gridSpan w:val="2"/>
          </w:tcPr>
          <w:p w14:paraId="6B9CF2AC" w14:textId="77777777" w:rsidR="00C74B6F" w:rsidRDefault="00C74B6F"/>
        </w:tc>
      </w:tr>
      <w:tr w:rsidR="00C74B6F" w14:paraId="5058A066" w14:textId="77777777">
        <w:trPr>
          <w:cantSplit/>
        </w:trPr>
        <w:tc>
          <w:tcPr>
            <w:tcW w:w="9590" w:type="dxa"/>
            <w:gridSpan w:val="2"/>
          </w:tcPr>
          <w:p w14:paraId="20AE0DEA" w14:textId="77777777" w:rsidR="00C74B6F" w:rsidRDefault="00C6223B">
            <w:pPr>
              <w:pStyle w:val="zSoquijdatNomProcureurDef"/>
            </w:pPr>
            <w:r>
              <w:t>M</w:t>
            </w:r>
            <w:r w:rsidRPr="00C6223B">
              <w:rPr>
                <w:vertAlign w:val="superscript"/>
              </w:rPr>
              <w:t>me</w:t>
            </w:r>
            <w:r>
              <w:t xml:space="preserve"> Jacinthe Dupré</w:t>
            </w:r>
          </w:p>
        </w:tc>
      </w:tr>
      <w:tr w:rsidR="00C74B6F" w14:paraId="07A46049" w14:textId="77777777">
        <w:trPr>
          <w:cantSplit/>
        </w:trPr>
        <w:tc>
          <w:tcPr>
            <w:tcW w:w="9590" w:type="dxa"/>
            <w:gridSpan w:val="2"/>
          </w:tcPr>
          <w:p w14:paraId="730E5373" w14:textId="77777777" w:rsidR="00C74B6F" w:rsidRDefault="00CB05A7" w:rsidP="00C6223B">
            <w:pPr>
              <w:pStyle w:val="zSoquijlblProcureurDef"/>
            </w:pPr>
            <w:r>
              <w:t xml:space="preserve">Pour </w:t>
            </w:r>
            <w:r w:rsidR="00C6223B">
              <w:t>2736-9826 Québec inc.</w:t>
            </w:r>
          </w:p>
        </w:tc>
      </w:tr>
      <w:tr w:rsidR="00C15A3F" w14:paraId="715A8EC1" w14:textId="77777777">
        <w:trPr>
          <w:cantSplit/>
        </w:trPr>
        <w:tc>
          <w:tcPr>
            <w:tcW w:w="9590" w:type="dxa"/>
            <w:gridSpan w:val="2"/>
          </w:tcPr>
          <w:p w14:paraId="480E8D96" w14:textId="77777777" w:rsidR="00C15A3F" w:rsidRDefault="00C15A3F">
            <w:pPr>
              <w:pStyle w:val="zSoquijlblProcureurInt"/>
            </w:pPr>
          </w:p>
        </w:tc>
      </w:tr>
      <w:tr w:rsidR="00C15A3F" w14:paraId="7AEA219B" w14:textId="77777777">
        <w:trPr>
          <w:cantSplit/>
        </w:trPr>
        <w:tc>
          <w:tcPr>
            <w:tcW w:w="9590" w:type="dxa"/>
            <w:gridSpan w:val="2"/>
          </w:tcPr>
          <w:p w14:paraId="3A236518" w14:textId="77777777" w:rsidR="00C15A3F" w:rsidRDefault="00C15A3F" w:rsidP="00C6223B">
            <w:pPr>
              <w:pStyle w:val="zSoquijdatDateAudience"/>
            </w:pPr>
            <w:r>
              <w:t xml:space="preserve">Date de </w:t>
            </w:r>
            <w:r w:rsidR="00C6223B">
              <w:t>l’</w:t>
            </w:r>
            <w:r>
              <w:t>audience :</w:t>
            </w:r>
            <w:r w:rsidR="00597016">
              <w:tab/>
            </w:r>
            <w:r w:rsidR="00C6223B">
              <w:t xml:space="preserve">    25 février 2020</w:t>
            </w:r>
          </w:p>
        </w:tc>
      </w:tr>
    </w:tbl>
    <w:p w14:paraId="031839FD" w14:textId="77777777" w:rsidR="009A135C" w:rsidRDefault="009A135C" w:rsidP="009A135C">
      <w:pPr>
        <w:pStyle w:val="articlesdelaLSST"/>
        <w:ind w:left="0"/>
      </w:pPr>
    </w:p>
    <w:sectPr w:rsidR="009A135C">
      <w:headerReference w:type="default" r:id="rId9"/>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30C552" w14:textId="77777777" w:rsidR="00E5025B" w:rsidRDefault="00E5025B">
      <w:r>
        <w:separator/>
      </w:r>
    </w:p>
  </w:endnote>
  <w:endnote w:type="continuationSeparator" w:id="0">
    <w:p w14:paraId="483C47BB" w14:textId="77777777" w:rsidR="00E5025B" w:rsidRDefault="00E50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A4705D" w14:textId="77777777" w:rsidR="00E5025B" w:rsidRDefault="00E5025B">
      <w:r>
        <w:separator/>
      </w:r>
    </w:p>
  </w:footnote>
  <w:footnote w:type="continuationSeparator" w:id="0">
    <w:p w14:paraId="5E15CD47" w14:textId="77777777" w:rsidR="00E5025B" w:rsidRDefault="00E5025B">
      <w:r>
        <w:continuationSeparator/>
      </w:r>
    </w:p>
  </w:footnote>
  <w:footnote w:id="1">
    <w:p w14:paraId="716F40BD" w14:textId="77777777" w:rsidR="004326EE" w:rsidRPr="00883CF6" w:rsidRDefault="004326EE">
      <w:pPr>
        <w:pStyle w:val="Notedebasdepage"/>
        <w:rPr>
          <w:sz w:val="20"/>
        </w:rPr>
      </w:pPr>
      <w:r>
        <w:rPr>
          <w:rStyle w:val="Appelnotedebasdep"/>
        </w:rPr>
        <w:footnoteRef/>
      </w:r>
      <w:r>
        <w:t xml:space="preserve"> </w:t>
      </w:r>
      <w:r>
        <w:tab/>
      </w:r>
      <w:r w:rsidR="003D1DD7" w:rsidRPr="004E535D">
        <w:rPr>
          <w:sz w:val="20"/>
        </w:rPr>
        <w:t>RLRQ, c. A-3.001.</w:t>
      </w:r>
    </w:p>
  </w:footnote>
  <w:footnote w:id="2">
    <w:p w14:paraId="541373D7" w14:textId="77777777" w:rsidR="004001BC" w:rsidRPr="00FA0062" w:rsidRDefault="004001BC" w:rsidP="00941767">
      <w:pPr>
        <w:pStyle w:val="articlesdelaLATMP"/>
        <w:ind w:left="567" w:hanging="567"/>
      </w:pPr>
      <w:r w:rsidRPr="00FA0062">
        <w:rPr>
          <w:rStyle w:val="Appelnotedebasdep"/>
          <w:sz w:val="24"/>
          <w:szCs w:val="24"/>
        </w:rPr>
        <w:footnoteRef/>
      </w:r>
      <w:r>
        <w:tab/>
      </w:r>
      <w:r w:rsidRPr="00FA0062">
        <w:rPr>
          <w:b/>
        </w:rPr>
        <w:t>224.</w:t>
      </w:r>
      <w:r w:rsidRPr="00FA0062">
        <w:t xml:space="preserve"> Aux fins de rendre une décision en vertu de la présente loi, et sous réserve de l’article 224.1, la Commission est liée par le diagnostic et les autres conclusions établis par le médecin qui a charge du travailleur relativement aux sujets mentionnés aux paragraphes 1° à 5° du premier alinéa de l’article 212.</w:t>
      </w:r>
    </w:p>
    <w:p w14:paraId="094FEF94" w14:textId="77777777" w:rsidR="00ED33AB" w:rsidRDefault="004001BC" w:rsidP="00941767">
      <w:pPr>
        <w:pStyle w:val="Notedebasdepage"/>
        <w:ind w:left="567" w:hanging="567"/>
        <w:rPr>
          <w:i/>
          <w:sz w:val="20"/>
        </w:rPr>
      </w:pPr>
      <w:r w:rsidRPr="00712484">
        <w:rPr>
          <w:rStyle w:val="Appelnotedebasdep"/>
          <w:szCs w:val="24"/>
        </w:rPr>
        <w:t>3</w:t>
      </w:r>
      <w:r>
        <w:tab/>
      </w:r>
      <w:r w:rsidRPr="00712484">
        <w:rPr>
          <w:i/>
          <w:sz w:val="20"/>
        </w:rPr>
        <w:t>L.P. Girard et Fils inc. et Coopérative des travailleurs de Sacré-Coeur (Unisaco), 2016 QCTAT 2586</w:t>
      </w:r>
      <w:r w:rsidR="00ED33AB" w:rsidRPr="00392CAD">
        <w:rPr>
          <w:sz w:val="20"/>
        </w:rPr>
        <w:t>;</w:t>
      </w:r>
      <w:r w:rsidR="00ED33AB">
        <w:rPr>
          <w:sz w:val="20"/>
        </w:rPr>
        <w:t xml:space="preserve"> </w:t>
      </w:r>
      <w:r w:rsidR="00ED33AB" w:rsidRPr="00567414">
        <w:rPr>
          <w:i/>
          <w:sz w:val="20"/>
        </w:rPr>
        <w:t>Commission scolaire des navigateurs et Thibault, [2003] C.L</w:t>
      </w:r>
      <w:r w:rsidR="00ED33AB">
        <w:rPr>
          <w:i/>
          <w:sz w:val="20"/>
        </w:rPr>
        <w:t>.</w:t>
      </w:r>
      <w:r w:rsidR="00ED33AB" w:rsidRPr="00567414">
        <w:rPr>
          <w:i/>
          <w:sz w:val="20"/>
        </w:rPr>
        <w:t>P</w:t>
      </w:r>
      <w:r w:rsidR="00ED33AB">
        <w:rPr>
          <w:i/>
          <w:sz w:val="20"/>
        </w:rPr>
        <w:t>.</w:t>
      </w:r>
      <w:r w:rsidR="00ED33AB" w:rsidRPr="00567414">
        <w:rPr>
          <w:i/>
          <w:sz w:val="20"/>
        </w:rPr>
        <w:t xml:space="preserve"> 623</w:t>
      </w:r>
      <w:r w:rsidR="00ED33AB">
        <w:rPr>
          <w:i/>
          <w:sz w:val="20"/>
        </w:rPr>
        <w:t>.</w:t>
      </w:r>
    </w:p>
    <w:p w14:paraId="5AA6A687" w14:textId="77777777" w:rsidR="00ED33AB" w:rsidRDefault="00ED33AB" w:rsidP="00941767">
      <w:pPr>
        <w:pStyle w:val="Notedebasdepage"/>
        <w:ind w:left="567" w:hanging="567"/>
        <w:rPr>
          <w:i/>
          <w:sz w:val="20"/>
        </w:rPr>
      </w:pPr>
      <w:r w:rsidRPr="00392CAD">
        <w:rPr>
          <w:rFonts w:cs="Arial"/>
          <w:szCs w:val="24"/>
          <w:vertAlign w:val="superscript"/>
        </w:rPr>
        <w:t>4</w:t>
      </w:r>
      <w:r>
        <w:rPr>
          <w:szCs w:val="24"/>
        </w:rPr>
        <w:tab/>
      </w:r>
      <w:r w:rsidRPr="00567414">
        <w:rPr>
          <w:i/>
          <w:sz w:val="20"/>
        </w:rPr>
        <w:t>Morin et SGT 2000 inc. 2015, QCCLP 2153; Les Industries Méta-For inc. et Rotondo, 2008 QCCLP 6660; Cascades Groupe Papiers Fins inc et Boucher, 2011 QCCLP 1049</w:t>
      </w:r>
      <w:r>
        <w:rPr>
          <w:i/>
          <w:sz w:val="20"/>
        </w:rPr>
        <w:t>.</w:t>
      </w:r>
    </w:p>
    <w:p w14:paraId="464F77DD" w14:textId="77777777" w:rsidR="004001BC" w:rsidRDefault="004001BC" w:rsidP="00392CAD">
      <w:pPr>
        <w:pStyle w:val="Notedebasdepage"/>
      </w:pPr>
    </w:p>
  </w:footnote>
  <w:footnote w:id="3">
    <w:p w14:paraId="1CE76910" w14:textId="77777777" w:rsidR="003771B6" w:rsidRDefault="003771B6"/>
    <w:p w14:paraId="71B6258F" w14:textId="7B5E3BB6" w:rsidR="00A87757" w:rsidRPr="00567414" w:rsidRDefault="00A87757" w:rsidP="00CC1447">
      <w:pPr>
        <w:pStyle w:val="Notedebasdepage"/>
        <w:ind w:left="567" w:hanging="567"/>
        <w:rPr>
          <w:i/>
          <w:sz w:val="20"/>
        </w:rPr>
      </w:pPr>
    </w:p>
  </w:footnote>
  <w:footnote w:id="4">
    <w:p w14:paraId="74B658CF" w14:textId="77777777" w:rsidR="003771B6" w:rsidRDefault="003771B6"/>
    <w:p w14:paraId="73CBDBB4" w14:textId="3DEE8AA3" w:rsidR="004001BC" w:rsidRPr="00567414" w:rsidRDefault="004001BC">
      <w:pPr>
        <w:pStyle w:val="Notedebasdepage"/>
        <w:rPr>
          <w:i/>
          <w:sz w:val="20"/>
        </w:rPr>
      </w:pPr>
    </w:p>
  </w:footnote>
  <w:footnote w:id="5">
    <w:p w14:paraId="6EB872DC" w14:textId="77777777" w:rsidR="004001BC" w:rsidRPr="00DA55C5" w:rsidRDefault="004001BC" w:rsidP="00ED33AB">
      <w:pPr>
        <w:pStyle w:val="Notedebasdepage"/>
        <w:ind w:left="709" w:hanging="709"/>
        <w:rPr>
          <w:i/>
          <w:sz w:val="20"/>
        </w:rPr>
      </w:pPr>
      <w:r>
        <w:rPr>
          <w:rStyle w:val="Appelnotedebasdep"/>
        </w:rPr>
        <w:footnoteRef/>
      </w:r>
      <w:r w:rsidR="00ED33AB">
        <w:tab/>
      </w:r>
      <w:r w:rsidRPr="00DA55C5">
        <w:rPr>
          <w:i/>
          <w:sz w:val="20"/>
        </w:rPr>
        <w:t>2011 QCCLP 4313; Gingras et Zin Électrolytique du Canada</w:t>
      </w:r>
      <w:r w:rsidR="00ED33AB">
        <w:rPr>
          <w:i/>
          <w:sz w:val="20"/>
        </w:rPr>
        <w:t xml:space="preserve"> </w:t>
      </w:r>
      <w:r w:rsidRPr="00DA55C5">
        <w:rPr>
          <w:i/>
          <w:sz w:val="20"/>
        </w:rPr>
        <w:t>lté, 2016 QCTAT 3205; Szczesniak et A. Grirardin inc. 2018 QCTAT 5924</w:t>
      </w:r>
      <w:r w:rsidR="00ED33AB">
        <w:rPr>
          <w:i/>
          <w:sz w:val="20"/>
        </w:rPr>
        <w:t>.</w:t>
      </w:r>
    </w:p>
  </w:footnote>
  <w:footnote w:id="6">
    <w:p w14:paraId="351B6679" w14:textId="77777777" w:rsidR="004001BC" w:rsidRPr="00ED33AB" w:rsidRDefault="004001BC" w:rsidP="00ED33AB">
      <w:pPr>
        <w:pStyle w:val="Notedebasdepage"/>
        <w:ind w:left="709" w:hanging="709"/>
        <w:rPr>
          <w:sz w:val="20"/>
        </w:rPr>
      </w:pPr>
      <w:r>
        <w:rPr>
          <w:rStyle w:val="Appelnotedebasdep"/>
        </w:rPr>
        <w:footnoteRef/>
      </w:r>
      <w:r w:rsidR="00ED33AB">
        <w:tab/>
      </w:r>
      <w:r w:rsidRPr="00FD0DAC">
        <w:rPr>
          <w:i/>
          <w:sz w:val="20"/>
        </w:rPr>
        <w:t>Kolostat inc et Thérien</w:t>
      </w:r>
      <w:r w:rsidRPr="00ED33AB">
        <w:rPr>
          <w:sz w:val="20"/>
        </w:rPr>
        <w:t>, [2009] C.L.P. 537</w:t>
      </w:r>
      <w:r w:rsidR="00ED33AB">
        <w:rPr>
          <w:sz w:val="20"/>
        </w:rPr>
        <w:t>.</w:t>
      </w:r>
    </w:p>
  </w:footnote>
  <w:footnote w:id="7">
    <w:p w14:paraId="37F5E7E4" w14:textId="77777777" w:rsidR="00A20501" w:rsidRDefault="00A20501" w:rsidP="00A20501">
      <w:pPr>
        <w:pStyle w:val="Notedebasdepage"/>
        <w:ind w:left="709" w:hanging="709"/>
        <w:jc w:val="both"/>
      </w:pPr>
      <w:r>
        <w:rPr>
          <w:rStyle w:val="Appelnotedebasdep"/>
        </w:rPr>
        <w:footnoteRef/>
      </w:r>
      <w:r>
        <w:t xml:space="preserve"> </w:t>
      </w:r>
      <w:r>
        <w:tab/>
      </w:r>
      <w:r w:rsidRPr="00D32261">
        <w:rPr>
          <w:sz w:val="20"/>
        </w:rPr>
        <w:t>Son curriculum vitae est éloquent. Professeure titulaire et directrice du programme d’audiologie et d’orthophonie de l’Université d’Ottawa, elle a une expérience considérable en enseignement et en recherche. Elle est spécialisée en surdité professionnelle. Elle a approfondi ses recherches sur l’effet du bruit sur l’audition et sur les effets sur la santé particulièrement celle des travailleurs. Elle a témoigné à plusieurs reprises devant les tribunaux à titre d’experte.</w:t>
      </w:r>
    </w:p>
  </w:footnote>
  <w:footnote w:id="8">
    <w:p w14:paraId="7736EFDE" w14:textId="77777777" w:rsidR="00EB3A9B" w:rsidRPr="00ED33AB" w:rsidRDefault="00EB3A9B" w:rsidP="00ED33AB">
      <w:pPr>
        <w:pStyle w:val="Notedebasdepage"/>
        <w:ind w:left="709" w:hanging="709"/>
        <w:rPr>
          <w:sz w:val="20"/>
        </w:rPr>
      </w:pPr>
      <w:r>
        <w:rPr>
          <w:rStyle w:val="Appelnotedebasdep"/>
        </w:rPr>
        <w:footnoteRef/>
      </w:r>
      <w:r w:rsidR="00ED33AB">
        <w:tab/>
      </w:r>
      <w:r w:rsidRPr="00ED33AB">
        <w:rPr>
          <w:sz w:val="20"/>
        </w:rPr>
        <w:t>Notamment</w:t>
      </w:r>
      <w:r w:rsidR="0027268C" w:rsidRPr="00ED33AB">
        <w:rPr>
          <w:sz w:val="20"/>
        </w:rPr>
        <w:t>;</w:t>
      </w:r>
      <w:r w:rsidRPr="00ED33AB">
        <w:rPr>
          <w:sz w:val="20"/>
        </w:rPr>
        <w:t xml:space="preserve"> </w:t>
      </w:r>
      <w:r w:rsidRPr="00FD0DAC">
        <w:rPr>
          <w:i/>
          <w:sz w:val="20"/>
        </w:rPr>
        <w:t>Philips Électronique ltée et Baron Caoutchouc ltée et Desroches</w:t>
      </w:r>
      <w:r w:rsidRPr="00ED33AB">
        <w:rPr>
          <w:sz w:val="20"/>
        </w:rPr>
        <w:t>, C.A.L.P 66210-64-9502, 13 juin 1996, B. Lemay</w:t>
      </w:r>
      <w:r w:rsidR="00ED33AB">
        <w:rPr>
          <w:sz w:val="20"/>
        </w:rPr>
        <w:t>.</w:t>
      </w:r>
    </w:p>
  </w:footnote>
  <w:footnote w:id="9">
    <w:p w14:paraId="119D1588" w14:textId="77777777" w:rsidR="00261DF7" w:rsidRPr="00ED33AB" w:rsidRDefault="00261DF7" w:rsidP="00ED33AB">
      <w:pPr>
        <w:pStyle w:val="Notedebasdepage"/>
        <w:ind w:left="709" w:hanging="709"/>
        <w:rPr>
          <w:sz w:val="20"/>
        </w:rPr>
      </w:pPr>
      <w:r>
        <w:rPr>
          <w:rStyle w:val="Appelnotedebasdep"/>
        </w:rPr>
        <w:footnoteRef/>
      </w:r>
      <w:r w:rsidR="00ED33AB">
        <w:tab/>
      </w:r>
      <w:r w:rsidRPr="00FD0DAC">
        <w:rPr>
          <w:i/>
          <w:sz w:val="20"/>
        </w:rPr>
        <w:t>Corporation Zedbed internationnal inc. et Pellerin</w:t>
      </w:r>
      <w:r w:rsidRPr="00ED33AB">
        <w:rPr>
          <w:sz w:val="20"/>
        </w:rPr>
        <w:t>, 2010 QCCLP 1649</w:t>
      </w:r>
      <w:r w:rsidR="00ED33AB">
        <w:rPr>
          <w:sz w:val="20"/>
        </w:rPr>
        <w:t>.</w:t>
      </w:r>
    </w:p>
  </w:footnote>
  <w:footnote w:id="10">
    <w:p w14:paraId="524FBBE0" w14:textId="77777777" w:rsidR="00261DF7" w:rsidRPr="00ED33AB" w:rsidRDefault="00261DF7" w:rsidP="00ED33AB">
      <w:pPr>
        <w:pStyle w:val="Notedebasdepage"/>
        <w:ind w:left="709" w:hanging="709"/>
        <w:rPr>
          <w:sz w:val="20"/>
        </w:rPr>
      </w:pPr>
      <w:r>
        <w:rPr>
          <w:rStyle w:val="Appelnotedebasdep"/>
        </w:rPr>
        <w:footnoteRef/>
      </w:r>
      <w:r w:rsidR="00ED33AB">
        <w:tab/>
      </w:r>
      <w:r w:rsidRPr="00FD0DAC">
        <w:rPr>
          <w:i/>
          <w:sz w:val="20"/>
        </w:rPr>
        <w:t>Thériault et Shred-It International</w:t>
      </w:r>
      <w:r w:rsidRPr="00ED33AB">
        <w:rPr>
          <w:sz w:val="20"/>
        </w:rPr>
        <w:t>, 2017 QCTAT 2862</w:t>
      </w:r>
      <w:r w:rsidR="00ED33AB">
        <w:rPr>
          <w:sz w:val="20"/>
        </w:rPr>
        <w:t>.</w:t>
      </w:r>
    </w:p>
  </w:footnote>
  <w:footnote w:id="11">
    <w:p w14:paraId="49E848AD" w14:textId="77777777" w:rsidR="00A20501" w:rsidRPr="00ED33AB" w:rsidRDefault="00A20501" w:rsidP="00A20501">
      <w:pPr>
        <w:pStyle w:val="Notedebasdepage"/>
        <w:ind w:left="709" w:hanging="709"/>
        <w:rPr>
          <w:sz w:val="20"/>
        </w:rPr>
      </w:pPr>
      <w:r>
        <w:rPr>
          <w:rStyle w:val="Appelnotedebasdep"/>
        </w:rPr>
        <w:footnoteRef/>
      </w:r>
      <w:r>
        <w:tab/>
      </w:r>
      <w:r w:rsidRPr="00ED33AB">
        <w:rPr>
          <w:sz w:val="20"/>
        </w:rPr>
        <w:t>Précité note 8</w:t>
      </w:r>
      <w:r>
        <w:rPr>
          <w:sz w:val="20"/>
        </w:rPr>
        <w:t>.</w:t>
      </w:r>
    </w:p>
  </w:footnote>
  <w:footnote w:id="12">
    <w:p w14:paraId="63514C92" w14:textId="77777777" w:rsidR="00261DF7" w:rsidRPr="00ED33AB" w:rsidRDefault="00261DF7" w:rsidP="00261DF7">
      <w:pPr>
        <w:pStyle w:val="Notedebasdepage"/>
        <w:rPr>
          <w:sz w:val="20"/>
        </w:rPr>
      </w:pPr>
      <w:r>
        <w:rPr>
          <w:rStyle w:val="Appelnotedebasdep"/>
        </w:rPr>
        <w:footnoteRef/>
      </w:r>
      <w:r w:rsidR="00ED33AB">
        <w:tab/>
      </w:r>
      <w:r w:rsidR="00ED33AB" w:rsidRPr="00ED33AB">
        <w:rPr>
          <w:sz w:val="20"/>
        </w:rPr>
        <w:t>I</w:t>
      </w:r>
      <w:r w:rsidRPr="00ED33AB">
        <w:rPr>
          <w:sz w:val="20"/>
        </w:rPr>
        <w:t>dem</w:t>
      </w:r>
      <w:r w:rsidR="00ED33AB">
        <w:rPr>
          <w:sz w:val="20"/>
        </w:rPr>
        <w:t>.</w:t>
      </w:r>
    </w:p>
  </w:footnote>
  <w:footnote w:id="13">
    <w:p w14:paraId="40F3693C" w14:textId="6484152E" w:rsidR="00286705" w:rsidRPr="00ED33AB" w:rsidRDefault="00286705">
      <w:pPr>
        <w:pStyle w:val="Notedebasdepage"/>
        <w:rPr>
          <w:sz w:val="20"/>
        </w:rPr>
      </w:pPr>
      <w:r>
        <w:rPr>
          <w:rStyle w:val="Appelnotedebasdep"/>
        </w:rPr>
        <w:footnoteRef/>
      </w:r>
      <w:r w:rsidR="00ED33AB">
        <w:tab/>
      </w:r>
      <w:r w:rsidRPr="00ED33AB">
        <w:rPr>
          <w:sz w:val="20"/>
        </w:rPr>
        <w:t>C.L.P. 233972-62B-0404, 30 novembre 2006, M.-D. Lampro</w:t>
      </w:r>
      <w:r w:rsidR="00DA1B64">
        <w:rPr>
          <w:sz w:val="20"/>
        </w:rPr>
        <w:t>n</w:t>
      </w:r>
      <w:r w:rsidR="00ED33AB">
        <w:rPr>
          <w:sz w:val="20"/>
        </w:rPr>
        <w:t>.</w:t>
      </w:r>
    </w:p>
  </w:footnote>
  <w:footnote w:id="14">
    <w:p w14:paraId="551907B9" w14:textId="77777777" w:rsidR="00B04E9F" w:rsidRPr="00ED33AB" w:rsidRDefault="00B04E9F">
      <w:pPr>
        <w:pStyle w:val="Notedebasdepage"/>
        <w:rPr>
          <w:sz w:val="20"/>
        </w:rPr>
      </w:pPr>
      <w:r>
        <w:rPr>
          <w:rStyle w:val="Appelnotedebasdep"/>
        </w:rPr>
        <w:footnoteRef/>
      </w:r>
      <w:r w:rsidR="00ED33AB">
        <w:tab/>
      </w:r>
      <w:r w:rsidRPr="00ED33AB">
        <w:rPr>
          <w:sz w:val="20"/>
        </w:rPr>
        <w:t>2013 QCCLP 1840</w:t>
      </w:r>
      <w:r w:rsidR="00ED33AB">
        <w:rPr>
          <w:sz w:val="20"/>
        </w:rPr>
        <w:t>.</w:t>
      </w:r>
    </w:p>
  </w:footnote>
  <w:footnote w:id="15">
    <w:p w14:paraId="3C4A37BF" w14:textId="77777777" w:rsidR="008918DE" w:rsidRPr="00ED33AB" w:rsidRDefault="008918DE">
      <w:pPr>
        <w:pStyle w:val="Notedebasdepage"/>
        <w:rPr>
          <w:sz w:val="20"/>
        </w:rPr>
      </w:pPr>
      <w:r>
        <w:rPr>
          <w:rStyle w:val="Appelnotedebasdep"/>
        </w:rPr>
        <w:footnoteRef/>
      </w:r>
      <w:r w:rsidR="00ED33AB">
        <w:tab/>
      </w:r>
      <w:r w:rsidRPr="00ED33AB">
        <w:rPr>
          <w:sz w:val="20"/>
        </w:rPr>
        <w:t>Historique des employeurs source Retraite Québec, p. 16 à 18 du dossier</w:t>
      </w:r>
      <w:r w:rsidR="00ED33AB">
        <w:rPr>
          <w:sz w:val="20"/>
        </w:rPr>
        <w:t>.</w:t>
      </w:r>
    </w:p>
  </w:footnote>
  <w:footnote w:id="16">
    <w:p w14:paraId="064977AD" w14:textId="1C4C73AC" w:rsidR="00AD4D64" w:rsidRPr="00ED33AB" w:rsidRDefault="00AD4D64">
      <w:pPr>
        <w:pStyle w:val="Notedebasdepage"/>
        <w:rPr>
          <w:sz w:val="20"/>
        </w:rPr>
      </w:pPr>
      <w:r>
        <w:rPr>
          <w:rStyle w:val="Appelnotedebasdep"/>
        </w:rPr>
        <w:footnoteRef/>
      </w:r>
      <w:r>
        <w:t xml:space="preserve"> </w:t>
      </w:r>
      <w:r w:rsidR="00ED33AB">
        <w:tab/>
      </w:r>
      <w:r w:rsidR="00F71705" w:rsidRPr="00ED33AB">
        <w:rPr>
          <w:sz w:val="20"/>
        </w:rPr>
        <w:t>P. 78 du dossier (Sayler et al., 2019; Achutan, 2009)</w:t>
      </w:r>
      <w:r w:rsidR="00ED33AB">
        <w:rPr>
          <w:sz w:val="20"/>
        </w:rPr>
        <w:t>.</w:t>
      </w:r>
    </w:p>
  </w:footnote>
  <w:footnote w:id="17">
    <w:p w14:paraId="4B80E0CB" w14:textId="77777777" w:rsidR="00887D56" w:rsidRDefault="00887D56" w:rsidP="00887D56">
      <w:pPr>
        <w:pStyle w:val="Notedebasdepage"/>
      </w:pPr>
      <w:r>
        <w:rPr>
          <w:rStyle w:val="Appelnotedebasdep"/>
        </w:rPr>
        <w:footnoteRef/>
      </w:r>
      <w:r w:rsidRPr="00ED33AB">
        <w:rPr>
          <w:sz w:val="20"/>
        </w:rPr>
        <w:t xml:space="preserve"> </w:t>
      </w:r>
      <w:r w:rsidR="00ED33AB" w:rsidRPr="00ED33AB">
        <w:rPr>
          <w:sz w:val="20"/>
        </w:rPr>
        <w:tab/>
      </w:r>
      <w:r w:rsidRPr="00ED33AB">
        <w:rPr>
          <w:sz w:val="20"/>
        </w:rPr>
        <w:t>Voir calcul dans l’analyse-expertise p. 78</w:t>
      </w:r>
      <w:r w:rsidR="00ED33AB">
        <w:rPr>
          <w:sz w:val="20"/>
        </w:rPr>
        <w:t>.</w:t>
      </w:r>
    </w:p>
  </w:footnote>
  <w:footnote w:id="18">
    <w:p w14:paraId="73EE3A0F" w14:textId="27915021" w:rsidR="00AC734B" w:rsidRPr="00ED33AB" w:rsidRDefault="00AC734B">
      <w:pPr>
        <w:pStyle w:val="Notedebasdepage"/>
        <w:rPr>
          <w:sz w:val="20"/>
          <w:lang w:val="en-CA"/>
        </w:rPr>
      </w:pPr>
      <w:r>
        <w:rPr>
          <w:rStyle w:val="Appelnotedebasdep"/>
        </w:rPr>
        <w:footnoteRef/>
      </w:r>
      <w:r w:rsidRPr="00CE7E2E">
        <w:rPr>
          <w:lang w:val="en-CA"/>
        </w:rPr>
        <w:t xml:space="preserve"> </w:t>
      </w:r>
      <w:r w:rsidR="00ED33AB">
        <w:rPr>
          <w:lang w:val="en-CA"/>
        </w:rPr>
        <w:tab/>
      </w:r>
      <w:r w:rsidRPr="00ED33AB">
        <w:rPr>
          <w:sz w:val="20"/>
          <w:lang w:val="en-CA"/>
        </w:rPr>
        <w:t>Noise &amp; Health, July-</w:t>
      </w:r>
      <w:r w:rsidR="00B268DE">
        <w:rPr>
          <w:sz w:val="20"/>
          <w:lang w:val="en-CA"/>
        </w:rPr>
        <w:t>S</w:t>
      </w:r>
      <w:r w:rsidR="00B268DE" w:rsidRPr="00ED33AB">
        <w:rPr>
          <w:sz w:val="20"/>
          <w:lang w:val="en-CA"/>
        </w:rPr>
        <w:t xml:space="preserve">eptember </w:t>
      </w:r>
      <w:r w:rsidRPr="00ED33AB">
        <w:rPr>
          <w:sz w:val="20"/>
          <w:lang w:val="en-CA"/>
        </w:rPr>
        <w:t>2009, 11:44, 145-50</w:t>
      </w:r>
      <w:r w:rsidR="00CE7E2E" w:rsidRPr="00ED33AB">
        <w:rPr>
          <w:sz w:val="20"/>
          <w:lang w:val="en-CA"/>
        </w:rPr>
        <w:t xml:space="preserve"> et Sayler SK. Et al. Occup Environ Med </w:t>
      </w:r>
      <w:r w:rsidR="00ED33AB">
        <w:rPr>
          <w:sz w:val="20"/>
          <w:lang w:val="en-CA"/>
        </w:rPr>
        <w:tab/>
      </w:r>
      <w:r w:rsidR="00CE7E2E" w:rsidRPr="00ED33AB">
        <w:rPr>
          <w:sz w:val="20"/>
          <w:lang w:val="en-CA"/>
        </w:rPr>
        <w:t>2019: 118-124</w:t>
      </w:r>
      <w:r w:rsidR="00ED33AB">
        <w:rPr>
          <w:sz w:val="20"/>
          <w:lang w:val="en-CA"/>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4001BC" w14:paraId="4822BCBF" w14:textId="77777777" w:rsidTr="00C6223B">
      <w:tc>
        <w:tcPr>
          <w:tcW w:w="8730" w:type="dxa"/>
        </w:tcPr>
        <w:p w14:paraId="73AD8FBE" w14:textId="77777777" w:rsidR="004001BC" w:rsidRDefault="004001BC">
          <w:pPr>
            <w:pStyle w:val="En-tte"/>
            <w:ind w:left="-90"/>
          </w:pPr>
        </w:p>
      </w:tc>
      <w:tc>
        <w:tcPr>
          <w:tcW w:w="860" w:type="dxa"/>
        </w:tcPr>
        <w:p w14:paraId="64706D6C" w14:textId="77777777" w:rsidR="004001BC" w:rsidRDefault="004001BC">
          <w:pPr>
            <w:pStyle w:val="En-tte"/>
            <w:ind w:left="-90"/>
          </w:pPr>
        </w:p>
      </w:tc>
    </w:tr>
    <w:tr w:rsidR="004001BC" w14:paraId="5D41C63B" w14:textId="77777777" w:rsidTr="00C6223B">
      <w:tc>
        <w:tcPr>
          <w:tcW w:w="8730" w:type="dxa"/>
        </w:tcPr>
        <w:p w14:paraId="77AFD688" w14:textId="77777777" w:rsidR="004001BC" w:rsidRDefault="004001BC" w:rsidP="00C6223B">
          <w:pPr>
            <w:pStyle w:val="zSoquijdatNoDossier"/>
          </w:pPr>
          <w:r>
            <w:t>660056-04B-1803</w:t>
          </w:r>
        </w:p>
      </w:tc>
      <w:tc>
        <w:tcPr>
          <w:tcW w:w="860" w:type="dxa"/>
        </w:tcPr>
        <w:p w14:paraId="2FC615DF" w14:textId="61BF062F" w:rsidR="004001BC" w:rsidRDefault="004001BC" w:rsidP="00C6223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3771B6">
            <w:rPr>
              <w:rStyle w:val="Numrodepage"/>
              <w:noProof/>
            </w:rPr>
            <w:t>2</w:t>
          </w:r>
          <w:r>
            <w:rPr>
              <w:rStyle w:val="Numrodepage"/>
            </w:rPr>
            <w:fldChar w:fldCharType="end"/>
          </w:r>
        </w:p>
      </w:tc>
    </w:tr>
    <w:tr w:rsidR="004001BC" w14:paraId="5EEAD34A" w14:textId="77777777" w:rsidTr="00C6223B">
      <w:tc>
        <w:tcPr>
          <w:tcW w:w="8730" w:type="dxa"/>
        </w:tcPr>
        <w:p w14:paraId="3F5EA471" w14:textId="77777777" w:rsidR="004001BC" w:rsidRDefault="004001BC" w:rsidP="00C6223B"/>
      </w:tc>
      <w:tc>
        <w:tcPr>
          <w:tcW w:w="860" w:type="dxa"/>
        </w:tcPr>
        <w:p w14:paraId="2CD7692E" w14:textId="77777777" w:rsidR="004001BC" w:rsidRDefault="004001BC" w:rsidP="00C6223B">
          <w:pPr>
            <w:pStyle w:val="En-tte"/>
            <w:ind w:left="-90"/>
            <w:jc w:val="right"/>
          </w:pPr>
        </w:p>
      </w:tc>
    </w:tr>
  </w:tbl>
  <w:p w14:paraId="71B8A5F5" w14:textId="77777777" w:rsidR="004001BC" w:rsidRDefault="004001B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C2506"/>
    <w:multiLevelType w:val="multilevel"/>
    <w:tmpl w:val="1CD0CE5C"/>
    <w:lvl w:ilvl="0">
      <w:start w:val="1"/>
      <w:numFmt w:val="bullet"/>
      <w:lvlText w:val=""/>
      <w:lvlJc w:val="left"/>
      <w:pPr>
        <w:tabs>
          <w:tab w:val="num" w:pos="1068"/>
        </w:tabs>
        <w:ind w:left="708" w:firstLine="0"/>
      </w:pPr>
      <w:rPr>
        <w:rFonts w:ascii="Symbol" w:hAnsi="Symbol" w:hint="default"/>
      </w:rPr>
    </w:lvl>
    <w:lvl w:ilvl="1">
      <w:start w:val="1"/>
      <w:numFmt w:val="decimal"/>
      <w:lvlRestart w:val="0"/>
      <w:lvlText w:val="[%1.%2]"/>
      <w:lvlJc w:val="left"/>
      <w:pPr>
        <w:tabs>
          <w:tab w:val="num" w:pos="1788"/>
        </w:tabs>
        <w:ind w:left="1068" w:firstLine="0"/>
      </w:pPr>
    </w:lvl>
    <w:lvl w:ilvl="2">
      <w:start w:val="1"/>
      <w:numFmt w:val="decimal"/>
      <w:lvlRestart w:val="0"/>
      <w:lvlText w:val="[%1.%2.%3]"/>
      <w:lvlJc w:val="left"/>
      <w:pPr>
        <w:tabs>
          <w:tab w:val="num" w:pos="2148"/>
        </w:tabs>
        <w:ind w:left="1428" w:firstLine="0"/>
      </w:pPr>
    </w:lvl>
    <w:lvl w:ilvl="3">
      <w:start w:val="1"/>
      <w:numFmt w:val="decimal"/>
      <w:lvlRestart w:val="0"/>
      <w:lvlText w:val="[%1.%2.%3.%4]"/>
      <w:lvlJc w:val="left"/>
      <w:pPr>
        <w:tabs>
          <w:tab w:val="num" w:pos="2868"/>
        </w:tabs>
        <w:ind w:left="1788" w:firstLine="0"/>
      </w:pPr>
    </w:lvl>
    <w:lvl w:ilvl="4">
      <w:start w:val="1"/>
      <w:numFmt w:val="decimal"/>
      <w:lvlRestart w:val="0"/>
      <w:lvlText w:val="[%1.%2.%3.%4.%5]"/>
      <w:lvlJc w:val="left"/>
      <w:pPr>
        <w:tabs>
          <w:tab w:val="num" w:pos="3228"/>
        </w:tabs>
        <w:ind w:left="2940" w:hanging="792"/>
      </w:pPr>
    </w:lvl>
    <w:lvl w:ilvl="5">
      <w:start w:val="1"/>
      <w:numFmt w:val="decimal"/>
      <w:lvlRestart w:val="0"/>
      <w:lvlText w:val="[%1.%2.%3.%4.%5.%6]"/>
      <w:lvlJc w:val="left"/>
      <w:pPr>
        <w:tabs>
          <w:tab w:val="num" w:pos="3948"/>
        </w:tabs>
        <w:ind w:left="3444" w:hanging="936"/>
      </w:pPr>
    </w:lvl>
    <w:lvl w:ilvl="6">
      <w:start w:val="1"/>
      <w:numFmt w:val="decimal"/>
      <w:lvlRestart w:val="0"/>
      <w:lvlText w:val="[%1.%2.%3.%4.%5.%6.%7]"/>
      <w:lvlJc w:val="left"/>
      <w:pPr>
        <w:tabs>
          <w:tab w:val="num" w:pos="4308"/>
        </w:tabs>
        <w:ind w:left="3948" w:hanging="1080"/>
      </w:pPr>
    </w:lvl>
    <w:lvl w:ilvl="7">
      <w:start w:val="1"/>
      <w:numFmt w:val="decimal"/>
      <w:lvlRestart w:val="0"/>
      <w:lvlText w:val="[%1.%2.%3.%4.%5.%6.%7.%8]"/>
      <w:lvlJc w:val="left"/>
      <w:pPr>
        <w:tabs>
          <w:tab w:val="num" w:pos="5028"/>
        </w:tabs>
        <w:ind w:left="4452" w:hanging="1224"/>
      </w:pPr>
    </w:lvl>
    <w:lvl w:ilvl="8">
      <w:start w:val="1"/>
      <w:numFmt w:val="decimal"/>
      <w:lvlRestart w:val="0"/>
      <w:lvlText w:val="[%1.%2.%3.%4.%5.%6.%7.%8.%9]"/>
      <w:lvlJc w:val="left"/>
      <w:pPr>
        <w:tabs>
          <w:tab w:val="num" w:pos="5388"/>
        </w:tabs>
        <w:ind w:left="5028" w:hanging="1440"/>
      </w:pPr>
    </w:lvl>
  </w:abstractNum>
  <w:abstractNum w:abstractNumId="1">
    <w:nsid w:val="31CE60E0"/>
    <w:multiLevelType w:val="singleLevel"/>
    <w:tmpl w:val="0C0C000F"/>
    <w:lvl w:ilvl="0">
      <w:start w:val="1"/>
      <w:numFmt w:val="decimal"/>
      <w:lvlText w:val="%1."/>
      <w:lvlJc w:val="left"/>
      <w:pPr>
        <w:tabs>
          <w:tab w:val="num" w:pos="360"/>
        </w:tabs>
        <w:ind w:left="360" w:hanging="360"/>
      </w:pPr>
    </w:lvl>
  </w:abstractNum>
  <w:abstractNum w:abstractNumId="2">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5">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6">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5"/>
  </w:num>
  <w:num w:numId="2">
    <w:abstractNumId w:val="4"/>
  </w:num>
  <w:num w:numId="3">
    <w:abstractNumId w:val="3"/>
  </w:num>
  <w:num w:numId="4">
    <w:abstractNumId w:val="2"/>
  </w:num>
  <w:num w:numId="5">
    <w:abstractNumId w:val="6"/>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23B"/>
    <w:rsid w:val="000034B0"/>
    <w:rsid w:val="000041A1"/>
    <w:rsid w:val="00021B30"/>
    <w:rsid w:val="00021E4C"/>
    <w:rsid w:val="00022556"/>
    <w:rsid w:val="000318C6"/>
    <w:rsid w:val="000366EC"/>
    <w:rsid w:val="00043E4D"/>
    <w:rsid w:val="000443ED"/>
    <w:rsid w:val="00056393"/>
    <w:rsid w:val="00063312"/>
    <w:rsid w:val="00067257"/>
    <w:rsid w:val="0007225E"/>
    <w:rsid w:val="00076D81"/>
    <w:rsid w:val="0008378A"/>
    <w:rsid w:val="0008784D"/>
    <w:rsid w:val="00090018"/>
    <w:rsid w:val="00090306"/>
    <w:rsid w:val="000923BE"/>
    <w:rsid w:val="00093ACD"/>
    <w:rsid w:val="00095814"/>
    <w:rsid w:val="00097D81"/>
    <w:rsid w:val="000A2A3F"/>
    <w:rsid w:val="000A3CB6"/>
    <w:rsid w:val="000A4AD0"/>
    <w:rsid w:val="000A77C5"/>
    <w:rsid w:val="000B7F1B"/>
    <w:rsid w:val="000C0860"/>
    <w:rsid w:val="000C67F0"/>
    <w:rsid w:val="000D3948"/>
    <w:rsid w:val="000E0893"/>
    <w:rsid w:val="000E0C28"/>
    <w:rsid w:val="000E1320"/>
    <w:rsid w:val="000E56A6"/>
    <w:rsid w:val="000F3423"/>
    <w:rsid w:val="001014BF"/>
    <w:rsid w:val="001050B4"/>
    <w:rsid w:val="0012224D"/>
    <w:rsid w:val="001225BC"/>
    <w:rsid w:val="00122A9E"/>
    <w:rsid w:val="0012326A"/>
    <w:rsid w:val="0012539D"/>
    <w:rsid w:val="00133B2A"/>
    <w:rsid w:val="001407FC"/>
    <w:rsid w:val="00144B98"/>
    <w:rsid w:val="00147A49"/>
    <w:rsid w:val="00147B8B"/>
    <w:rsid w:val="0015125A"/>
    <w:rsid w:val="0015143A"/>
    <w:rsid w:val="00152464"/>
    <w:rsid w:val="0015539F"/>
    <w:rsid w:val="00155ABD"/>
    <w:rsid w:val="001569AC"/>
    <w:rsid w:val="00160597"/>
    <w:rsid w:val="00162C80"/>
    <w:rsid w:val="00163CD8"/>
    <w:rsid w:val="001664C8"/>
    <w:rsid w:val="00167AD0"/>
    <w:rsid w:val="00173184"/>
    <w:rsid w:val="0017499B"/>
    <w:rsid w:val="00175079"/>
    <w:rsid w:val="00175814"/>
    <w:rsid w:val="00183515"/>
    <w:rsid w:val="001A03BE"/>
    <w:rsid w:val="001A067E"/>
    <w:rsid w:val="001A13EC"/>
    <w:rsid w:val="001A2900"/>
    <w:rsid w:val="001A4081"/>
    <w:rsid w:val="001A65F1"/>
    <w:rsid w:val="001B0C7E"/>
    <w:rsid w:val="001B2B40"/>
    <w:rsid w:val="001B3E9D"/>
    <w:rsid w:val="001B4A40"/>
    <w:rsid w:val="001C185B"/>
    <w:rsid w:val="001C26AE"/>
    <w:rsid w:val="001C2B0B"/>
    <w:rsid w:val="001F628F"/>
    <w:rsid w:val="00210147"/>
    <w:rsid w:val="00227040"/>
    <w:rsid w:val="00230CFC"/>
    <w:rsid w:val="00231C1D"/>
    <w:rsid w:val="00241CED"/>
    <w:rsid w:val="00242FB4"/>
    <w:rsid w:val="0024465D"/>
    <w:rsid w:val="00245605"/>
    <w:rsid w:val="002500CD"/>
    <w:rsid w:val="002563F0"/>
    <w:rsid w:val="00261DF7"/>
    <w:rsid w:val="00265051"/>
    <w:rsid w:val="00266064"/>
    <w:rsid w:val="00267C8D"/>
    <w:rsid w:val="002701DD"/>
    <w:rsid w:val="0027268C"/>
    <w:rsid w:val="002769B5"/>
    <w:rsid w:val="00276B59"/>
    <w:rsid w:val="00281319"/>
    <w:rsid w:val="00286149"/>
    <w:rsid w:val="0028668D"/>
    <w:rsid w:val="00286705"/>
    <w:rsid w:val="00290289"/>
    <w:rsid w:val="00291737"/>
    <w:rsid w:val="00296645"/>
    <w:rsid w:val="00296A4B"/>
    <w:rsid w:val="00297284"/>
    <w:rsid w:val="002A0077"/>
    <w:rsid w:val="002A14B1"/>
    <w:rsid w:val="002A184D"/>
    <w:rsid w:val="002A374B"/>
    <w:rsid w:val="002A73E9"/>
    <w:rsid w:val="002A7E19"/>
    <w:rsid w:val="002B2FC3"/>
    <w:rsid w:val="002B35F0"/>
    <w:rsid w:val="002B58AF"/>
    <w:rsid w:val="002C2D1C"/>
    <w:rsid w:val="002C3748"/>
    <w:rsid w:val="002C5E89"/>
    <w:rsid w:val="002D71A9"/>
    <w:rsid w:val="002E13C1"/>
    <w:rsid w:val="002F2B4D"/>
    <w:rsid w:val="002F7507"/>
    <w:rsid w:val="00301BA0"/>
    <w:rsid w:val="003024B5"/>
    <w:rsid w:val="00302FB4"/>
    <w:rsid w:val="00305273"/>
    <w:rsid w:val="003057FC"/>
    <w:rsid w:val="0030789C"/>
    <w:rsid w:val="00307C85"/>
    <w:rsid w:val="00312983"/>
    <w:rsid w:val="00316785"/>
    <w:rsid w:val="003248CB"/>
    <w:rsid w:val="00331EA7"/>
    <w:rsid w:val="003332B8"/>
    <w:rsid w:val="00333E2E"/>
    <w:rsid w:val="00344465"/>
    <w:rsid w:val="00345CE1"/>
    <w:rsid w:val="00346C66"/>
    <w:rsid w:val="0034740A"/>
    <w:rsid w:val="0035375B"/>
    <w:rsid w:val="003607ED"/>
    <w:rsid w:val="003664E9"/>
    <w:rsid w:val="00366D1E"/>
    <w:rsid w:val="00371523"/>
    <w:rsid w:val="00373EE5"/>
    <w:rsid w:val="003771B6"/>
    <w:rsid w:val="003778FB"/>
    <w:rsid w:val="003817E7"/>
    <w:rsid w:val="00382907"/>
    <w:rsid w:val="00382E55"/>
    <w:rsid w:val="00392CAD"/>
    <w:rsid w:val="003961B2"/>
    <w:rsid w:val="003A41AD"/>
    <w:rsid w:val="003B152B"/>
    <w:rsid w:val="003B1734"/>
    <w:rsid w:val="003B1735"/>
    <w:rsid w:val="003B6CBF"/>
    <w:rsid w:val="003C47A7"/>
    <w:rsid w:val="003D0826"/>
    <w:rsid w:val="003D137A"/>
    <w:rsid w:val="003D1DD7"/>
    <w:rsid w:val="003D331B"/>
    <w:rsid w:val="003D3C93"/>
    <w:rsid w:val="003D4907"/>
    <w:rsid w:val="003E00D5"/>
    <w:rsid w:val="003E02BA"/>
    <w:rsid w:val="003E5A5D"/>
    <w:rsid w:val="003F0D87"/>
    <w:rsid w:val="003F129E"/>
    <w:rsid w:val="003F7F38"/>
    <w:rsid w:val="004001BC"/>
    <w:rsid w:val="004018A1"/>
    <w:rsid w:val="0040399B"/>
    <w:rsid w:val="00406F0C"/>
    <w:rsid w:val="00412585"/>
    <w:rsid w:val="0041363B"/>
    <w:rsid w:val="00415D5D"/>
    <w:rsid w:val="004211D3"/>
    <w:rsid w:val="004241D8"/>
    <w:rsid w:val="0042650F"/>
    <w:rsid w:val="00431E0B"/>
    <w:rsid w:val="004326EE"/>
    <w:rsid w:val="004337FE"/>
    <w:rsid w:val="00433E98"/>
    <w:rsid w:val="0043510D"/>
    <w:rsid w:val="00435738"/>
    <w:rsid w:val="00437137"/>
    <w:rsid w:val="004403B8"/>
    <w:rsid w:val="00441ADA"/>
    <w:rsid w:val="0044371C"/>
    <w:rsid w:val="00443ACC"/>
    <w:rsid w:val="0044627E"/>
    <w:rsid w:val="00446A38"/>
    <w:rsid w:val="0045114F"/>
    <w:rsid w:val="004529D3"/>
    <w:rsid w:val="00453F31"/>
    <w:rsid w:val="00456B0C"/>
    <w:rsid w:val="0046538B"/>
    <w:rsid w:val="00471C92"/>
    <w:rsid w:val="004739AC"/>
    <w:rsid w:val="004745FA"/>
    <w:rsid w:val="00475FEF"/>
    <w:rsid w:val="0047776F"/>
    <w:rsid w:val="004802B4"/>
    <w:rsid w:val="00480CAA"/>
    <w:rsid w:val="0048286A"/>
    <w:rsid w:val="00483D59"/>
    <w:rsid w:val="004870EA"/>
    <w:rsid w:val="00487F13"/>
    <w:rsid w:val="00496193"/>
    <w:rsid w:val="004A02AF"/>
    <w:rsid w:val="004A679B"/>
    <w:rsid w:val="004C090F"/>
    <w:rsid w:val="004C0FB4"/>
    <w:rsid w:val="004C1811"/>
    <w:rsid w:val="004C1B7B"/>
    <w:rsid w:val="004C4555"/>
    <w:rsid w:val="004D1125"/>
    <w:rsid w:val="004D5FB4"/>
    <w:rsid w:val="004D6CEA"/>
    <w:rsid w:val="004E3564"/>
    <w:rsid w:val="004E51C0"/>
    <w:rsid w:val="004E64BE"/>
    <w:rsid w:val="00503B8D"/>
    <w:rsid w:val="00503EE3"/>
    <w:rsid w:val="00505811"/>
    <w:rsid w:val="005127CA"/>
    <w:rsid w:val="00515DE7"/>
    <w:rsid w:val="00517EB0"/>
    <w:rsid w:val="005205CB"/>
    <w:rsid w:val="005352F1"/>
    <w:rsid w:val="00540094"/>
    <w:rsid w:val="00545CFF"/>
    <w:rsid w:val="00547621"/>
    <w:rsid w:val="005510A4"/>
    <w:rsid w:val="00555800"/>
    <w:rsid w:val="005561FF"/>
    <w:rsid w:val="00556DBB"/>
    <w:rsid w:val="0055715F"/>
    <w:rsid w:val="00560781"/>
    <w:rsid w:val="0056268F"/>
    <w:rsid w:val="00563750"/>
    <w:rsid w:val="00566053"/>
    <w:rsid w:val="005662E9"/>
    <w:rsid w:val="00567414"/>
    <w:rsid w:val="00571896"/>
    <w:rsid w:val="00572AAF"/>
    <w:rsid w:val="00574BCB"/>
    <w:rsid w:val="00577096"/>
    <w:rsid w:val="005801AE"/>
    <w:rsid w:val="00582868"/>
    <w:rsid w:val="00582ECC"/>
    <w:rsid w:val="0058399B"/>
    <w:rsid w:val="0058692F"/>
    <w:rsid w:val="00587045"/>
    <w:rsid w:val="00587C22"/>
    <w:rsid w:val="00591F73"/>
    <w:rsid w:val="0059436D"/>
    <w:rsid w:val="005945C0"/>
    <w:rsid w:val="00597016"/>
    <w:rsid w:val="005974B7"/>
    <w:rsid w:val="005A0D51"/>
    <w:rsid w:val="005A181B"/>
    <w:rsid w:val="005A1CB3"/>
    <w:rsid w:val="005A3073"/>
    <w:rsid w:val="005A33A5"/>
    <w:rsid w:val="005A4B8C"/>
    <w:rsid w:val="005A70A0"/>
    <w:rsid w:val="005B0612"/>
    <w:rsid w:val="005B13F0"/>
    <w:rsid w:val="005B30F6"/>
    <w:rsid w:val="005B3129"/>
    <w:rsid w:val="005B45BA"/>
    <w:rsid w:val="005B5689"/>
    <w:rsid w:val="005B6774"/>
    <w:rsid w:val="005B6905"/>
    <w:rsid w:val="005B6CB4"/>
    <w:rsid w:val="005B7B30"/>
    <w:rsid w:val="005C0A89"/>
    <w:rsid w:val="005C3BC4"/>
    <w:rsid w:val="005D0A71"/>
    <w:rsid w:val="005D59B1"/>
    <w:rsid w:val="005D764B"/>
    <w:rsid w:val="005E2367"/>
    <w:rsid w:val="005E4249"/>
    <w:rsid w:val="005E5E90"/>
    <w:rsid w:val="005E654C"/>
    <w:rsid w:val="005F05F6"/>
    <w:rsid w:val="005F2C6B"/>
    <w:rsid w:val="00605734"/>
    <w:rsid w:val="0061488E"/>
    <w:rsid w:val="0061574B"/>
    <w:rsid w:val="00622670"/>
    <w:rsid w:val="00623481"/>
    <w:rsid w:val="00623A1A"/>
    <w:rsid w:val="006240AC"/>
    <w:rsid w:val="00626E8D"/>
    <w:rsid w:val="00632DA8"/>
    <w:rsid w:val="00634B91"/>
    <w:rsid w:val="00634E6E"/>
    <w:rsid w:val="0063747D"/>
    <w:rsid w:val="0064342A"/>
    <w:rsid w:val="00643A28"/>
    <w:rsid w:val="006452FA"/>
    <w:rsid w:val="006467F5"/>
    <w:rsid w:val="0065093D"/>
    <w:rsid w:val="006537C4"/>
    <w:rsid w:val="00653941"/>
    <w:rsid w:val="00655053"/>
    <w:rsid w:val="00655193"/>
    <w:rsid w:val="00655459"/>
    <w:rsid w:val="006565AC"/>
    <w:rsid w:val="0065699E"/>
    <w:rsid w:val="00656FB2"/>
    <w:rsid w:val="0065762A"/>
    <w:rsid w:val="00661454"/>
    <w:rsid w:val="00663EE1"/>
    <w:rsid w:val="0066642D"/>
    <w:rsid w:val="00673A88"/>
    <w:rsid w:val="0067409B"/>
    <w:rsid w:val="00675CE5"/>
    <w:rsid w:val="00675E85"/>
    <w:rsid w:val="0067750F"/>
    <w:rsid w:val="0068401E"/>
    <w:rsid w:val="006841A4"/>
    <w:rsid w:val="0068643F"/>
    <w:rsid w:val="006877A1"/>
    <w:rsid w:val="00692150"/>
    <w:rsid w:val="00692F0C"/>
    <w:rsid w:val="00693AA0"/>
    <w:rsid w:val="00696E7C"/>
    <w:rsid w:val="006A03B0"/>
    <w:rsid w:val="006A0C54"/>
    <w:rsid w:val="006A7C53"/>
    <w:rsid w:val="006B309C"/>
    <w:rsid w:val="006B3923"/>
    <w:rsid w:val="006B6BFD"/>
    <w:rsid w:val="006B727F"/>
    <w:rsid w:val="006C08B5"/>
    <w:rsid w:val="006C6D3A"/>
    <w:rsid w:val="006C7B36"/>
    <w:rsid w:val="006C7B7F"/>
    <w:rsid w:val="006D19E8"/>
    <w:rsid w:val="006D4B75"/>
    <w:rsid w:val="006D7A70"/>
    <w:rsid w:val="006E04B5"/>
    <w:rsid w:val="006E18A5"/>
    <w:rsid w:val="006E330C"/>
    <w:rsid w:val="006E3DD8"/>
    <w:rsid w:val="006E6558"/>
    <w:rsid w:val="006E793F"/>
    <w:rsid w:val="006F0154"/>
    <w:rsid w:val="006F7944"/>
    <w:rsid w:val="00704121"/>
    <w:rsid w:val="00705BB5"/>
    <w:rsid w:val="0071326F"/>
    <w:rsid w:val="007153D7"/>
    <w:rsid w:val="00720A25"/>
    <w:rsid w:val="00720ED4"/>
    <w:rsid w:val="0072376D"/>
    <w:rsid w:val="0073030C"/>
    <w:rsid w:val="0074488F"/>
    <w:rsid w:val="00745AA8"/>
    <w:rsid w:val="007510EC"/>
    <w:rsid w:val="00751DB6"/>
    <w:rsid w:val="0075233C"/>
    <w:rsid w:val="0075256A"/>
    <w:rsid w:val="00753669"/>
    <w:rsid w:val="007569DE"/>
    <w:rsid w:val="0075723C"/>
    <w:rsid w:val="00782C8F"/>
    <w:rsid w:val="00785F78"/>
    <w:rsid w:val="0078659D"/>
    <w:rsid w:val="007869EC"/>
    <w:rsid w:val="007A0136"/>
    <w:rsid w:val="007A1E58"/>
    <w:rsid w:val="007A2D07"/>
    <w:rsid w:val="007A5C7E"/>
    <w:rsid w:val="007A6E2F"/>
    <w:rsid w:val="007B3BC5"/>
    <w:rsid w:val="007D03DF"/>
    <w:rsid w:val="007D0E5C"/>
    <w:rsid w:val="007D4953"/>
    <w:rsid w:val="007D50F4"/>
    <w:rsid w:val="007D7173"/>
    <w:rsid w:val="007E1216"/>
    <w:rsid w:val="007E4CD4"/>
    <w:rsid w:val="007F0E8E"/>
    <w:rsid w:val="008079DD"/>
    <w:rsid w:val="0081130F"/>
    <w:rsid w:val="008160F8"/>
    <w:rsid w:val="008234BA"/>
    <w:rsid w:val="00824430"/>
    <w:rsid w:val="00825B1F"/>
    <w:rsid w:val="00827D55"/>
    <w:rsid w:val="00832E77"/>
    <w:rsid w:val="00840EDD"/>
    <w:rsid w:val="0084255F"/>
    <w:rsid w:val="00854FB3"/>
    <w:rsid w:val="00860F13"/>
    <w:rsid w:val="00861F8B"/>
    <w:rsid w:val="0086561F"/>
    <w:rsid w:val="00865FE1"/>
    <w:rsid w:val="00872B54"/>
    <w:rsid w:val="008748C7"/>
    <w:rsid w:val="0087521A"/>
    <w:rsid w:val="008808C0"/>
    <w:rsid w:val="00883CF6"/>
    <w:rsid w:val="00887D56"/>
    <w:rsid w:val="00890263"/>
    <w:rsid w:val="00890BDE"/>
    <w:rsid w:val="008918DE"/>
    <w:rsid w:val="00894CB3"/>
    <w:rsid w:val="00895725"/>
    <w:rsid w:val="008962E7"/>
    <w:rsid w:val="008A1118"/>
    <w:rsid w:val="008A281F"/>
    <w:rsid w:val="008A48D2"/>
    <w:rsid w:val="008A4AF6"/>
    <w:rsid w:val="008A4FF8"/>
    <w:rsid w:val="008A5ED1"/>
    <w:rsid w:val="008A7FD1"/>
    <w:rsid w:val="008B042E"/>
    <w:rsid w:val="008B211E"/>
    <w:rsid w:val="008B334D"/>
    <w:rsid w:val="008B6D48"/>
    <w:rsid w:val="008B7B90"/>
    <w:rsid w:val="008C4D1D"/>
    <w:rsid w:val="008C7660"/>
    <w:rsid w:val="008C79A7"/>
    <w:rsid w:val="008D13F8"/>
    <w:rsid w:val="008D555F"/>
    <w:rsid w:val="008D625D"/>
    <w:rsid w:val="008D650E"/>
    <w:rsid w:val="008E37E6"/>
    <w:rsid w:val="008E3E6A"/>
    <w:rsid w:val="008E6A41"/>
    <w:rsid w:val="008F29F1"/>
    <w:rsid w:val="00903990"/>
    <w:rsid w:val="00904950"/>
    <w:rsid w:val="00905CF8"/>
    <w:rsid w:val="00915E5E"/>
    <w:rsid w:val="009166B8"/>
    <w:rsid w:val="00921E59"/>
    <w:rsid w:val="00922B65"/>
    <w:rsid w:val="00922DB7"/>
    <w:rsid w:val="0092684A"/>
    <w:rsid w:val="009303FF"/>
    <w:rsid w:val="00937FAB"/>
    <w:rsid w:val="009400A6"/>
    <w:rsid w:val="0094094D"/>
    <w:rsid w:val="00941767"/>
    <w:rsid w:val="009418F7"/>
    <w:rsid w:val="00942AB8"/>
    <w:rsid w:val="00945CAF"/>
    <w:rsid w:val="00947448"/>
    <w:rsid w:val="00951FEA"/>
    <w:rsid w:val="00952B38"/>
    <w:rsid w:val="00952C99"/>
    <w:rsid w:val="00956BAA"/>
    <w:rsid w:val="00965333"/>
    <w:rsid w:val="009712EF"/>
    <w:rsid w:val="009727BF"/>
    <w:rsid w:val="00973321"/>
    <w:rsid w:val="00975C2E"/>
    <w:rsid w:val="00977270"/>
    <w:rsid w:val="009824F2"/>
    <w:rsid w:val="00983080"/>
    <w:rsid w:val="00984711"/>
    <w:rsid w:val="00986AA3"/>
    <w:rsid w:val="00993B24"/>
    <w:rsid w:val="0099611F"/>
    <w:rsid w:val="00996832"/>
    <w:rsid w:val="009A083F"/>
    <w:rsid w:val="009A135C"/>
    <w:rsid w:val="009A3E15"/>
    <w:rsid w:val="009A67E7"/>
    <w:rsid w:val="009B260B"/>
    <w:rsid w:val="009C1235"/>
    <w:rsid w:val="009C603A"/>
    <w:rsid w:val="009C74CD"/>
    <w:rsid w:val="009D048F"/>
    <w:rsid w:val="009D2E28"/>
    <w:rsid w:val="009D401F"/>
    <w:rsid w:val="009D68FA"/>
    <w:rsid w:val="009E0D81"/>
    <w:rsid w:val="009E32CF"/>
    <w:rsid w:val="009E4FC2"/>
    <w:rsid w:val="009E7BEA"/>
    <w:rsid w:val="009F44AE"/>
    <w:rsid w:val="00A02529"/>
    <w:rsid w:val="00A02EF2"/>
    <w:rsid w:val="00A04D5E"/>
    <w:rsid w:val="00A06E11"/>
    <w:rsid w:val="00A10DDF"/>
    <w:rsid w:val="00A11172"/>
    <w:rsid w:val="00A12E55"/>
    <w:rsid w:val="00A20501"/>
    <w:rsid w:val="00A242E4"/>
    <w:rsid w:val="00A24437"/>
    <w:rsid w:val="00A24CA0"/>
    <w:rsid w:val="00A260D6"/>
    <w:rsid w:val="00A3362A"/>
    <w:rsid w:val="00A355BE"/>
    <w:rsid w:val="00A37B70"/>
    <w:rsid w:val="00A40AC7"/>
    <w:rsid w:val="00A40D16"/>
    <w:rsid w:val="00A435C7"/>
    <w:rsid w:val="00A569B2"/>
    <w:rsid w:val="00A611A4"/>
    <w:rsid w:val="00A6695B"/>
    <w:rsid w:val="00A67CF2"/>
    <w:rsid w:val="00A72703"/>
    <w:rsid w:val="00A727F6"/>
    <w:rsid w:val="00A72E71"/>
    <w:rsid w:val="00A76432"/>
    <w:rsid w:val="00A84FC6"/>
    <w:rsid w:val="00A8528E"/>
    <w:rsid w:val="00A87757"/>
    <w:rsid w:val="00A91029"/>
    <w:rsid w:val="00A94A49"/>
    <w:rsid w:val="00AA1815"/>
    <w:rsid w:val="00AA1D3E"/>
    <w:rsid w:val="00AA39F9"/>
    <w:rsid w:val="00AB0931"/>
    <w:rsid w:val="00AB5C9B"/>
    <w:rsid w:val="00AC0276"/>
    <w:rsid w:val="00AC0312"/>
    <w:rsid w:val="00AC0449"/>
    <w:rsid w:val="00AC5155"/>
    <w:rsid w:val="00AC61F8"/>
    <w:rsid w:val="00AC6A2A"/>
    <w:rsid w:val="00AC734B"/>
    <w:rsid w:val="00AD2497"/>
    <w:rsid w:val="00AD2D0A"/>
    <w:rsid w:val="00AD4D64"/>
    <w:rsid w:val="00AD5EB4"/>
    <w:rsid w:val="00AE4242"/>
    <w:rsid w:val="00AE63E2"/>
    <w:rsid w:val="00AF04C9"/>
    <w:rsid w:val="00AF1DA8"/>
    <w:rsid w:val="00AF26B6"/>
    <w:rsid w:val="00AF2979"/>
    <w:rsid w:val="00AF383C"/>
    <w:rsid w:val="00B02279"/>
    <w:rsid w:val="00B0375C"/>
    <w:rsid w:val="00B04E9F"/>
    <w:rsid w:val="00B052CB"/>
    <w:rsid w:val="00B14FDE"/>
    <w:rsid w:val="00B156C3"/>
    <w:rsid w:val="00B15F67"/>
    <w:rsid w:val="00B1624F"/>
    <w:rsid w:val="00B224C5"/>
    <w:rsid w:val="00B2486A"/>
    <w:rsid w:val="00B268DE"/>
    <w:rsid w:val="00B30EE6"/>
    <w:rsid w:val="00B325CD"/>
    <w:rsid w:val="00B374B3"/>
    <w:rsid w:val="00B3776D"/>
    <w:rsid w:val="00B4768D"/>
    <w:rsid w:val="00B518E5"/>
    <w:rsid w:val="00B51E1F"/>
    <w:rsid w:val="00B60222"/>
    <w:rsid w:val="00B62CFB"/>
    <w:rsid w:val="00B662F5"/>
    <w:rsid w:val="00B7000C"/>
    <w:rsid w:val="00B753C5"/>
    <w:rsid w:val="00B760D5"/>
    <w:rsid w:val="00B80F69"/>
    <w:rsid w:val="00B83B2C"/>
    <w:rsid w:val="00B903AE"/>
    <w:rsid w:val="00B94740"/>
    <w:rsid w:val="00B95E46"/>
    <w:rsid w:val="00B97F75"/>
    <w:rsid w:val="00BA1CAE"/>
    <w:rsid w:val="00BA33BB"/>
    <w:rsid w:val="00BA4830"/>
    <w:rsid w:val="00BA6E22"/>
    <w:rsid w:val="00BB362C"/>
    <w:rsid w:val="00BC0A03"/>
    <w:rsid w:val="00BC388E"/>
    <w:rsid w:val="00BC5625"/>
    <w:rsid w:val="00BC7721"/>
    <w:rsid w:val="00BD4139"/>
    <w:rsid w:val="00BE059A"/>
    <w:rsid w:val="00BE1981"/>
    <w:rsid w:val="00BE2F5E"/>
    <w:rsid w:val="00BE56E9"/>
    <w:rsid w:val="00BE63CF"/>
    <w:rsid w:val="00BE7014"/>
    <w:rsid w:val="00BF25C7"/>
    <w:rsid w:val="00BF6B6C"/>
    <w:rsid w:val="00C009B7"/>
    <w:rsid w:val="00C04E32"/>
    <w:rsid w:val="00C15A3F"/>
    <w:rsid w:val="00C20630"/>
    <w:rsid w:val="00C22F7A"/>
    <w:rsid w:val="00C2463D"/>
    <w:rsid w:val="00C2666F"/>
    <w:rsid w:val="00C302FE"/>
    <w:rsid w:val="00C32020"/>
    <w:rsid w:val="00C3408C"/>
    <w:rsid w:val="00C351CC"/>
    <w:rsid w:val="00C35435"/>
    <w:rsid w:val="00C432FD"/>
    <w:rsid w:val="00C43CDF"/>
    <w:rsid w:val="00C512B2"/>
    <w:rsid w:val="00C5184E"/>
    <w:rsid w:val="00C6223B"/>
    <w:rsid w:val="00C62B69"/>
    <w:rsid w:val="00C644B7"/>
    <w:rsid w:val="00C64564"/>
    <w:rsid w:val="00C73C87"/>
    <w:rsid w:val="00C74B6F"/>
    <w:rsid w:val="00C83274"/>
    <w:rsid w:val="00C87EF3"/>
    <w:rsid w:val="00C9015F"/>
    <w:rsid w:val="00C912F9"/>
    <w:rsid w:val="00C9241B"/>
    <w:rsid w:val="00C93188"/>
    <w:rsid w:val="00C97569"/>
    <w:rsid w:val="00CA199D"/>
    <w:rsid w:val="00CA4D9C"/>
    <w:rsid w:val="00CB05A7"/>
    <w:rsid w:val="00CB06A4"/>
    <w:rsid w:val="00CB325B"/>
    <w:rsid w:val="00CB64FF"/>
    <w:rsid w:val="00CB7078"/>
    <w:rsid w:val="00CC014B"/>
    <w:rsid w:val="00CC13D5"/>
    <w:rsid w:val="00CC1447"/>
    <w:rsid w:val="00CC21D8"/>
    <w:rsid w:val="00CC3369"/>
    <w:rsid w:val="00CC5343"/>
    <w:rsid w:val="00CC78DE"/>
    <w:rsid w:val="00CD0F93"/>
    <w:rsid w:val="00CD6D6E"/>
    <w:rsid w:val="00CD6F23"/>
    <w:rsid w:val="00CE3B7E"/>
    <w:rsid w:val="00CE7E2E"/>
    <w:rsid w:val="00CE7ECB"/>
    <w:rsid w:val="00CF1E44"/>
    <w:rsid w:val="00CF35E6"/>
    <w:rsid w:val="00CF640B"/>
    <w:rsid w:val="00CF7D96"/>
    <w:rsid w:val="00D027AF"/>
    <w:rsid w:val="00D06652"/>
    <w:rsid w:val="00D07FA6"/>
    <w:rsid w:val="00D169BD"/>
    <w:rsid w:val="00D17C53"/>
    <w:rsid w:val="00D17D57"/>
    <w:rsid w:val="00D2341D"/>
    <w:rsid w:val="00D25E0E"/>
    <w:rsid w:val="00D302EB"/>
    <w:rsid w:val="00D314F3"/>
    <w:rsid w:val="00D31679"/>
    <w:rsid w:val="00D320C8"/>
    <w:rsid w:val="00D32261"/>
    <w:rsid w:val="00D35E67"/>
    <w:rsid w:val="00D3672F"/>
    <w:rsid w:val="00D373D1"/>
    <w:rsid w:val="00D40ABA"/>
    <w:rsid w:val="00D40FE2"/>
    <w:rsid w:val="00D440FA"/>
    <w:rsid w:val="00D44BCF"/>
    <w:rsid w:val="00D4626D"/>
    <w:rsid w:val="00D46E73"/>
    <w:rsid w:val="00D5548D"/>
    <w:rsid w:val="00D60F81"/>
    <w:rsid w:val="00D63951"/>
    <w:rsid w:val="00D63BF2"/>
    <w:rsid w:val="00D65D16"/>
    <w:rsid w:val="00D67348"/>
    <w:rsid w:val="00D75FEC"/>
    <w:rsid w:val="00D76B98"/>
    <w:rsid w:val="00D83112"/>
    <w:rsid w:val="00D83A88"/>
    <w:rsid w:val="00D83F15"/>
    <w:rsid w:val="00D86F2C"/>
    <w:rsid w:val="00D94E42"/>
    <w:rsid w:val="00DA1B64"/>
    <w:rsid w:val="00DA36F6"/>
    <w:rsid w:val="00DA55C5"/>
    <w:rsid w:val="00DA5E0E"/>
    <w:rsid w:val="00DB7ADC"/>
    <w:rsid w:val="00DC1611"/>
    <w:rsid w:val="00DD0673"/>
    <w:rsid w:val="00DD3754"/>
    <w:rsid w:val="00DF0774"/>
    <w:rsid w:val="00DF1036"/>
    <w:rsid w:val="00E05451"/>
    <w:rsid w:val="00E0546F"/>
    <w:rsid w:val="00E05651"/>
    <w:rsid w:val="00E06862"/>
    <w:rsid w:val="00E07E9F"/>
    <w:rsid w:val="00E11BA5"/>
    <w:rsid w:val="00E1390D"/>
    <w:rsid w:val="00E20425"/>
    <w:rsid w:val="00E25DCB"/>
    <w:rsid w:val="00E26842"/>
    <w:rsid w:val="00E304DB"/>
    <w:rsid w:val="00E34FF6"/>
    <w:rsid w:val="00E40868"/>
    <w:rsid w:val="00E4156E"/>
    <w:rsid w:val="00E43623"/>
    <w:rsid w:val="00E44A69"/>
    <w:rsid w:val="00E453F2"/>
    <w:rsid w:val="00E45C6A"/>
    <w:rsid w:val="00E460AD"/>
    <w:rsid w:val="00E5025B"/>
    <w:rsid w:val="00E61925"/>
    <w:rsid w:val="00E65C0E"/>
    <w:rsid w:val="00E71E54"/>
    <w:rsid w:val="00E730FC"/>
    <w:rsid w:val="00E746F0"/>
    <w:rsid w:val="00E82A15"/>
    <w:rsid w:val="00E86B21"/>
    <w:rsid w:val="00E87589"/>
    <w:rsid w:val="00E938FF"/>
    <w:rsid w:val="00E9632B"/>
    <w:rsid w:val="00EA1311"/>
    <w:rsid w:val="00EA1653"/>
    <w:rsid w:val="00EA34DC"/>
    <w:rsid w:val="00EA5017"/>
    <w:rsid w:val="00EA6BED"/>
    <w:rsid w:val="00EB14F0"/>
    <w:rsid w:val="00EB3844"/>
    <w:rsid w:val="00EB3A9B"/>
    <w:rsid w:val="00EB5A9F"/>
    <w:rsid w:val="00EB66FF"/>
    <w:rsid w:val="00EC3FBC"/>
    <w:rsid w:val="00EC5C8D"/>
    <w:rsid w:val="00ED106C"/>
    <w:rsid w:val="00ED1207"/>
    <w:rsid w:val="00ED2D34"/>
    <w:rsid w:val="00ED33AB"/>
    <w:rsid w:val="00ED4805"/>
    <w:rsid w:val="00ED6C51"/>
    <w:rsid w:val="00EF2EB6"/>
    <w:rsid w:val="00EF4258"/>
    <w:rsid w:val="00F02237"/>
    <w:rsid w:val="00F10ABF"/>
    <w:rsid w:val="00F22423"/>
    <w:rsid w:val="00F24C72"/>
    <w:rsid w:val="00F2601E"/>
    <w:rsid w:val="00F3096F"/>
    <w:rsid w:val="00F31D22"/>
    <w:rsid w:val="00F33FDF"/>
    <w:rsid w:val="00F348B2"/>
    <w:rsid w:val="00F34BF0"/>
    <w:rsid w:val="00F4095A"/>
    <w:rsid w:val="00F45845"/>
    <w:rsid w:val="00F466DF"/>
    <w:rsid w:val="00F50189"/>
    <w:rsid w:val="00F508FC"/>
    <w:rsid w:val="00F52C41"/>
    <w:rsid w:val="00F54044"/>
    <w:rsid w:val="00F56C2A"/>
    <w:rsid w:val="00F576E7"/>
    <w:rsid w:val="00F71705"/>
    <w:rsid w:val="00F719C1"/>
    <w:rsid w:val="00F763FC"/>
    <w:rsid w:val="00F772C1"/>
    <w:rsid w:val="00F8026D"/>
    <w:rsid w:val="00F8245F"/>
    <w:rsid w:val="00F90BB1"/>
    <w:rsid w:val="00F91629"/>
    <w:rsid w:val="00F91E2A"/>
    <w:rsid w:val="00F96C39"/>
    <w:rsid w:val="00FA153F"/>
    <w:rsid w:val="00FA1D78"/>
    <w:rsid w:val="00FA1F7E"/>
    <w:rsid w:val="00FA280F"/>
    <w:rsid w:val="00FB04D9"/>
    <w:rsid w:val="00FB2186"/>
    <w:rsid w:val="00FB2CDE"/>
    <w:rsid w:val="00FC09EA"/>
    <w:rsid w:val="00FC1014"/>
    <w:rsid w:val="00FD0133"/>
    <w:rsid w:val="00FD0DAC"/>
    <w:rsid w:val="00FD6206"/>
    <w:rsid w:val="00FE10CB"/>
    <w:rsid w:val="00FE2BBE"/>
    <w:rsid w:val="00FF2847"/>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6A4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corpsdedcisionCar">
    <w:name w:val="corps de décision Car"/>
    <w:link w:val="corpsdedcision"/>
    <w:locked/>
    <w:rsid w:val="00941767"/>
    <w:rPr>
      <w:rFonts w:ascii="Arial" w:hAnsi="Arial"/>
      <w:sz w:val="24"/>
    </w:rPr>
  </w:style>
  <w:style w:type="character" w:customStyle="1" w:styleId="citationCar">
    <w:name w:val="citation Car"/>
    <w:link w:val="citation"/>
    <w:rsid w:val="00941767"/>
    <w:rPr>
      <w:rFonts w:ascii="Arial" w:hAnsi="Arial"/>
    </w:rPr>
  </w:style>
  <w:style w:type="paragraph" w:styleId="Textedebulles">
    <w:name w:val="Balloon Text"/>
    <w:basedOn w:val="Normal"/>
    <w:link w:val="TextedebullesCar"/>
    <w:rsid w:val="00BF6B6C"/>
    <w:rPr>
      <w:rFonts w:ascii="Segoe UI" w:hAnsi="Segoe UI" w:cs="Segoe UI"/>
      <w:sz w:val="18"/>
      <w:szCs w:val="18"/>
    </w:rPr>
  </w:style>
  <w:style w:type="character" w:customStyle="1" w:styleId="TextedebullesCar">
    <w:name w:val="Texte de bulles Car"/>
    <w:basedOn w:val="Policepardfaut"/>
    <w:link w:val="Textedebulles"/>
    <w:rsid w:val="00BF6B6C"/>
    <w:rPr>
      <w:rFonts w:ascii="Segoe UI" w:hAnsi="Segoe UI" w:cs="Segoe UI"/>
      <w:sz w:val="18"/>
      <w:szCs w:val="18"/>
    </w:rPr>
  </w:style>
  <w:style w:type="character" w:styleId="Marquedecommentaire">
    <w:name w:val="annotation reference"/>
    <w:basedOn w:val="Policepardfaut"/>
    <w:rsid w:val="00FE2BBE"/>
    <w:rPr>
      <w:sz w:val="16"/>
      <w:szCs w:val="16"/>
    </w:rPr>
  </w:style>
  <w:style w:type="paragraph" w:styleId="Commentaire">
    <w:name w:val="annotation text"/>
    <w:basedOn w:val="Normal"/>
    <w:link w:val="CommentaireCar"/>
    <w:rsid w:val="00FE2BBE"/>
    <w:rPr>
      <w:sz w:val="20"/>
    </w:rPr>
  </w:style>
  <w:style w:type="character" w:customStyle="1" w:styleId="CommentaireCar">
    <w:name w:val="Commentaire Car"/>
    <w:basedOn w:val="Policepardfaut"/>
    <w:link w:val="Commentaire"/>
    <w:rsid w:val="00FE2BBE"/>
    <w:rPr>
      <w:rFonts w:ascii="Arial" w:hAnsi="Arial"/>
    </w:rPr>
  </w:style>
  <w:style w:type="paragraph" w:styleId="Objetducommentaire">
    <w:name w:val="annotation subject"/>
    <w:basedOn w:val="Commentaire"/>
    <w:next w:val="Commentaire"/>
    <w:link w:val="ObjetducommentaireCar"/>
    <w:rsid w:val="00FE2BBE"/>
    <w:rPr>
      <w:b/>
      <w:bCs/>
    </w:rPr>
  </w:style>
  <w:style w:type="character" w:customStyle="1" w:styleId="ObjetducommentaireCar">
    <w:name w:val="Objet du commentaire Car"/>
    <w:basedOn w:val="CommentaireCar"/>
    <w:link w:val="Objetducommentaire"/>
    <w:rsid w:val="00FE2BBE"/>
    <w:rPr>
      <w:rFonts w:ascii="Arial" w:hAnsi="Arial"/>
      <w:b/>
      <w:bCs/>
    </w:rPr>
  </w:style>
  <w:style w:type="character" w:styleId="Lienhypertexte">
    <w:name w:val="Hyperlink"/>
    <w:basedOn w:val="Policepardfaut"/>
    <w:uiPriority w:val="99"/>
    <w:unhideWhenUsed/>
    <w:rsid w:val="00FE2BBE"/>
    <w:rPr>
      <w:color w:val="0000FF"/>
      <w:u w:val="single"/>
    </w:rPr>
  </w:style>
  <w:style w:type="character" w:customStyle="1" w:styleId="article">
    <w:name w:val="article"/>
    <w:basedOn w:val="Policepardfaut"/>
    <w:rsid w:val="00FE2BBE"/>
  </w:style>
  <w:style w:type="character" w:customStyle="1" w:styleId="apple-converted-space">
    <w:name w:val="apple-converted-space"/>
    <w:basedOn w:val="Policepardfaut"/>
    <w:rsid w:val="00FE2BBE"/>
  </w:style>
  <w:style w:type="character" w:customStyle="1" w:styleId="marque">
    <w:name w:val="marque"/>
    <w:basedOn w:val="Policepardfaut"/>
    <w:rsid w:val="00FE2BBE"/>
  </w:style>
  <w:style w:type="character" w:customStyle="1" w:styleId="usage">
    <w:name w:val="usage"/>
    <w:basedOn w:val="Policepardfaut"/>
    <w:rsid w:val="00FE2BBE"/>
  </w:style>
  <w:style w:type="character" w:customStyle="1" w:styleId="noteexpr">
    <w:name w:val="note_expr"/>
    <w:basedOn w:val="Policepardfaut"/>
    <w:rsid w:val="00FE2BBE"/>
  </w:style>
  <w:style w:type="character" w:customStyle="1" w:styleId="noteequiv">
    <w:name w:val="note_equiv"/>
    <w:basedOn w:val="Policepardfaut"/>
    <w:rsid w:val="00FE2B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corpsdedcisionCar">
    <w:name w:val="corps de décision Car"/>
    <w:link w:val="corpsdedcision"/>
    <w:locked/>
    <w:rsid w:val="00941767"/>
    <w:rPr>
      <w:rFonts w:ascii="Arial" w:hAnsi="Arial"/>
      <w:sz w:val="24"/>
    </w:rPr>
  </w:style>
  <w:style w:type="character" w:customStyle="1" w:styleId="citationCar">
    <w:name w:val="citation Car"/>
    <w:link w:val="citation"/>
    <w:rsid w:val="00941767"/>
    <w:rPr>
      <w:rFonts w:ascii="Arial" w:hAnsi="Arial"/>
    </w:rPr>
  </w:style>
  <w:style w:type="paragraph" w:styleId="Textedebulles">
    <w:name w:val="Balloon Text"/>
    <w:basedOn w:val="Normal"/>
    <w:link w:val="TextedebullesCar"/>
    <w:rsid w:val="00BF6B6C"/>
    <w:rPr>
      <w:rFonts w:ascii="Segoe UI" w:hAnsi="Segoe UI" w:cs="Segoe UI"/>
      <w:sz w:val="18"/>
      <w:szCs w:val="18"/>
    </w:rPr>
  </w:style>
  <w:style w:type="character" w:customStyle="1" w:styleId="TextedebullesCar">
    <w:name w:val="Texte de bulles Car"/>
    <w:basedOn w:val="Policepardfaut"/>
    <w:link w:val="Textedebulles"/>
    <w:rsid w:val="00BF6B6C"/>
    <w:rPr>
      <w:rFonts w:ascii="Segoe UI" w:hAnsi="Segoe UI" w:cs="Segoe UI"/>
      <w:sz w:val="18"/>
      <w:szCs w:val="18"/>
    </w:rPr>
  </w:style>
  <w:style w:type="character" w:styleId="Marquedecommentaire">
    <w:name w:val="annotation reference"/>
    <w:basedOn w:val="Policepardfaut"/>
    <w:rsid w:val="00FE2BBE"/>
    <w:rPr>
      <w:sz w:val="16"/>
      <w:szCs w:val="16"/>
    </w:rPr>
  </w:style>
  <w:style w:type="paragraph" w:styleId="Commentaire">
    <w:name w:val="annotation text"/>
    <w:basedOn w:val="Normal"/>
    <w:link w:val="CommentaireCar"/>
    <w:rsid w:val="00FE2BBE"/>
    <w:rPr>
      <w:sz w:val="20"/>
    </w:rPr>
  </w:style>
  <w:style w:type="character" w:customStyle="1" w:styleId="CommentaireCar">
    <w:name w:val="Commentaire Car"/>
    <w:basedOn w:val="Policepardfaut"/>
    <w:link w:val="Commentaire"/>
    <w:rsid w:val="00FE2BBE"/>
    <w:rPr>
      <w:rFonts w:ascii="Arial" w:hAnsi="Arial"/>
    </w:rPr>
  </w:style>
  <w:style w:type="paragraph" w:styleId="Objetducommentaire">
    <w:name w:val="annotation subject"/>
    <w:basedOn w:val="Commentaire"/>
    <w:next w:val="Commentaire"/>
    <w:link w:val="ObjetducommentaireCar"/>
    <w:rsid w:val="00FE2BBE"/>
    <w:rPr>
      <w:b/>
      <w:bCs/>
    </w:rPr>
  </w:style>
  <w:style w:type="character" w:customStyle="1" w:styleId="ObjetducommentaireCar">
    <w:name w:val="Objet du commentaire Car"/>
    <w:basedOn w:val="CommentaireCar"/>
    <w:link w:val="Objetducommentaire"/>
    <w:rsid w:val="00FE2BBE"/>
    <w:rPr>
      <w:rFonts w:ascii="Arial" w:hAnsi="Arial"/>
      <w:b/>
      <w:bCs/>
    </w:rPr>
  </w:style>
  <w:style w:type="character" w:styleId="Lienhypertexte">
    <w:name w:val="Hyperlink"/>
    <w:basedOn w:val="Policepardfaut"/>
    <w:uiPriority w:val="99"/>
    <w:unhideWhenUsed/>
    <w:rsid w:val="00FE2BBE"/>
    <w:rPr>
      <w:color w:val="0000FF"/>
      <w:u w:val="single"/>
    </w:rPr>
  </w:style>
  <w:style w:type="character" w:customStyle="1" w:styleId="article">
    <w:name w:val="article"/>
    <w:basedOn w:val="Policepardfaut"/>
    <w:rsid w:val="00FE2BBE"/>
  </w:style>
  <w:style w:type="character" w:customStyle="1" w:styleId="apple-converted-space">
    <w:name w:val="apple-converted-space"/>
    <w:basedOn w:val="Policepardfaut"/>
    <w:rsid w:val="00FE2BBE"/>
  </w:style>
  <w:style w:type="character" w:customStyle="1" w:styleId="marque">
    <w:name w:val="marque"/>
    <w:basedOn w:val="Policepardfaut"/>
    <w:rsid w:val="00FE2BBE"/>
  </w:style>
  <w:style w:type="character" w:customStyle="1" w:styleId="usage">
    <w:name w:val="usage"/>
    <w:basedOn w:val="Policepardfaut"/>
    <w:rsid w:val="00FE2BBE"/>
  </w:style>
  <w:style w:type="character" w:customStyle="1" w:styleId="noteexpr">
    <w:name w:val="note_expr"/>
    <w:basedOn w:val="Policepardfaut"/>
    <w:rsid w:val="00FE2BBE"/>
  </w:style>
  <w:style w:type="character" w:customStyle="1" w:styleId="noteequiv">
    <w:name w:val="note_equiv"/>
    <w:basedOn w:val="Policepardfaut"/>
    <w:rsid w:val="00FE2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C90AF-74DD-4189-9F95-C2F343F2E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3903</Words>
  <Characters>21467</Characters>
  <Application>Microsoft Office Word</Application>
  <DocSecurity>0</DocSecurity>
  <Lines>178</Lines>
  <Paragraphs>50</Paragraphs>
  <ScaleCrop>false</ScaleCrop>
  <Company/>
  <LinksUpToDate>false</LinksUpToDate>
  <CharactersWithSpaces>25320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2020-06-01T13:14:00Z</dcterms:created>
  <dcterms:modified xsi:type="dcterms:W3CDTF">2020-06-01T13:14:00Z</dcterms:modified>
</cp:coreProperties>
</file>