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AF3B21" w:rsidRDefault="00AF3B21" w:rsidP="00AF3B21">
            <w:pPr>
              <w:pStyle w:val="zSoquijdatRepertorie"/>
              <w:rPr>
                <w:rFonts w:cs="Arial"/>
              </w:rPr>
            </w:pPr>
            <w:bookmarkStart w:id="0" w:name="_GoBack"/>
            <w:bookmarkEnd w:id="0"/>
            <w:r>
              <w:rPr>
                <w:rFonts w:cs="Arial"/>
              </w:rPr>
              <w:t>Guillemette et Constructions industrielles Clément Belley 1990 enr.</w:t>
            </w:r>
          </w:p>
        </w:tc>
        <w:tc>
          <w:tcPr>
            <w:tcW w:w="2477" w:type="dxa"/>
          </w:tcPr>
          <w:p w:rsidR="008A7FD1" w:rsidRPr="00904159" w:rsidRDefault="00904159" w:rsidP="00904159">
            <w:pPr>
              <w:pStyle w:val="zSoquijdatRefNeutre"/>
              <w:rPr>
                <w:rFonts w:cs="Arial"/>
              </w:rPr>
            </w:pPr>
            <w:r w:rsidRPr="00904159">
              <w:rPr>
                <w:rFonts w:cs="Arial"/>
              </w:rPr>
              <w:t>2020 QCTAT 383</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D27927"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D27927" w:rsidP="00F4095A">
            <w:pPr>
              <w:pStyle w:val="zSoquijdatGreffe"/>
            </w:pPr>
            <w:r>
              <w:t>Gaspésie–Îles-de-la-Madeleine, Bas-Saint-Laurent et Côte</w:t>
            </w:r>
            <w:r>
              <w:noBreakHyphen/>
              <w:t>Nord</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3"/>
          </w:tcPr>
          <w:p w:rsidR="00C74B6F" w:rsidRDefault="00DB2A4C" w:rsidP="00F4095A">
            <w:pPr>
              <w:pStyle w:val="zSoquijdatNoDossier"/>
            </w:pPr>
            <w:r>
              <w:t>619795-09-</w:t>
            </w:r>
            <w:r w:rsidR="001733F5" w:rsidRPr="001733F5">
              <w:t>16</w:t>
            </w:r>
            <w:r w:rsidR="001C44E9">
              <w:t>10</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D27927">
            <w:pPr>
              <w:ind w:right="46"/>
            </w:pPr>
            <w:r>
              <w:t xml:space="preserve">Dossier </w:t>
            </w:r>
            <w:r w:rsidR="00D27927">
              <w:rPr>
                <w:szCs w:val="24"/>
              </w:rPr>
              <w:t>CNESST</w:t>
            </w:r>
            <w:r w:rsidRPr="008C79A7">
              <w:rPr>
                <w:szCs w:val="24"/>
              </w:rPr>
              <w:t xml:space="preserve"> :</w:t>
            </w:r>
          </w:p>
        </w:tc>
        <w:tc>
          <w:tcPr>
            <w:tcW w:w="5954" w:type="dxa"/>
            <w:gridSpan w:val="3"/>
          </w:tcPr>
          <w:p w:rsidR="00C74B6F" w:rsidRDefault="001733F5" w:rsidP="004D6CEA">
            <w:pPr>
              <w:pStyle w:val="zSoquijdatNCSST"/>
            </w:pPr>
            <w:r w:rsidRPr="001733F5">
              <w:t>101856557</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D27927" w:rsidP="006E3DD8">
            <w:pPr>
              <w:tabs>
                <w:tab w:val="left" w:pos="2672"/>
              </w:tabs>
            </w:pPr>
            <w:r>
              <w:t>Gaspé</w:t>
            </w:r>
            <w:r w:rsidR="00C04E32">
              <w:t>,</w:t>
            </w:r>
          </w:p>
        </w:tc>
        <w:tc>
          <w:tcPr>
            <w:tcW w:w="5954" w:type="dxa"/>
            <w:gridSpan w:val="3"/>
          </w:tcPr>
          <w:p w:rsidR="006E3DD8" w:rsidRDefault="00C04E32" w:rsidP="00607F9C">
            <w:pPr>
              <w:pStyle w:val="zSoquijdatDateJugement"/>
            </w:pPr>
            <w:r>
              <w:t xml:space="preserve">le </w:t>
            </w:r>
            <w:r w:rsidR="005D0BFA">
              <w:t>2</w:t>
            </w:r>
            <w:r w:rsidR="00607F9C">
              <w:t>4</w:t>
            </w:r>
            <w:r w:rsidR="00EE7004">
              <w:t xml:space="preserve"> janvier 2020</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D27927">
            <w:pPr>
              <w:rPr>
                <w:b/>
                <w:bCs/>
              </w:rPr>
            </w:pPr>
            <w:bookmarkStart w:id="4" w:name="ref_commissaire" w:colFirst="1" w:colLast="1"/>
            <w:r w:rsidRPr="00942AB8">
              <w:rPr>
                <w:b/>
                <w:bCs/>
              </w:rPr>
              <w:t>DEVANT L</w:t>
            </w:r>
            <w:r w:rsidR="00D27927">
              <w:rPr>
                <w:b/>
                <w:bCs/>
              </w:rPr>
              <w:t>E</w:t>
            </w:r>
            <w:r w:rsidRPr="00942AB8">
              <w:rPr>
                <w:b/>
                <w:bCs/>
              </w:rPr>
              <w:t xml:space="preserve"> JUGE ADMINISTRATI</w:t>
            </w:r>
            <w:r w:rsidR="00D27927">
              <w:rPr>
                <w:b/>
                <w:bCs/>
              </w:rPr>
              <w:t>F</w:t>
            </w:r>
            <w:r w:rsidRPr="00942AB8">
              <w:rPr>
                <w:b/>
                <w:bCs/>
              </w:rPr>
              <w:t> :</w:t>
            </w:r>
          </w:p>
        </w:tc>
        <w:tc>
          <w:tcPr>
            <w:tcW w:w="4111" w:type="dxa"/>
          </w:tcPr>
          <w:p w:rsidR="0035375B" w:rsidRPr="00942AB8" w:rsidRDefault="00D27927" w:rsidP="005B5689">
            <w:pPr>
              <w:pStyle w:val="zSoquijdatJuge"/>
              <w:rPr>
                <w:bCs/>
              </w:rPr>
            </w:pPr>
            <w:r>
              <w:t>Delton Sams</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3C1748">
            <w:pPr>
              <w:pStyle w:val="zSoquijdatNomPartieDem"/>
              <w:rPr>
                <w:b/>
              </w:rPr>
            </w:pPr>
            <w:r>
              <w:rPr>
                <w:b/>
              </w:rPr>
              <w:t>Ré</w:t>
            </w:r>
            <w:r w:rsidR="001733F5">
              <w:rPr>
                <w:b/>
              </w:rPr>
              <w:t>nald Guillemette</w:t>
            </w:r>
          </w:p>
        </w:tc>
        <w:tc>
          <w:tcPr>
            <w:tcW w:w="4820" w:type="dxa"/>
            <w:gridSpan w:val="2"/>
          </w:tcPr>
          <w:p w:rsidR="00942AB8" w:rsidRDefault="00942AB8"/>
        </w:tc>
      </w:tr>
      <w:tr w:rsidR="00942AB8" w:rsidTr="00D40ABA">
        <w:tc>
          <w:tcPr>
            <w:tcW w:w="4748" w:type="dxa"/>
            <w:gridSpan w:val="2"/>
          </w:tcPr>
          <w:p w:rsidR="00942AB8" w:rsidRDefault="00D27927">
            <w:pPr>
              <w:pStyle w:val="zSoquijdatQtePartieDem"/>
              <w:ind w:left="708"/>
            </w:pPr>
            <w:r>
              <w:t>Partie demanderesse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D27927" w:rsidP="00D06652">
            <w:pPr>
              <w:pStyle w:val="zSoquijlblLienParties"/>
            </w:pPr>
            <w:r>
              <w:t>et</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BA024A">
        <w:trPr>
          <w:trHeight w:val="683"/>
        </w:trPr>
        <w:tc>
          <w:tcPr>
            <w:tcW w:w="4748" w:type="dxa"/>
            <w:gridSpan w:val="2"/>
          </w:tcPr>
          <w:p w:rsidR="00BA024A" w:rsidRDefault="00BA024A">
            <w:pPr>
              <w:pStyle w:val="zSoquijdatNomPartieDef"/>
              <w:rPr>
                <w:b/>
              </w:rPr>
            </w:pPr>
            <w:r>
              <w:rPr>
                <w:b/>
              </w:rPr>
              <w:t>Constructions industrielles</w:t>
            </w:r>
          </w:p>
          <w:p w:rsidR="00942AB8" w:rsidRDefault="00BA024A">
            <w:pPr>
              <w:pStyle w:val="zSoquijdatNomPartieDef"/>
              <w:rPr>
                <w:b/>
              </w:rPr>
            </w:pPr>
            <w:r>
              <w:rPr>
                <w:b/>
              </w:rPr>
              <w:t>Clément Belley 1990</w:t>
            </w:r>
            <w:r w:rsidR="00AB129B">
              <w:rPr>
                <w:b/>
              </w:rPr>
              <w:t xml:space="preserve"> enr.</w:t>
            </w:r>
          </w:p>
        </w:tc>
        <w:tc>
          <w:tcPr>
            <w:tcW w:w="4820" w:type="dxa"/>
            <w:gridSpan w:val="2"/>
          </w:tcPr>
          <w:p w:rsidR="00942AB8" w:rsidRDefault="00942AB8"/>
        </w:tc>
      </w:tr>
      <w:tr w:rsidR="001733F5" w:rsidTr="00BA024A">
        <w:trPr>
          <w:trHeight w:val="423"/>
        </w:trPr>
        <w:tc>
          <w:tcPr>
            <w:tcW w:w="4748" w:type="dxa"/>
            <w:gridSpan w:val="2"/>
          </w:tcPr>
          <w:p w:rsidR="001733F5" w:rsidRDefault="00BA024A">
            <w:pPr>
              <w:pStyle w:val="zSoquijdatNomPartieDef"/>
              <w:rPr>
                <w:b/>
              </w:rPr>
            </w:pPr>
            <w:r>
              <w:rPr>
                <w:b/>
              </w:rPr>
              <w:t>Menuiserie Range enr.</w:t>
            </w:r>
          </w:p>
        </w:tc>
        <w:tc>
          <w:tcPr>
            <w:tcW w:w="4820" w:type="dxa"/>
            <w:gridSpan w:val="2"/>
          </w:tcPr>
          <w:p w:rsidR="001733F5" w:rsidRDefault="001733F5"/>
        </w:tc>
      </w:tr>
      <w:tr w:rsidR="00BA024A" w:rsidTr="00BA024A">
        <w:trPr>
          <w:trHeight w:val="430"/>
        </w:trPr>
        <w:tc>
          <w:tcPr>
            <w:tcW w:w="4748" w:type="dxa"/>
            <w:gridSpan w:val="2"/>
          </w:tcPr>
          <w:p w:rsidR="00BA024A" w:rsidRDefault="00BA024A">
            <w:pPr>
              <w:pStyle w:val="zSoquijdatNomPartieDef"/>
              <w:rPr>
                <w:b/>
              </w:rPr>
            </w:pPr>
            <w:r>
              <w:rPr>
                <w:b/>
              </w:rPr>
              <w:t>Transelec/Common inc.</w:t>
            </w:r>
          </w:p>
        </w:tc>
        <w:tc>
          <w:tcPr>
            <w:tcW w:w="4820" w:type="dxa"/>
            <w:gridSpan w:val="2"/>
          </w:tcPr>
          <w:p w:rsidR="00BA024A" w:rsidRDefault="00BA024A"/>
        </w:tc>
      </w:tr>
      <w:tr w:rsidR="00BA024A" w:rsidTr="00BA024A">
        <w:trPr>
          <w:trHeight w:val="704"/>
        </w:trPr>
        <w:tc>
          <w:tcPr>
            <w:tcW w:w="4748" w:type="dxa"/>
            <w:gridSpan w:val="2"/>
          </w:tcPr>
          <w:p w:rsidR="00BA024A" w:rsidRDefault="00BA024A">
            <w:pPr>
              <w:pStyle w:val="zSoquijdatNomPartieDef"/>
              <w:rPr>
                <w:b/>
              </w:rPr>
            </w:pPr>
            <w:r>
              <w:rPr>
                <w:b/>
              </w:rPr>
              <w:t xml:space="preserve">3232077 Canada inc. </w:t>
            </w:r>
          </w:p>
          <w:p w:rsidR="00BA024A" w:rsidRDefault="00BA024A">
            <w:pPr>
              <w:pStyle w:val="zSoquijdatNomPartieDef"/>
              <w:rPr>
                <w:b/>
              </w:rPr>
            </w:pPr>
            <w:r>
              <w:rPr>
                <w:b/>
              </w:rPr>
              <w:t>(Innu Construction)</w:t>
            </w:r>
          </w:p>
        </w:tc>
        <w:tc>
          <w:tcPr>
            <w:tcW w:w="4820" w:type="dxa"/>
            <w:gridSpan w:val="2"/>
          </w:tcPr>
          <w:p w:rsidR="00BA024A" w:rsidRDefault="00BA024A"/>
        </w:tc>
      </w:tr>
      <w:tr w:rsidR="00BA024A" w:rsidTr="00BA024A">
        <w:trPr>
          <w:trHeight w:val="432"/>
        </w:trPr>
        <w:tc>
          <w:tcPr>
            <w:tcW w:w="4748" w:type="dxa"/>
            <w:gridSpan w:val="2"/>
          </w:tcPr>
          <w:p w:rsidR="00BA024A" w:rsidRDefault="00BA024A">
            <w:pPr>
              <w:pStyle w:val="zSoquijdatNomPartieDef"/>
              <w:rPr>
                <w:b/>
              </w:rPr>
            </w:pPr>
            <w:r>
              <w:rPr>
                <w:b/>
              </w:rPr>
              <w:t>CRT Construction inc.</w:t>
            </w:r>
          </w:p>
        </w:tc>
        <w:tc>
          <w:tcPr>
            <w:tcW w:w="4820" w:type="dxa"/>
            <w:gridSpan w:val="2"/>
          </w:tcPr>
          <w:p w:rsidR="00BA024A" w:rsidRDefault="00BA024A"/>
        </w:tc>
      </w:tr>
      <w:tr w:rsidR="00BA024A" w:rsidTr="00BA024A">
        <w:trPr>
          <w:trHeight w:val="409"/>
        </w:trPr>
        <w:tc>
          <w:tcPr>
            <w:tcW w:w="4748" w:type="dxa"/>
            <w:gridSpan w:val="2"/>
          </w:tcPr>
          <w:p w:rsidR="00BA024A" w:rsidRDefault="00BA024A">
            <w:pPr>
              <w:pStyle w:val="zSoquijdatNomPartieDef"/>
              <w:rPr>
                <w:b/>
              </w:rPr>
            </w:pPr>
            <w:r>
              <w:rPr>
                <w:b/>
              </w:rPr>
              <w:t>Coffrages C.C.C. ltée (Les)</w:t>
            </w:r>
          </w:p>
        </w:tc>
        <w:tc>
          <w:tcPr>
            <w:tcW w:w="4820" w:type="dxa"/>
            <w:gridSpan w:val="2"/>
          </w:tcPr>
          <w:p w:rsidR="00BA024A" w:rsidRDefault="00BA024A"/>
        </w:tc>
      </w:tr>
      <w:tr w:rsidR="00BA024A" w:rsidTr="00BA024A">
        <w:trPr>
          <w:trHeight w:val="429"/>
        </w:trPr>
        <w:tc>
          <w:tcPr>
            <w:tcW w:w="4748" w:type="dxa"/>
            <w:gridSpan w:val="2"/>
          </w:tcPr>
          <w:p w:rsidR="00BA024A" w:rsidRDefault="00BA024A">
            <w:pPr>
              <w:pStyle w:val="zSoquijdatNomPartieDef"/>
              <w:rPr>
                <w:b/>
              </w:rPr>
            </w:pPr>
            <w:r>
              <w:rPr>
                <w:b/>
              </w:rPr>
              <w:t>Construction BFC Foundation ltée</w:t>
            </w:r>
          </w:p>
        </w:tc>
        <w:tc>
          <w:tcPr>
            <w:tcW w:w="4820" w:type="dxa"/>
            <w:gridSpan w:val="2"/>
          </w:tcPr>
          <w:p w:rsidR="00BA024A" w:rsidRDefault="00BA024A"/>
        </w:tc>
      </w:tr>
      <w:tr w:rsidR="00BA024A" w:rsidTr="00BA024A">
        <w:trPr>
          <w:trHeight w:val="435"/>
        </w:trPr>
        <w:tc>
          <w:tcPr>
            <w:tcW w:w="4748" w:type="dxa"/>
            <w:gridSpan w:val="2"/>
          </w:tcPr>
          <w:p w:rsidR="00BA024A" w:rsidRDefault="00BA024A">
            <w:pPr>
              <w:pStyle w:val="zSoquijdatNomPartieDef"/>
              <w:rPr>
                <w:b/>
              </w:rPr>
            </w:pPr>
            <w:r>
              <w:rPr>
                <w:b/>
              </w:rPr>
              <w:t>Construction Leclerc &amp; Pelletier inc.</w:t>
            </w:r>
          </w:p>
        </w:tc>
        <w:tc>
          <w:tcPr>
            <w:tcW w:w="4820" w:type="dxa"/>
            <w:gridSpan w:val="2"/>
          </w:tcPr>
          <w:p w:rsidR="00BA024A" w:rsidRDefault="00BA024A"/>
        </w:tc>
      </w:tr>
      <w:tr w:rsidR="00BA024A" w:rsidTr="00BA024A">
        <w:trPr>
          <w:trHeight w:val="411"/>
        </w:trPr>
        <w:tc>
          <w:tcPr>
            <w:tcW w:w="4748" w:type="dxa"/>
            <w:gridSpan w:val="2"/>
          </w:tcPr>
          <w:p w:rsidR="00BA024A" w:rsidRDefault="00BA024A">
            <w:pPr>
              <w:pStyle w:val="zSoquijdatNomPartieDef"/>
              <w:rPr>
                <w:b/>
              </w:rPr>
            </w:pPr>
            <w:r>
              <w:rPr>
                <w:b/>
              </w:rPr>
              <w:t>Construction RIC 2006 inc.</w:t>
            </w:r>
          </w:p>
        </w:tc>
        <w:tc>
          <w:tcPr>
            <w:tcW w:w="4820" w:type="dxa"/>
            <w:gridSpan w:val="2"/>
          </w:tcPr>
          <w:p w:rsidR="00BA024A" w:rsidRDefault="00BA024A"/>
        </w:tc>
      </w:tr>
      <w:tr w:rsidR="00BA024A" w:rsidTr="00BA024A">
        <w:trPr>
          <w:trHeight w:val="433"/>
        </w:trPr>
        <w:tc>
          <w:tcPr>
            <w:tcW w:w="4748" w:type="dxa"/>
            <w:gridSpan w:val="2"/>
          </w:tcPr>
          <w:p w:rsidR="00BA024A" w:rsidRDefault="00BA024A">
            <w:pPr>
              <w:pStyle w:val="zSoquijdatNomPartieDef"/>
              <w:rPr>
                <w:b/>
              </w:rPr>
            </w:pPr>
            <w:r>
              <w:rPr>
                <w:b/>
              </w:rPr>
              <w:t>Construction Énergie Nouvelle</w:t>
            </w:r>
          </w:p>
        </w:tc>
        <w:tc>
          <w:tcPr>
            <w:tcW w:w="4820" w:type="dxa"/>
            <w:gridSpan w:val="2"/>
          </w:tcPr>
          <w:p w:rsidR="00BA024A" w:rsidRDefault="00BA024A"/>
        </w:tc>
      </w:tr>
      <w:tr w:rsidR="00BA024A" w:rsidRPr="00BA024A" w:rsidTr="00AB129B">
        <w:trPr>
          <w:trHeight w:val="425"/>
        </w:trPr>
        <w:tc>
          <w:tcPr>
            <w:tcW w:w="4748" w:type="dxa"/>
            <w:gridSpan w:val="2"/>
          </w:tcPr>
          <w:p w:rsidR="00BA024A" w:rsidRPr="00BA024A" w:rsidRDefault="00BA024A">
            <w:pPr>
              <w:pStyle w:val="zSoquijdatNomPartieDef"/>
              <w:rPr>
                <w:b/>
              </w:rPr>
            </w:pPr>
            <w:r w:rsidRPr="00BA024A">
              <w:rPr>
                <w:b/>
              </w:rPr>
              <w:t xml:space="preserve">Constructions B.L.H. inc. </w:t>
            </w:r>
            <w:r>
              <w:rPr>
                <w:b/>
              </w:rPr>
              <w:t>(Les)</w:t>
            </w:r>
          </w:p>
        </w:tc>
        <w:tc>
          <w:tcPr>
            <w:tcW w:w="4820" w:type="dxa"/>
            <w:gridSpan w:val="2"/>
          </w:tcPr>
          <w:p w:rsidR="00BA024A" w:rsidRPr="00BA024A" w:rsidRDefault="00BA024A"/>
        </w:tc>
      </w:tr>
      <w:tr w:rsidR="00BA024A" w:rsidRPr="00BA024A" w:rsidTr="00D40ABA">
        <w:tc>
          <w:tcPr>
            <w:tcW w:w="4748" w:type="dxa"/>
            <w:gridSpan w:val="2"/>
          </w:tcPr>
          <w:p w:rsidR="00BA024A" w:rsidRPr="00BA024A" w:rsidRDefault="00BA024A">
            <w:pPr>
              <w:pStyle w:val="zSoquijdatNomPartieDef"/>
              <w:rPr>
                <w:b/>
              </w:rPr>
            </w:pPr>
            <w:r>
              <w:rPr>
                <w:b/>
              </w:rPr>
              <w:t>Constructions Louisbourg ltée</w:t>
            </w:r>
          </w:p>
        </w:tc>
        <w:tc>
          <w:tcPr>
            <w:tcW w:w="4820" w:type="dxa"/>
            <w:gridSpan w:val="2"/>
          </w:tcPr>
          <w:p w:rsidR="00BA024A" w:rsidRPr="00BA024A" w:rsidRDefault="00BA024A"/>
        </w:tc>
      </w:tr>
      <w:tr w:rsidR="00BA024A" w:rsidRPr="00BA024A" w:rsidTr="009A78B0">
        <w:trPr>
          <w:trHeight w:val="473"/>
        </w:trPr>
        <w:tc>
          <w:tcPr>
            <w:tcW w:w="4748" w:type="dxa"/>
            <w:gridSpan w:val="2"/>
          </w:tcPr>
          <w:p w:rsidR="00BA024A" w:rsidRPr="00BA024A" w:rsidRDefault="00BA024A">
            <w:pPr>
              <w:pStyle w:val="zSoquijdatNomPartieDef"/>
              <w:rPr>
                <w:b/>
              </w:rPr>
            </w:pPr>
            <w:r>
              <w:rPr>
                <w:b/>
              </w:rPr>
              <w:t>Constructions du St-Laurent ltée</w:t>
            </w:r>
          </w:p>
        </w:tc>
        <w:tc>
          <w:tcPr>
            <w:tcW w:w="4820" w:type="dxa"/>
            <w:gridSpan w:val="2"/>
          </w:tcPr>
          <w:p w:rsidR="00BA024A" w:rsidRPr="00BA024A" w:rsidRDefault="00BA024A"/>
        </w:tc>
      </w:tr>
      <w:tr w:rsidR="00BA024A" w:rsidRPr="00BA024A" w:rsidTr="00AB129B">
        <w:trPr>
          <w:trHeight w:val="434"/>
        </w:trPr>
        <w:tc>
          <w:tcPr>
            <w:tcW w:w="4748" w:type="dxa"/>
            <w:gridSpan w:val="2"/>
          </w:tcPr>
          <w:p w:rsidR="00BA024A" w:rsidRDefault="00BA024A">
            <w:pPr>
              <w:pStyle w:val="zSoquijdatNomPartieDef"/>
              <w:rPr>
                <w:b/>
              </w:rPr>
            </w:pPr>
            <w:r>
              <w:rPr>
                <w:b/>
              </w:rPr>
              <w:t>De-Vi Construction Sept-Îles inc.</w:t>
            </w:r>
          </w:p>
        </w:tc>
        <w:tc>
          <w:tcPr>
            <w:tcW w:w="4820" w:type="dxa"/>
            <w:gridSpan w:val="2"/>
          </w:tcPr>
          <w:p w:rsidR="00BA024A" w:rsidRPr="00BA024A" w:rsidRDefault="00BA024A"/>
        </w:tc>
      </w:tr>
      <w:tr w:rsidR="00BA024A" w:rsidRPr="00BA024A" w:rsidTr="00AB129B">
        <w:trPr>
          <w:trHeight w:val="411"/>
        </w:trPr>
        <w:tc>
          <w:tcPr>
            <w:tcW w:w="4748" w:type="dxa"/>
            <w:gridSpan w:val="2"/>
          </w:tcPr>
          <w:p w:rsidR="00BA024A" w:rsidRPr="00BA024A" w:rsidRDefault="00BA024A">
            <w:pPr>
              <w:pStyle w:val="zSoquijdatNomPartieDef"/>
              <w:rPr>
                <w:b/>
              </w:rPr>
            </w:pPr>
            <w:r>
              <w:rPr>
                <w:b/>
              </w:rPr>
              <w:t>Genivar Construction inc.</w:t>
            </w:r>
          </w:p>
        </w:tc>
        <w:tc>
          <w:tcPr>
            <w:tcW w:w="4820" w:type="dxa"/>
            <w:gridSpan w:val="2"/>
          </w:tcPr>
          <w:p w:rsidR="00BA024A" w:rsidRPr="00BA024A" w:rsidRDefault="00BA024A"/>
        </w:tc>
      </w:tr>
      <w:tr w:rsidR="00BA024A" w:rsidRPr="00BA024A" w:rsidTr="00AB129B">
        <w:trPr>
          <w:trHeight w:val="432"/>
        </w:trPr>
        <w:tc>
          <w:tcPr>
            <w:tcW w:w="4748" w:type="dxa"/>
            <w:gridSpan w:val="2"/>
          </w:tcPr>
          <w:p w:rsidR="00BA024A" w:rsidRDefault="00AB129B">
            <w:pPr>
              <w:pStyle w:val="zSoquijdatNomPartieDef"/>
              <w:rPr>
                <w:b/>
              </w:rPr>
            </w:pPr>
            <w:r>
              <w:rPr>
                <w:b/>
              </w:rPr>
              <w:t>Constructions Talbon inc.</w:t>
            </w:r>
          </w:p>
        </w:tc>
        <w:tc>
          <w:tcPr>
            <w:tcW w:w="4820" w:type="dxa"/>
            <w:gridSpan w:val="2"/>
          </w:tcPr>
          <w:p w:rsidR="00BA024A" w:rsidRPr="00BA024A" w:rsidRDefault="00BA024A"/>
        </w:tc>
      </w:tr>
      <w:tr w:rsidR="00BA024A" w:rsidRPr="00BA024A" w:rsidTr="009A78B0">
        <w:trPr>
          <w:trHeight w:val="426"/>
        </w:trPr>
        <w:tc>
          <w:tcPr>
            <w:tcW w:w="4748" w:type="dxa"/>
            <w:gridSpan w:val="2"/>
          </w:tcPr>
          <w:p w:rsidR="00BA024A" w:rsidRDefault="00AB129B">
            <w:pPr>
              <w:pStyle w:val="zSoquijdatNomPartieDef"/>
              <w:rPr>
                <w:b/>
              </w:rPr>
            </w:pPr>
            <w:r>
              <w:rPr>
                <w:b/>
              </w:rPr>
              <w:t>Nordex enr.</w:t>
            </w:r>
          </w:p>
        </w:tc>
        <w:tc>
          <w:tcPr>
            <w:tcW w:w="4820" w:type="dxa"/>
            <w:gridSpan w:val="2"/>
          </w:tcPr>
          <w:p w:rsidR="00BA024A" w:rsidRPr="00BA024A" w:rsidRDefault="00BA024A"/>
        </w:tc>
      </w:tr>
      <w:tr w:rsidR="00BA024A" w:rsidRPr="00BA024A" w:rsidTr="00AB129B">
        <w:trPr>
          <w:trHeight w:val="441"/>
        </w:trPr>
        <w:tc>
          <w:tcPr>
            <w:tcW w:w="4748" w:type="dxa"/>
            <w:gridSpan w:val="2"/>
          </w:tcPr>
          <w:p w:rsidR="00BA024A" w:rsidRDefault="00AB129B">
            <w:pPr>
              <w:pStyle w:val="zSoquijdatNomPartieDef"/>
              <w:rPr>
                <w:b/>
              </w:rPr>
            </w:pPr>
            <w:r>
              <w:rPr>
                <w:b/>
              </w:rPr>
              <w:t>Laval Fortin ltée</w:t>
            </w:r>
          </w:p>
        </w:tc>
        <w:tc>
          <w:tcPr>
            <w:tcW w:w="4820" w:type="dxa"/>
            <w:gridSpan w:val="2"/>
          </w:tcPr>
          <w:p w:rsidR="00BA024A" w:rsidRPr="00BA024A" w:rsidRDefault="00BA024A"/>
        </w:tc>
      </w:tr>
      <w:tr w:rsidR="00BA024A" w:rsidRPr="00BA024A" w:rsidTr="00AB129B">
        <w:trPr>
          <w:trHeight w:val="420"/>
        </w:trPr>
        <w:tc>
          <w:tcPr>
            <w:tcW w:w="4748" w:type="dxa"/>
            <w:gridSpan w:val="2"/>
          </w:tcPr>
          <w:p w:rsidR="00BA024A" w:rsidRDefault="00AB129B">
            <w:pPr>
              <w:pStyle w:val="zSoquijdatNomPartieDef"/>
              <w:rPr>
                <w:b/>
              </w:rPr>
            </w:pPr>
            <w:r>
              <w:rPr>
                <w:b/>
              </w:rPr>
              <w:t>Neilson inc.</w:t>
            </w:r>
          </w:p>
        </w:tc>
        <w:tc>
          <w:tcPr>
            <w:tcW w:w="4820" w:type="dxa"/>
            <w:gridSpan w:val="2"/>
          </w:tcPr>
          <w:p w:rsidR="00BA024A" w:rsidRPr="00BA024A" w:rsidRDefault="00BA024A"/>
        </w:tc>
      </w:tr>
      <w:tr w:rsidR="00BA024A" w:rsidRPr="00BA024A" w:rsidTr="00D40ABA">
        <w:tc>
          <w:tcPr>
            <w:tcW w:w="4748" w:type="dxa"/>
            <w:gridSpan w:val="2"/>
          </w:tcPr>
          <w:p w:rsidR="00BA024A" w:rsidRDefault="00AB129B">
            <w:pPr>
              <w:pStyle w:val="zSoquijdatNomPartieDef"/>
              <w:rPr>
                <w:b/>
              </w:rPr>
            </w:pPr>
            <w:r>
              <w:rPr>
                <w:b/>
              </w:rPr>
              <w:t>Groupe Hexagone, S.E.C.</w:t>
            </w:r>
          </w:p>
        </w:tc>
        <w:tc>
          <w:tcPr>
            <w:tcW w:w="4820" w:type="dxa"/>
            <w:gridSpan w:val="2"/>
          </w:tcPr>
          <w:p w:rsidR="00BA024A" w:rsidRPr="00BA024A" w:rsidRDefault="00BA024A"/>
        </w:tc>
      </w:tr>
      <w:tr w:rsidR="00942AB8" w:rsidTr="00D40ABA">
        <w:tc>
          <w:tcPr>
            <w:tcW w:w="4748" w:type="dxa"/>
            <w:gridSpan w:val="2"/>
          </w:tcPr>
          <w:p w:rsidR="00942AB8" w:rsidRDefault="00D27927">
            <w:pPr>
              <w:pStyle w:val="zSoquijdatQtePartieDef"/>
              <w:ind w:left="708"/>
            </w:pPr>
            <w:r>
              <w:t>Partie</w:t>
            </w:r>
            <w:r w:rsidR="00AB129B">
              <w:t>s</w:t>
            </w:r>
            <w:r>
              <w:t xml:space="preserve"> mise</w:t>
            </w:r>
            <w:r w:rsidR="00AB129B">
              <w:t>s</w:t>
            </w:r>
            <w:r>
              <w:t xml:space="preserve"> en cause</w:t>
            </w:r>
          </w:p>
        </w:tc>
        <w:tc>
          <w:tcPr>
            <w:tcW w:w="4820" w:type="dxa"/>
            <w:gridSpan w:val="2"/>
          </w:tcPr>
          <w:p w:rsidR="00942AB8" w:rsidRDefault="00942AB8"/>
        </w:tc>
      </w:tr>
      <w:tr w:rsidR="00D27927" w:rsidTr="00D40ABA">
        <w:tc>
          <w:tcPr>
            <w:tcW w:w="4748" w:type="dxa"/>
            <w:gridSpan w:val="2"/>
          </w:tcPr>
          <w:p w:rsidR="00D27927" w:rsidRDefault="00D27927">
            <w:pPr>
              <w:pStyle w:val="zSoquijdatQtePartieDef"/>
              <w:ind w:left="708"/>
            </w:pPr>
          </w:p>
        </w:tc>
        <w:tc>
          <w:tcPr>
            <w:tcW w:w="4820" w:type="dxa"/>
            <w:gridSpan w:val="2"/>
          </w:tcPr>
          <w:p w:rsidR="00D27927" w:rsidRDefault="00D27927"/>
        </w:tc>
      </w:tr>
      <w:tr w:rsidR="0065093D" w:rsidTr="00D40ABA">
        <w:tc>
          <w:tcPr>
            <w:tcW w:w="4748" w:type="dxa"/>
            <w:gridSpan w:val="2"/>
          </w:tcPr>
          <w:p w:rsidR="0065093D" w:rsidRDefault="00D27927">
            <w:r>
              <w:t>et</w:t>
            </w:r>
          </w:p>
        </w:tc>
        <w:tc>
          <w:tcPr>
            <w:tcW w:w="4820" w:type="dxa"/>
            <w:gridSpan w:val="2"/>
          </w:tcPr>
          <w:p w:rsidR="0065093D" w:rsidRDefault="0065093D"/>
        </w:tc>
      </w:tr>
      <w:tr w:rsidR="00D27927" w:rsidTr="00D40ABA">
        <w:tc>
          <w:tcPr>
            <w:tcW w:w="4748" w:type="dxa"/>
            <w:gridSpan w:val="2"/>
          </w:tcPr>
          <w:p w:rsidR="00D27927" w:rsidRDefault="00D27927"/>
        </w:tc>
        <w:tc>
          <w:tcPr>
            <w:tcW w:w="4820" w:type="dxa"/>
            <w:gridSpan w:val="2"/>
          </w:tcPr>
          <w:p w:rsidR="00D27927" w:rsidRDefault="00D27927"/>
        </w:tc>
      </w:tr>
      <w:tr w:rsidR="00942AB8" w:rsidTr="00D40ABA">
        <w:tc>
          <w:tcPr>
            <w:tcW w:w="4748" w:type="dxa"/>
            <w:gridSpan w:val="2"/>
          </w:tcPr>
          <w:p w:rsidR="00942AB8" w:rsidRDefault="00D27927">
            <w:pPr>
              <w:pStyle w:val="zSoquijdatNomPartieInt"/>
              <w:rPr>
                <w:b/>
              </w:rPr>
            </w:pPr>
            <w:r w:rsidRPr="00D27927">
              <w:rPr>
                <w:b/>
              </w:rPr>
              <w:t>Commission des normes, de l’équité, de la santé et de la sécurité du travail</w:t>
            </w:r>
          </w:p>
        </w:tc>
        <w:tc>
          <w:tcPr>
            <w:tcW w:w="4820" w:type="dxa"/>
            <w:gridSpan w:val="2"/>
          </w:tcPr>
          <w:p w:rsidR="00942AB8" w:rsidRDefault="00942AB8"/>
        </w:tc>
      </w:tr>
      <w:tr w:rsidR="00942AB8" w:rsidTr="00D40ABA">
        <w:tc>
          <w:tcPr>
            <w:tcW w:w="4748" w:type="dxa"/>
            <w:gridSpan w:val="2"/>
          </w:tcPr>
          <w:p w:rsidR="00942AB8" w:rsidRDefault="00D27927">
            <w:pPr>
              <w:pStyle w:val="zSoquijdatQtePartieInt"/>
              <w:ind w:left="708"/>
            </w:pPr>
            <w:r>
              <w:t>Partie intervenante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6" w:name="decision"/>
      <w:r w:rsidRPr="005B0612">
        <w:rPr>
          <w:b/>
          <w:bCs/>
        </w:rPr>
        <w:t>DÉCISION</w:t>
      </w:r>
      <w:bookmarkEnd w:id="6"/>
    </w:p>
    <w:p w:rsidR="00C74B6F" w:rsidRDefault="00C74B6F">
      <w:pPr>
        <w:jc w:val="center"/>
      </w:pPr>
      <w:r>
        <w:t>______________________________________________________________________</w:t>
      </w:r>
    </w:p>
    <w:p w:rsidR="00C74B6F" w:rsidRDefault="00C74B6F"/>
    <w:p w:rsidR="00C74B6F" w:rsidRDefault="00C74B6F"/>
    <w:p w:rsidR="003A14E1" w:rsidRDefault="003A14E1" w:rsidP="003A14E1">
      <w:pPr>
        <w:pStyle w:val="corpsdedcision"/>
        <w:tabs>
          <w:tab w:val="clear" w:pos="360"/>
        </w:tabs>
      </w:pPr>
      <w:r>
        <w:t xml:space="preserve">Le 13 octobre 2016, le travailleur dépose au Tribunal administratif du travail (le Tribunal) un acte introductif à l’encontre d’une décision rendue le 7 octobre 2016 par la Commission des normes, de l’équité, de la santé et de la sécurité du travail (la Commission) à la suite d’une révision administrative. </w:t>
      </w:r>
    </w:p>
    <w:p w:rsidR="003A14E1" w:rsidRDefault="003A14E1" w:rsidP="003A14E1">
      <w:pPr>
        <w:pStyle w:val="corpsdedcision"/>
        <w:tabs>
          <w:tab w:val="clear" w:pos="360"/>
        </w:tabs>
      </w:pPr>
      <w:r>
        <w:t xml:space="preserve">Par cette décision, la Commission confirme sa décision initiale rendue le 27 mai 2016 en déclarant que monsieur Rénald Guillemette, le travailleur, n’a pas subi une rechute le 12 mai 2016 et n’a donc pas droit aux prestations prévues par la </w:t>
      </w:r>
      <w:r w:rsidRPr="000A0C02">
        <w:rPr>
          <w:bCs/>
          <w:i/>
          <w:iCs/>
        </w:rPr>
        <w:t>Loi sur les accidents du travail et les maladies professionnelles</w:t>
      </w:r>
      <w:r w:rsidRPr="000A0C02">
        <w:rPr>
          <w:rStyle w:val="Appelnotedebasdep"/>
          <w:bCs/>
        </w:rPr>
        <w:footnoteReference w:id="1"/>
      </w:r>
      <w:r w:rsidRPr="000A0C02">
        <w:rPr>
          <w:bCs/>
          <w:i/>
          <w:iCs/>
        </w:rPr>
        <w:t xml:space="preserve"> </w:t>
      </w:r>
      <w:r>
        <w:rPr>
          <w:bCs/>
        </w:rPr>
        <w:t>(la L</w:t>
      </w:r>
      <w:r w:rsidRPr="000A0C02">
        <w:rPr>
          <w:bCs/>
        </w:rPr>
        <w:t>oi)</w:t>
      </w:r>
      <w:r>
        <w:rPr>
          <w:bCs/>
        </w:rPr>
        <w:t>.</w:t>
      </w:r>
    </w:p>
    <w:p w:rsidR="00365F25" w:rsidRDefault="00EE7004" w:rsidP="00365F25">
      <w:pPr>
        <w:pStyle w:val="corpsdedcision"/>
        <w:tabs>
          <w:tab w:val="clear" w:pos="360"/>
        </w:tabs>
      </w:pPr>
      <w:r>
        <w:t>À l’audience tenue le</w:t>
      </w:r>
      <w:r w:rsidR="00365F25">
        <w:t xml:space="preserve"> 19 août</w:t>
      </w:r>
      <w:r>
        <w:t xml:space="preserve"> 2019, le travailleur de même que les parties mises en cause</w:t>
      </w:r>
      <w:r w:rsidR="002932E8">
        <w:t>,</w:t>
      </w:r>
      <w:r w:rsidR="00365F25">
        <w:t xml:space="preserve"> </w:t>
      </w:r>
      <w:r>
        <w:t xml:space="preserve">Transelec/Common inc. ainsi que </w:t>
      </w:r>
      <w:r w:rsidR="003501AD">
        <w:t>Laval Fortin ltée</w:t>
      </w:r>
      <w:r w:rsidR="002932E8">
        <w:t>,</w:t>
      </w:r>
      <w:r w:rsidR="003501AD">
        <w:t xml:space="preserve"> </w:t>
      </w:r>
      <w:r>
        <w:t>sont représenté</w:t>
      </w:r>
      <w:r w:rsidR="003501AD">
        <w:t>e</w:t>
      </w:r>
      <w:r>
        <w:t xml:space="preserve">s à l’audience. </w:t>
      </w:r>
      <w:r w:rsidR="00365F25">
        <w:t xml:space="preserve">Le dossier est pris en délibéré </w:t>
      </w:r>
      <w:r w:rsidR="003501AD">
        <w:t>après avoir entendu les représentations des parties le 27 septembre 2019</w:t>
      </w:r>
      <w:r w:rsidR="00365F25">
        <w:t>.</w:t>
      </w:r>
      <w:r w:rsidR="003501AD">
        <w:t xml:space="preserve"> </w:t>
      </w:r>
    </w:p>
    <w:p w:rsidR="003A14E1" w:rsidRDefault="003A14E1">
      <w:pPr>
        <w:pStyle w:val="corpsdedcision"/>
        <w:numPr>
          <w:ilvl w:val="0"/>
          <w:numId w:val="0"/>
        </w:numPr>
        <w:rPr>
          <w:b/>
        </w:rPr>
      </w:pPr>
      <w:r>
        <w:rPr>
          <w:b/>
        </w:rPr>
        <w:t>L’OBJET DE LA CONTESTATION</w:t>
      </w:r>
    </w:p>
    <w:p w:rsidR="003501AD" w:rsidRDefault="003501AD" w:rsidP="00AE1A1D">
      <w:pPr>
        <w:pStyle w:val="corpsdedcision"/>
        <w:tabs>
          <w:tab w:val="clear" w:pos="360"/>
          <w:tab w:val="num" w:pos="720"/>
        </w:tabs>
      </w:pPr>
      <w:r>
        <w:t>Le travailleur demande au Tribunal d’infirmer la décision de la Commission rendue à la suite d’une révision administrative le 7 octobre 2016 et de déclarer qu’il a subi une maladie professionnelle</w:t>
      </w:r>
      <w:r w:rsidR="000F2532">
        <w:t>,</w:t>
      </w:r>
      <w:r>
        <w:t xml:space="preserve"> </w:t>
      </w:r>
      <w:r w:rsidR="000F2532">
        <w:t>reliée au</w:t>
      </w:r>
      <w:r w:rsidR="002932E8">
        <w:t>x</w:t>
      </w:r>
      <w:r w:rsidR="000F2532">
        <w:t xml:space="preserve"> risques particuliers de son travail, </w:t>
      </w:r>
      <w:r>
        <w:t xml:space="preserve">consistant en des déchirures bilatérales de la coiffe des rotateurs diagnostiquées le 12 </w:t>
      </w:r>
      <w:r w:rsidR="002B7B76">
        <w:t>mai 2016</w:t>
      </w:r>
      <w:r>
        <w:t>.</w:t>
      </w:r>
    </w:p>
    <w:p w:rsidR="003501AD" w:rsidRDefault="003501AD" w:rsidP="00AE1A1D">
      <w:pPr>
        <w:pStyle w:val="corpsdedcision"/>
        <w:tabs>
          <w:tab w:val="clear" w:pos="360"/>
          <w:tab w:val="num" w:pos="720"/>
        </w:tabs>
      </w:pPr>
      <w:r>
        <w:t xml:space="preserve">Soulignons que le 25 janvier 2018, le Tribunal a rejeté un moyen préliminaire soulevé par la Commission </w:t>
      </w:r>
      <w:r w:rsidR="000F2532">
        <w:t xml:space="preserve">à l’effet </w:t>
      </w:r>
      <w:r>
        <w:t>que le travailleur n’avait pas produit sa réclamation à l’intérieur des délais prescrit</w:t>
      </w:r>
      <w:r w:rsidR="000F2532">
        <w:t>s</w:t>
      </w:r>
      <w:r>
        <w:t xml:space="preserve"> par la Loi. </w:t>
      </w:r>
    </w:p>
    <w:p w:rsidR="003501AD" w:rsidRDefault="003501AD">
      <w:pPr>
        <w:pStyle w:val="corpsdedcision"/>
        <w:numPr>
          <w:ilvl w:val="0"/>
          <w:numId w:val="0"/>
        </w:numPr>
      </w:pPr>
      <w:r>
        <w:rPr>
          <w:b/>
        </w:rPr>
        <w:t>LES FAITS</w:t>
      </w:r>
    </w:p>
    <w:p w:rsidR="000F2532" w:rsidRPr="000F2532" w:rsidRDefault="000F2532" w:rsidP="000F2532">
      <w:pPr>
        <w:pStyle w:val="corpsdedcision"/>
        <w:tabs>
          <w:tab w:val="clear" w:pos="360"/>
        </w:tabs>
      </w:pPr>
      <w:r w:rsidRPr="000F2532">
        <w:t>Le travailleur âgé de 52 ans travaille dans le domaine de la construction depuis 1990 en tant que charpentier-menuisier</w:t>
      </w:r>
      <w:r>
        <w:t>/manœuvre</w:t>
      </w:r>
      <w:r w:rsidRPr="000F2532">
        <w:t>. Selon l’historique des heures travaillée</w:t>
      </w:r>
      <w:r w:rsidR="00873B28">
        <w:t>s, il aurait effectué plus de 31</w:t>
      </w:r>
      <w:r w:rsidRPr="000F2532">
        <w:t xml:space="preserve"> 000 heures </w:t>
      </w:r>
      <w:r>
        <w:t>de</w:t>
      </w:r>
      <w:r w:rsidRPr="000F2532">
        <w:t xml:space="preserve"> 1990 jusqu’en 2017. Le n</w:t>
      </w:r>
      <w:r w:rsidR="009F55FF">
        <w:t>ombre d’heures travaillées varie</w:t>
      </w:r>
      <w:r w:rsidRPr="000F2532">
        <w:t xml:space="preserve"> d’année en année, mais durant </w:t>
      </w:r>
      <w:r w:rsidR="00873B28">
        <w:t>les dix dernières années</w:t>
      </w:r>
      <w:r w:rsidRPr="000F2532">
        <w:t>, il a effectué les heures suivantes :</w:t>
      </w:r>
    </w:p>
    <w:p w:rsidR="000F2532" w:rsidRPr="000F2532" w:rsidRDefault="000F2532" w:rsidP="000F2532">
      <w:pPr>
        <w:pStyle w:val="corpsdedcision"/>
        <w:numPr>
          <w:ilvl w:val="0"/>
          <w:numId w:val="0"/>
        </w:numPr>
        <w:tabs>
          <w:tab w:val="clear" w:pos="720"/>
        </w:tabs>
        <w:spacing w:after="0"/>
        <w:sectPr w:rsidR="000F2532" w:rsidRPr="000F2532" w:rsidSect="000F48EF">
          <w:headerReference w:type="default" r:id="rId8"/>
          <w:type w:val="continuous"/>
          <w:pgSz w:w="12240" w:h="15840" w:code="1"/>
          <w:pgMar w:top="1152" w:right="1440" w:bottom="1440" w:left="1440" w:header="706" w:footer="706" w:gutter="0"/>
          <w:cols w:space="720"/>
          <w:titlePg/>
        </w:sectPr>
      </w:pPr>
    </w:p>
    <w:p w:rsidR="009F55FF" w:rsidRDefault="009F55FF" w:rsidP="000F2532">
      <w:pPr>
        <w:pStyle w:val="corpsdedcision"/>
        <w:numPr>
          <w:ilvl w:val="0"/>
          <w:numId w:val="0"/>
        </w:numPr>
        <w:tabs>
          <w:tab w:val="clear" w:pos="720"/>
        </w:tabs>
        <w:spacing w:after="0"/>
      </w:pPr>
      <w:r>
        <w:t xml:space="preserve">2006 </w:t>
      </w:r>
      <w:r w:rsidRPr="000F2532">
        <w:t>–</w:t>
      </w:r>
      <w:r>
        <w:t xml:space="preserve"> 1385 heures</w:t>
      </w:r>
    </w:p>
    <w:p w:rsidR="009F55FF" w:rsidRDefault="009F55FF" w:rsidP="000F2532">
      <w:pPr>
        <w:pStyle w:val="corpsdedcision"/>
        <w:numPr>
          <w:ilvl w:val="0"/>
          <w:numId w:val="0"/>
        </w:numPr>
        <w:tabs>
          <w:tab w:val="clear" w:pos="720"/>
        </w:tabs>
        <w:spacing w:after="0"/>
      </w:pPr>
      <w:r>
        <w:t xml:space="preserve">2007 </w:t>
      </w:r>
      <w:r w:rsidRPr="000F2532">
        <w:t>–</w:t>
      </w:r>
      <w:r>
        <w:t xml:space="preserve"> 1614 heures</w:t>
      </w:r>
    </w:p>
    <w:p w:rsidR="009F55FF" w:rsidRPr="009F55FF" w:rsidRDefault="009F55FF" w:rsidP="000F2532">
      <w:pPr>
        <w:pStyle w:val="corpsdedcision"/>
        <w:numPr>
          <w:ilvl w:val="0"/>
          <w:numId w:val="0"/>
        </w:numPr>
        <w:tabs>
          <w:tab w:val="clear" w:pos="720"/>
        </w:tabs>
        <w:spacing w:after="0"/>
        <w:rPr>
          <w:b/>
        </w:rPr>
      </w:pPr>
      <w:r w:rsidRPr="009F55FF">
        <w:t xml:space="preserve">2008 – </w:t>
      </w:r>
      <w:r w:rsidRPr="005D0BFA">
        <w:t>1476 heures</w:t>
      </w:r>
    </w:p>
    <w:p w:rsidR="000F2532" w:rsidRPr="000F2532" w:rsidRDefault="000F2532" w:rsidP="000F2532">
      <w:pPr>
        <w:pStyle w:val="corpsdedcision"/>
        <w:numPr>
          <w:ilvl w:val="0"/>
          <w:numId w:val="0"/>
        </w:numPr>
        <w:tabs>
          <w:tab w:val="clear" w:pos="720"/>
        </w:tabs>
        <w:spacing w:after="0"/>
      </w:pPr>
      <w:r w:rsidRPr="000F2532">
        <w:t>2009 – 1646 heures</w:t>
      </w:r>
    </w:p>
    <w:p w:rsidR="000F2532" w:rsidRPr="000F2532" w:rsidRDefault="000F2532" w:rsidP="000F2532">
      <w:pPr>
        <w:pStyle w:val="corpsdedcision"/>
        <w:numPr>
          <w:ilvl w:val="0"/>
          <w:numId w:val="0"/>
        </w:numPr>
        <w:tabs>
          <w:tab w:val="clear" w:pos="720"/>
        </w:tabs>
        <w:spacing w:after="0"/>
      </w:pPr>
      <w:r w:rsidRPr="000F2532">
        <w:t>2010 – 2202 heures</w:t>
      </w:r>
    </w:p>
    <w:p w:rsidR="000F2532" w:rsidRPr="000F2532" w:rsidRDefault="000F2532" w:rsidP="000F2532">
      <w:pPr>
        <w:pStyle w:val="corpsdedcision"/>
        <w:numPr>
          <w:ilvl w:val="0"/>
          <w:numId w:val="0"/>
        </w:numPr>
        <w:tabs>
          <w:tab w:val="clear" w:pos="720"/>
        </w:tabs>
        <w:spacing w:after="0"/>
      </w:pPr>
      <w:r w:rsidRPr="000F2532">
        <w:t>2011 – 2112 heures</w:t>
      </w:r>
    </w:p>
    <w:p w:rsidR="000F2532" w:rsidRPr="000F2532" w:rsidRDefault="000F2532" w:rsidP="009F55FF">
      <w:pPr>
        <w:pStyle w:val="corpsdedcision"/>
        <w:numPr>
          <w:ilvl w:val="0"/>
          <w:numId w:val="0"/>
        </w:numPr>
        <w:tabs>
          <w:tab w:val="clear" w:pos="720"/>
        </w:tabs>
        <w:spacing w:after="0"/>
      </w:pPr>
      <w:r w:rsidRPr="000F2532">
        <w:t>2012 – 2101 heures</w:t>
      </w:r>
    </w:p>
    <w:p w:rsidR="000F2532" w:rsidRPr="000F2532" w:rsidRDefault="000F2532" w:rsidP="000F2532">
      <w:pPr>
        <w:pStyle w:val="corpsdedcision"/>
        <w:numPr>
          <w:ilvl w:val="0"/>
          <w:numId w:val="0"/>
        </w:numPr>
        <w:tabs>
          <w:tab w:val="clear" w:pos="720"/>
        </w:tabs>
        <w:spacing w:after="0"/>
      </w:pPr>
      <w:r w:rsidRPr="000F2532">
        <w:t>2013 – 1488 heures</w:t>
      </w:r>
    </w:p>
    <w:p w:rsidR="000F2532" w:rsidRPr="000F2532" w:rsidRDefault="000F2532" w:rsidP="000F2532">
      <w:pPr>
        <w:pStyle w:val="corpsdedcision"/>
        <w:numPr>
          <w:ilvl w:val="0"/>
          <w:numId w:val="0"/>
        </w:numPr>
        <w:tabs>
          <w:tab w:val="clear" w:pos="720"/>
        </w:tabs>
        <w:spacing w:after="0"/>
      </w:pPr>
      <w:r w:rsidRPr="000F2532">
        <w:t>2014 – 1493 heures</w:t>
      </w:r>
    </w:p>
    <w:p w:rsidR="000F2532" w:rsidRPr="000F2532" w:rsidRDefault="000F2532" w:rsidP="000F2532">
      <w:pPr>
        <w:pStyle w:val="corpsdedcision"/>
        <w:numPr>
          <w:ilvl w:val="0"/>
          <w:numId w:val="0"/>
        </w:numPr>
        <w:tabs>
          <w:tab w:val="clear" w:pos="720"/>
        </w:tabs>
      </w:pPr>
      <w:r w:rsidRPr="000F2532">
        <w:t>2015 – 1532 heures</w:t>
      </w:r>
    </w:p>
    <w:p w:rsidR="000F2532" w:rsidRPr="000F2532" w:rsidRDefault="000F2532" w:rsidP="000F2532">
      <w:pPr>
        <w:pStyle w:val="corpsdedcision"/>
        <w:tabs>
          <w:tab w:val="clear" w:pos="360"/>
          <w:tab w:val="num" w:pos="720"/>
        </w:tabs>
        <w:sectPr w:rsidR="000F2532" w:rsidRPr="000F2532" w:rsidSect="00327CEC">
          <w:type w:val="continuous"/>
          <w:pgSz w:w="12240" w:h="15840" w:code="1"/>
          <w:pgMar w:top="1152" w:right="1440" w:bottom="1440" w:left="2127" w:header="706" w:footer="706" w:gutter="0"/>
          <w:cols w:num="2" w:space="720"/>
          <w:titlePg/>
        </w:sectPr>
      </w:pPr>
    </w:p>
    <w:p w:rsidR="009F55FF" w:rsidRDefault="000F2532" w:rsidP="008B2928">
      <w:pPr>
        <w:pStyle w:val="corpsdedcision"/>
        <w:tabs>
          <w:tab w:val="clear" w:pos="360"/>
        </w:tabs>
      </w:pPr>
      <w:r>
        <w:t>À l’audience</w:t>
      </w:r>
      <w:r w:rsidRPr="000F2532">
        <w:t xml:space="preserve">, le travailleur </w:t>
      </w:r>
      <w:r>
        <w:t xml:space="preserve">explique qu’il œuvre dans </w:t>
      </w:r>
      <w:r w:rsidRPr="000F2532">
        <w:t>le domaine d</w:t>
      </w:r>
      <w:r>
        <w:t xml:space="preserve">e la construction résidentielle, </w:t>
      </w:r>
      <w:r w:rsidRPr="000F2532">
        <w:t>commerciale et génie civil</w:t>
      </w:r>
      <w:r>
        <w:t>, mais a travaillé principalement jusqu’en 2010 dans le domaine du coffrage</w:t>
      </w:r>
      <w:r w:rsidRPr="000F2532">
        <w:t xml:space="preserve">. </w:t>
      </w:r>
      <w:r>
        <w:t xml:space="preserve">Il explique que pour exécuter son travail, il doit mettre </w:t>
      </w:r>
      <w:r w:rsidRPr="000F2532">
        <w:t xml:space="preserve">à contribution tant le bras gauche que </w:t>
      </w:r>
      <w:r w:rsidR="00590449">
        <w:t xml:space="preserve">le </w:t>
      </w:r>
      <w:r w:rsidRPr="000F2532">
        <w:t xml:space="preserve">droit. </w:t>
      </w:r>
    </w:p>
    <w:p w:rsidR="00520138" w:rsidRDefault="00590449" w:rsidP="009F55FF">
      <w:pPr>
        <w:pStyle w:val="corpsdedcision"/>
        <w:tabs>
          <w:tab w:val="clear" w:pos="360"/>
        </w:tabs>
      </w:pPr>
      <w:r w:rsidRPr="001D59DB">
        <w:t xml:space="preserve">En contre-interrogatoire, il précise que son bras droit est dominant, toutefois, il se sert autant du bras gauche que du bras droit lorsqu’il effectue le transport et la mise en place des matériaux. </w:t>
      </w:r>
      <w:r>
        <w:t>Le travailleur</w:t>
      </w:r>
      <w:r w:rsidR="000F2532" w:rsidRPr="000F2532">
        <w:t xml:space="preserve"> décrit un travail qui est physiquement exigeant qui nécessite la manipulation des outils ainsi que des matériaux lourds. </w:t>
      </w:r>
      <w:r>
        <w:t>Il</w:t>
      </w:r>
      <w:r w:rsidR="000F2532" w:rsidRPr="000F2532">
        <w:t xml:space="preserve"> témoigne que dans tous les domaines de la construction, il </w:t>
      </w:r>
      <w:r w:rsidR="009F55FF">
        <w:t>doit</w:t>
      </w:r>
      <w:r w:rsidR="000F2532" w:rsidRPr="000F2532">
        <w:t xml:space="preserve"> soulever des charges lourdes et travaill</w:t>
      </w:r>
      <w:r w:rsidR="009F55FF">
        <w:t>er</w:t>
      </w:r>
      <w:r w:rsidR="000F2532" w:rsidRPr="000F2532">
        <w:t xml:space="preserve"> </w:t>
      </w:r>
      <w:r w:rsidR="00520138">
        <w:t xml:space="preserve">fréquemment </w:t>
      </w:r>
      <w:r w:rsidR="000F2532" w:rsidRPr="000F2532">
        <w:t xml:space="preserve">avec les mains loin du corps. Il </w:t>
      </w:r>
      <w:r>
        <w:t xml:space="preserve">ajoute </w:t>
      </w:r>
      <w:r w:rsidR="000F2532" w:rsidRPr="000F2532">
        <w:t>que lorsqu’il effectue des travaux de coffrage ou de démolition,</w:t>
      </w:r>
      <w:r>
        <w:t xml:space="preserve"> </w:t>
      </w:r>
      <w:r w:rsidR="000F2532" w:rsidRPr="000F2532">
        <w:t xml:space="preserve">en plus </w:t>
      </w:r>
      <w:r w:rsidR="009F55FF">
        <w:t xml:space="preserve">de travailler parfois </w:t>
      </w:r>
      <w:r w:rsidR="000F2532" w:rsidRPr="000F2532">
        <w:t xml:space="preserve">avec des outils </w:t>
      </w:r>
      <w:r w:rsidR="00520138">
        <w:t>vibrants, tels que les marteaux-</w:t>
      </w:r>
      <w:r w:rsidR="000F2532" w:rsidRPr="000F2532">
        <w:t>piqueurs</w:t>
      </w:r>
      <w:r w:rsidR="009F55FF">
        <w:t xml:space="preserve">, il </w:t>
      </w:r>
      <w:r w:rsidR="00520138">
        <w:t>devait</w:t>
      </w:r>
      <w:r w:rsidR="009F55FF">
        <w:t xml:space="preserve"> souvent travailler avec les membres </w:t>
      </w:r>
      <w:r w:rsidR="00520138">
        <w:t>sur</w:t>
      </w:r>
      <w:r w:rsidR="009F55FF">
        <w:t>élevés</w:t>
      </w:r>
      <w:r w:rsidR="00520138">
        <w:t>, parfois en tenant des charges</w:t>
      </w:r>
      <w:r w:rsidR="000F2532" w:rsidRPr="000F2532">
        <w:t xml:space="preserve">. </w:t>
      </w:r>
      <w:r w:rsidR="00520138">
        <w:t xml:space="preserve">Le travailleur décrit les différentes techniques déployées pour faire le coffrage. Il précise que la méthode conventionnelle qui consiste en une structure principalement en bois représentait environ 60 % de son expérience de travail. Il estime que cette méthode était la moins </w:t>
      </w:r>
      <w:r w:rsidR="00E35E7C">
        <w:t>exigeante</w:t>
      </w:r>
      <w:r w:rsidR="00520138">
        <w:t xml:space="preserve"> physiquement.  Il décrit deux autres techniques communément appelées « aluma » et « efco » qui représentaient respectivement 30 % et 10 % des projets sur lesquels il a travaillé. Pour lui, cette dernière méthode était la plus exigeante physiquement. </w:t>
      </w:r>
    </w:p>
    <w:p w:rsidR="00B1208A" w:rsidRDefault="00520138" w:rsidP="009F55FF">
      <w:pPr>
        <w:pStyle w:val="corpsdedcision"/>
        <w:tabs>
          <w:tab w:val="clear" w:pos="360"/>
        </w:tabs>
      </w:pPr>
      <w:r>
        <w:t>Le travailleur</w:t>
      </w:r>
      <w:r w:rsidR="000F2532" w:rsidRPr="000F2532">
        <w:t xml:space="preserve"> ajoute </w:t>
      </w:r>
      <w:r>
        <w:t xml:space="preserve">que dans le domaine de la construction résidentielle et commerciale, il </w:t>
      </w:r>
      <w:r w:rsidR="009F55FF">
        <w:t xml:space="preserve">devait également adopter des positions statiques en tenant </w:t>
      </w:r>
      <w:r w:rsidR="000F2532" w:rsidRPr="000F2532">
        <w:t>des charges importantes.</w:t>
      </w:r>
      <w:r w:rsidR="00590449">
        <w:t xml:space="preserve"> </w:t>
      </w:r>
      <w:r w:rsidR="000F2532" w:rsidRPr="000F2532">
        <w:t xml:space="preserve">Le travailleur décrit </w:t>
      </w:r>
      <w:r w:rsidR="00590449">
        <w:t xml:space="preserve">également </w:t>
      </w:r>
      <w:r w:rsidR="009F55FF">
        <w:t>les</w:t>
      </w:r>
      <w:r w:rsidR="000F2532" w:rsidRPr="000F2532">
        <w:t xml:space="preserve"> tâches nécessitant qu’il effectue </w:t>
      </w:r>
      <w:r w:rsidR="00590449">
        <w:t>des mouvements d’abduction de plus de</w:t>
      </w:r>
      <w:r>
        <w:t xml:space="preserve"> 6</w:t>
      </w:r>
      <w:r w:rsidR="000F2532" w:rsidRPr="000F2532">
        <w:t xml:space="preserve">0 degrés </w:t>
      </w:r>
      <w:r w:rsidR="00590449">
        <w:t xml:space="preserve">avec ses </w:t>
      </w:r>
      <w:r w:rsidR="000F2532" w:rsidRPr="000F2532">
        <w:t xml:space="preserve">membres </w:t>
      </w:r>
      <w:r w:rsidR="009F55FF" w:rsidRPr="00520138">
        <w:t xml:space="preserve">supérieurs </w:t>
      </w:r>
      <w:r w:rsidR="009F55FF" w:rsidRPr="009F55FF">
        <w:t>lors du transport</w:t>
      </w:r>
      <w:r w:rsidR="009F55FF">
        <w:t xml:space="preserve"> et la pose de matériaux. </w:t>
      </w:r>
      <w:r w:rsidR="00172E76">
        <w:t>En contre-interrogatoire, l</w:t>
      </w:r>
      <w:r w:rsidR="00640563">
        <w:t xml:space="preserve">e travailleur explique que pour </w:t>
      </w:r>
      <w:r w:rsidR="00172E76">
        <w:t>environ la moitié du temps, il avait de l’aide pour soulever les matériaux. Il admet également que certaines tâches s’effectuaient</w:t>
      </w:r>
      <w:r w:rsidR="00640563">
        <w:t>,</w:t>
      </w:r>
      <w:r w:rsidR="00172E76">
        <w:t xml:space="preserve"> lorsqu’il était accroupi ou penché, sans la nécessité de travailler avec les bras surélevés et/ou loin du corps.</w:t>
      </w:r>
    </w:p>
    <w:p w:rsidR="00B1208A" w:rsidRPr="000F2532" w:rsidRDefault="00B1208A" w:rsidP="008B2928">
      <w:pPr>
        <w:pStyle w:val="corpsdedcision"/>
        <w:tabs>
          <w:tab w:val="clear" w:pos="360"/>
        </w:tabs>
      </w:pPr>
      <w:r>
        <w:t>Le travailleur a également témoigné sur ses activités personnelles qui se limitaient à la pratique occasionnelle de la pêche et de la chasse ainsi que la conduite d’une motoneige et d’un véhicule tout-terrain. Il estime qu’il n’effectuait pas plus de 100 km de motoneige par année et utilisait très peu son véhicule tout-terrain.</w:t>
      </w:r>
    </w:p>
    <w:p w:rsidR="00590449" w:rsidRDefault="002B7B76" w:rsidP="00590449">
      <w:pPr>
        <w:pStyle w:val="corpsdedcision"/>
        <w:tabs>
          <w:tab w:val="clear" w:pos="360"/>
        </w:tabs>
      </w:pPr>
      <w:r>
        <w:t>À l’audience, le travailleur explique davantage certaines particularités de ses emplois antérieurs. Il mentionne qu’e</w:t>
      </w:r>
      <w:r w:rsidR="00590449" w:rsidRPr="00590449">
        <w:t>n 1990, il œuvrait principalement dans la construction résidentielle. Il explique qu’il travaillait hab</w:t>
      </w:r>
      <w:r w:rsidR="00590449">
        <w:t>ituellement en équipe de deux</w:t>
      </w:r>
      <w:r w:rsidR="00272EF7">
        <w:t>,</w:t>
      </w:r>
      <w:r w:rsidR="00590449">
        <w:t xml:space="preserve"> </w:t>
      </w:r>
      <w:r w:rsidR="00272EF7">
        <w:t>impliqu</w:t>
      </w:r>
      <w:r w:rsidR="00590449">
        <w:t>ant la manipulation</w:t>
      </w:r>
      <w:r w:rsidR="00272EF7">
        <w:t xml:space="preserve"> </w:t>
      </w:r>
      <w:r>
        <w:t xml:space="preserve">fréquente </w:t>
      </w:r>
      <w:r w:rsidR="00590449" w:rsidRPr="00590449">
        <w:t>de charges lourdes</w:t>
      </w:r>
      <w:r w:rsidR="00063024">
        <w:t xml:space="preserve"> avec son collègue de travail</w:t>
      </w:r>
      <w:r w:rsidR="00590449" w:rsidRPr="00590449">
        <w:t>. Il décrit</w:t>
      </w:r>
      <w:r w:rsidR="00063024">
        <w:t>, entre autres,</w:t>
      </w:r>
      <w:r w:rsidR="00590449" w:rsidRPr="00590449">
        <w:t xml:space="preserve"> le transport</w:t>
      </w:r>
      <w:r w:rsidR="004668EE">
        <w:t xml:space="preserve"> et </w:t>
      </w:r>
      <w:r w:rsidR="00590449" w:rsidRPr="00590449">
        <w:t xml:space="preserve">la mise en place des poutrelles qui </w:t>
      </w:r>
      <w:r>
        <w:t>pouvaient atteindre plus de 100 </w:t>
      </w:r>
      <w:r w:rsidR="00590449" w:rsidRPr="00590449">
        <w:t>livres. Il précise qu’à certaines occasions, il</w:t>
      </w:r>
      <w:r w:rsidR="001D59DB">
        <w:t>s</w:t>
      </w:r>
      <w:r w:rsidR="00590449" w:rsidRPr="00590449">
        <w:t xml:space="preserve"> devai</w:t>
      </w:r>
      <w:r w:rsidR="001D59DB">
        <w:t>en</w:t>
      </w:r>
      <w:r w:rsidR="00590449" w:rsidRPr="00590449">
        <w:t>t les manipuler alors qu’</w:t>
      </w:r>
      <w:r w:rsidR="001D59DB">
        <w:t>ils</w:t>
      </w:r>
      <w:r w:rsidR="00590449" w:rsidRPr="00590449">
        <w:t xml:space="preserve"> étaient en hauteur sur l’échafaudage. </w:t>
      </w:r>
    </w:p>
    <w:p w:rsidR="001D59DB" w:rsidRDefault="001D59DB" w:rsidP="00590449">
      <w:pPr>
        <w:pStyle w:val="corpsdedcision"/>
        <w:tabs>
          <w:tab w:val="clear" w:pos="360"/>
        </w:tabs>
      </w:pPr>
      <w:r>
        <w:t xml:space="preserve">Le travailleur décrit également d’autres travaux physiquement exigeants, tels que le transport </w:t>
      </w:r>
      <w:r w:rsidR="002B7B76">
        <w:t xml:space="preserve">et la pose </w:t>
      </w:r>
      <w:r>
        <w:t>des feuilles de contre-plaqué, de gypse, de bardeaux et des chevrons. Il précise qu’il effectuait le transport des matériaux en les appuyant sur son épaule ou en les tenant sur le côté et parfois avec les bras surélevés. Il témoigne également qu’il devait soulever et tenir en place, parfois à bouts de bras ou avec les mains éloignées du corps, divers matériaux lorsqu’il construisait des murs et des divisions. Le travailleur décrit également l’utilisation de certains outils, tels que le marteau, la scie circulaire, la cloueuse à air, la perceuse, en se servant parfois de la main droite, parfois de la main gauche.</w:t>
      </w:r>
    </w:p>
    <w:p w:rsidR="004668EE" w:rsidRDefault="00063024" w:rsidP="004668EE">
      <w:pPr>
        <w:pStyle w:val="corpsdedcision"/>
      </w:pPr>
      <w:r>
        <w:t xml:space="preserve">À l’audience, </w:t>
      </w:r>
      <w:r w:rsidR="004668EE">
        <w:t>le travailleur poursuit son témoignage en précisant qu’en 199</w:t>
      </w:r>
      <w:r w:rsidR="004C29CF">
        <w:t>1</w:t>
      </w:r>
      <w:r w:rsidR="004668EE">
        <w:t xml:space="preserve">, il a été à l’emploi de Transelec/Common inc. et en 1993, de </w:t>
      </w:r>
      <w:r w:rsidR="004668EE" w:rsidRPr="00BD5137">
        <w:t xml:space="preserve">Coffrages C.C.C. ltée. </w:t>
      </w:r>
      <w:r w:rsidR="004668EE">
        <w:t>Il effectuait principalement du coffrage</w:t>
      </w:r>
      <w:r>
        <w:t xml:space="preserve"> décrivant la technique comme étant conventionnelle</w:t>
      </w:r>
      <w:r w:rsidR="004668EE">
        <w:t xml:space="preserve">. Travaillant dans des équipes, il transportait et manipulait des matériaux de construction nécessaires pour faire du coffrage, principalement en bois, en vue de construire des bases de béton sur un chantier de construction d’un barrage électrique. Ce travail impliquait la coupe et la mise en place des supports. Il explique qu’il devait mettre ses épaules à contribution </w:t>
      </w:r>
      <w:r>
        <w:t>pour le transport des matériaux et les vérins pneumatiques</w:t>
      </w:r>
      <w:r w:rsidR="004668EE">
        <w:t xml:space="preserve">. Il mentionne que les contre-plaqués étaient attachés aux madriers avec des tiges et des plaques de métal. Il précise qu’il devait travailler à bout de bras pour tenir les matériaux ou utiliser certains outils, tels que la perceuse. Il mentionne également que l’emploi des </w:t>
      </w:r>
      <w:r>
        <w:t xml:space="preserve">vérins pneumatiques </w:t>
      </w:r>
      <w:r w:rsidR="004668EE">
        <w:t>était exigeant pour la manipulation et la mise en place. Il spécifie que l’un des projets impliquait la construction de la base d’une tour, lequel nécessitait de percer des trous et de placer et serrer, souvent avec les bras en extension, un nombre important de tiges et de boulons.</w:t>
      </w:r>
      <w:r w:rsidR="004C29CF">
        <w:t xml:space="preserve"> </w:t>
      </w:r>
    </w:p>
    <w:p w:rsidR="004C29CF" w:rsidRDefault="004C29CF" w:rsidP="004668EE">
      <w:pPr>
        <w:pStyle w:val="corpsdedcision"/>
      </w:pPr>
      <w:r>
        <w:t xml:space="preserve">Lorsque le travailleur était à l’emploi de Transelec/Common inc., il explique qu’il y avait beaucoup de travaux de préparation à effectuer et ce travail était moins exigeant au niveau de ses membres supérieurs. Il estime qu’une équipe de deux pouvait préparer une base de béton par jour ou un jour et demi. Il estime que pour faire la base, il y avait une à deux heures de coupe à effectuer. Pour monter les murs, il avait l’aide d’une grue ou d’un monte-charge. Toutefois, il précise que la manipulation des murs nécessitait qu’il travaille </w:t>
      </w:r>
      <w:r w:rsidR="005034E6">
        <w:t xml:space="preserve">avec les bras surélevés. Il estime qu’il mettait en place de deux à trois murs par semaine. </w:t>
      </w:r>
    </w:p>
    <w:p w:rsidR="005808F6" w:rsidRDefault="00F63DF9" w:rsidP="005808F6">
      <w:pPr>
        <w:pStyle w:val="corpsdedcision"/>
      </w:pPr>
      <w:r>
        <w:t>Au cours de l’automne</w:t>
      </w:r>
      <w:r w:rsidR="005808F6" w:rsidRPr="005808F6">
        <w:t xml:space="preserve"> 1991, le travailleur se blesse à l’épaule en manipulant une toile. Aux notes évolutives de la Commission, l’agente d’indemnisation indique que le travailleur s’est blessé en essayant de retenir une toile échappée par un collègue de travail. Le diagnostic de bursite de l’épaule gauche fut alors posé. Le travailleur a reçu à cette époque des infiltrations ainsi que des traitements de physiothérapie. </w:t>
      </w:r>
    </w:p>
    <w:p w:rsidR="005808F6" w:rsidRPr="005808F6" w:rsidRDefault="005808F6" w:rsidP="005808F6">
      <w:pPr>
        <w:pStyle w:val="corpsdedcision"/>
      </w:pPr>
      <w:r w:rsidRPr="005808F6">
        <w:t xml:space="preserve">Le 10 février 1992, le médecin traitant, le docteur Jean-Paul Porlier, consolide la lésion sans atteinte permanente ni limitations fonctionnelles. </w:t>
      </w:r>
    </w:p>
    <w:p w:rsidR="005808F6" w:rsidRDefault="00A7264B" w:rsidP="00A7264B">
      <w:pPr>
        <w:pStyle w:val="corpsdedcision"/>
        <w:tabs>
          <w:tab w:val="clear" w:pos="360"/>
          <w:tab w:val="num" w:pos="720"/>
        </w:tabs>
      </w:pPr>
      <w:r w:rsidRPr="00A7264B">
        <w:t xml:space="preserve">Le travailleur précise qu’en 1993, </w:t>
      </w:r>
      <w:r w:rsidR="00F63DF9">
        <w:t>en plus de travailler pour l’entreprise Les Coffrages C.C.C. ltée, le travailleur</w:t>
      </w:r>
      <w:r w:rsidRPr="00A7264B">
        <w:t xml:space="preserve"> travaillait pour </w:t>
      </w:r>
      <w:r w:rsidR="005808F6">
        <w:t xml:space="preserve">l’entreprise </w:t>
      </w:r>
      <w:r w:rsidRPr="00A7264B">
        <w:t>Constructions industrielles</w:t>
      </w:r>
      <w:r>
        <w:t xml:space="preserve"> </w:t>
      </w:r>
      <w:r w:rsidRPr="00A7264B">
        <w:t>Clément Belley 1990 enr.</w:t>
      </w:r>
      <w:r>
        <w:t xml:space="preserve"> Son travail impliquait</w:t>
      </w:r>
      <w:r w:rsidR="005808F6">
        <w:t>,</w:t>
      </w:r>
      <w:r>
        <w:t xml:space="preserve"> </w:t>
      </w:r>
      <w:r w:rsidR="005808F6">
        <w:t xml:space="preserve">entre autres, </w:t>
      </w:r>
      <w:r>
        <w:t xml:space="preserve">le placement des tiges de métal d’environ 30 pouces dans le sol </w:t>
      </w:r>
      <w:r w:rsidR="005808F6">
        <w:t xml:space="preserve">en se servant d’une masse </w:t>
      </w:r>
      <w:r w:rsidR="00F63DF9">
        <w:t>pesant environ 12 </w:t>
      </w:r>
      <w:r>
        <w:t xml:space="preserve">livres. Il précise que </w:t>
      </w:r>
      <w:r w:rsidR="005808F6">
        <w:t>ce projet</w:t>
      </w:r>
      <w:r>
        <w:t xml:space="preserve"> exigeait</w:t>
      </w:r>
      <w:r w:rsidR="005808F6">
        <w:t xml:space="preserve"> également la manipulation des panneaux de contre-plaqué pour construire les différentes sections du coffrage. Il </w:t>
      </w:r>
      <w:r w:rsidR="00C72570">
        <w:t>ajoute</w:t>
      </w:r>
      <w:r w:rsidR="005808F6">
        <w:t xml:space="preserve"> que cet emploi </w:t>
      </w:r>
      <w:r w:rsidR="00C72570">
        <w:t>était physiquement exigeant et</w:t>
      </w:r>
      <w:r>
        <w:t xml:space="preserve"> comme dans les emplois antérieurs, il </w:t>
      </w:r>
      <w:r w:rsidR="00C72570">
        <w:t>travaillait</w:t>
      </w:r>
      <w:r w:rsidR="005808F6">
        <w:t xml:space="preserve"> régulièrement </w:t>
      </w:r>
      <w:r>
        <w:t xml:space="preserve"> avec les bras surélevés</w:t>
      </w:r>
      <w:r w:rsidR="005808F6">
        <w:t>.</w:t>
      </w:r>
      <w:r w:rsidR="00C72570">
        <w:t xml:space="preserve"> Il </w:t>
      </w:r>
      <w:r w:rsidR="00F63DF9">
        <w:t xml:space="preserve">ajoute qu’il transportait fréquemment </w:t>
      </w:r>
      <w:r w:rsidR="00C72570">
        <w:t xml:space="preserve">des matériaux accotés sur ses épaules. Finalement, il ajoute qu’en plus du coffrage, ils ont dû construire un abri temporaire. Celui-ci ressemblait plus à des travaux de construction résidentiels. </w:t>
      </w:r>
    </w:p>
    <w:p w:rsidR="00EC1783" w:rsidRDefault="00A7264B" w:rsidP="008B2928">
      <w:pPr>
        <w:pStyle w:val="corpsdedcision"/>
        <w:tabs>
          <w:tab w:val="clear" w:pos="360"/>
          <w:tab w:val="num" w:pos="720"/>
        </w:tabs>
      </w:pPr>
      <w:r w:rsidRPr="008B2928">
        <w:t>En 1994 et 1995, le travailleur effectuait un contrat sur un chantier de construction d’un barrage électrique</w:t>
      </w:r>
      <w:r w:rsidR="00355D8A">
        <w:t>, travaillant principalement pour la compagnie Les Coffrages C.C.C. ltée et Construction du St-Laurent ltée</w:t>
      </w:r>
      <w:r w:rsidRPr="008B2928">
        <w:t xml:space="preserve">. Il témoigne qu’en plus de manipuler des charges, il devait utiliser une perceuse à impact </w:t>
      </w:r>
      <w:r w:rsidR="00292FA0">
        <w:t>pesant entre</w:t>
      </w:r>
      <w:r w:rsidRPr="008B2928">
        <w:t xml:space="preserve"> 20 à 25 livres pour percer des trous afin de visser des tiges de métal d’environ 16 pouces de long et un diamètre de plus d’un pouce. Il mentionne qu’il devait les insérer en partie à la main et par la suite, avec l’aide d’un collègue, souvent avec les bras en extension </w:t>
      </w:r>
      <w:r w:rsidR="005034E6">
        <w:t>ou</w:t>
      </w:r>
      <w:r w:rsidRPr="008B2928">
        <w:t xml:space="preserve"> surélevés. </w:t>
      </w:r>
    </w:p>
    <w:p w:rsidR="00065F31" w:rsidRDefault="00065F31" w:rsidP="008B2928">
      <w:pPr>
        <w:pStyle w:val="corpsdedcision"/>
        <w:tabs>
          <w:tab w:val="clear" w:pos="360"/>
          <w:tab w:val="num" w:pos="720"/>
        </w:tabs>
      </w:pPr>
      <w:r>
        <w:t xml:space="preserve">En 1996 et 1997, le travailleur </w:t>
      </w:r>
      <w:r w:rsidR="00BE0D39">
        <w:t xml:space="preserve">témoigne qu’il n’a pas travaillé dans le domaine de la construction, ayant été engagé comme </w:t>
      </w:r>
      <w:r>
        <w:t>débardeur.</w:t>
      </w:r>
    </w:p>
    <w:p w:rsidR="00A7264B" w:rsidRPr="008B2928" w:rsidRDefault="00A7264B" w:rsidP="008B2928">
      <w:pPr>
        <w:pStyle w:val="corpsdedcision"/>
        <w:tabs>
          <w:tab w:val="clear" w:pos="360"/>
          <w:tab w:val="num" w:pos="720"/>
        </w:tabs>
      </w:pPr>
      <w:r w:rsidRPr="008B2928">
        <w:t xml:space="preserve">En 1998, </w:t>
      </w:r>
      <w:r w:rsidR="00065F31">
        <w:t>le travailleur</w:t>
      </w:r>
      <w:r w:rsidRPr="008B2928">
        <w:t xml:space="preserve"> a </w:t>
      </w:r>
      <w:r w:rsidR="00065F31">
        <w:t xml:space="preserve">œuvré </w:t>
      </w:r>
      <w:r w:rsidRPr="008B2928">
        <w:t xml:space="preserve"> </w:t>
      </w:r>
      <w:r w:rsidR="00065F31">
        <w:t>p</w:t>
      </w:r>
      <w:r w:rsidRPr="008B2928">
        <w:t xml:space="preserve">our CRT </w:t>
      </w:r>
      <w:r w:rsidR="00835CEA" w:rsidRPr="008B2928">
        <w:t xml:space="preserve">Construction inc. sur un projet de reconstruction du quai. </w:t>
      </w:r>
      <w:r w:rsidR="00EC1783">
        <w:t xml:space="preserve">Ce travail a nécessité qu’il se serve d’un </w:t>
      </w:r>
      <w:r w:rsidR="00835CEA" w:rsidRPr="008B2928">
        <w:t>marteau-piqueur pour dégager l’armature avant de faire le béton</w:t>
      </w:r>
      <w:r w:rsidR="00292FA0">
        <w:t>.</w:t>
      </w:r>
      <w:r w:rsidR="00835CEA" w:rsidRPr="008B2928">
        <w:t xml:space="preserve"> Il explique que pour </w:t>
      </w:r>
      <w:r w:rsidR="00EC1783">
        <w:t xml:space="preserve">faire </w:t>
      </w:r>
      <w:r w:rsidR="00835CEA" w:rsidRPr="008B2928">
        <w:t xml:space="preserve">ce travail, </w:t>
      </w:r>
      <w:r w:rsidR="00EC1783">
        <w:t xml:space="preserve">il travaillait beaucoup avec les </w:t>
      </w:r>
      <w:r w:rsidR="00835CEA" w:rsidRPr="008B2928">
        <w:t xml:space="preserve">bras au-dessus de la tête. </w:t>
      </w:r>
      <w:r w:rsidR="00292FA0">
        <w:t xml:space="preserve">Il mentionne également qu’il a participé aux travaux de coffrage qui impliquaient qu’il travaille avec les bras </w:t>
      </w:r>
      <w:r w:rsidR="00427565">
        <w:t xml:space="preserve">également </w:t>
      </w:r>
      <w:r w:rsidR="00292FA0">
        <w:t>suréle</w:t>
      </w:r>
      <w:r w:rsidR="00427565">
        <w:t xml:space="preserve">vés. </w:t>
      </w:r>
    </w:p>
    <w:p w:rsidR="002F7AA9" w:rsidRDefault="00065F31" w:rsidP="00A7264B">
      <w:pPr>
        <w:pStyle w:val="corpsdedcision"/>
        <w:tabs>
          <w:tab w:val="clear" w:pos="360"/>
          <w:tab w:val="num" w:pos="720"/>
        </w:tabs>
      </w:pPr>
      <w:r>
        <w:t xml:space="preserve">En 1999 et </w:t>
      </w:r>
      <w:r w:rsidR="00835CEA">
        <w:t>2000, le travailleur a effectué du coffrage e</w:t>
      </w:r>
      <w:r w:rsidR="00EC1783">
        <w:t>n gros panneaux sur un projet de</w:t>
      </w:r>
      <w:r w:rsidR="00835CEA">
        <w:t xml:space="preserve"> barrage de la Centrale él</w:t>
      </w:r>
      <w:r w:rsidR="00EC1783">
        <w:t>ectrique de la Ste-Marguerite-3,</w:t>
      </w:r>
      <w:r w:rsidR="00835CEA">
        <w:t xml:space="preserve"> alors à l’emploi des compagnies Nelson inc. et Construction </w:t>
      </w:r>
      <w:r w:rsidR="00835CEA" w:rsidRPr="00835CEA">
        <w:t>BFC Foundation ltée</w:t>
      </w:r>
      <w:r w:rsidR="00835CEA">
        <w:t xml:space="preserve">. </w:t>
      </w:r>
      <w:r w:rsidR="00427565">
        <w:t xml:space="preserve">Il mentionne que le coffrage impliquait la mise en place des gros panneaux, dont la manipulation était particulièrement exigeante. </w:t>
      </w:r>
      <w:r w:rsidR="00835CEA">
        <w:t xml:space="preserve">Par la suite, il a travaillé à la construction d’une église </w:t>
      </w:r>
      <w:r w:rsidR="0010249C">
        <w:t xml:space="preserve">pour </w:t>
      </w:r>
      <w:r w:rsidR="00EC1783">
        <w:t xml:space="preserve">l’entreprise </w:t>
      </w:r>
      <w:r w:rsidR="0010249C">
        <w:t xml:space="preserve">Construction NAP. Le travailleur mentionne que ce </w:t>
      </w:r>
      <w:r w:rsidR="00EC1783">
        <w:t xml:space="preserve">dernier </w:t>
      </w:r>
      <w:r w:rsidR="0010249C">
        <w:t xml:space="preserve">travail était exigeant, mais plus comparable à la construction résidentielle. Lors de </w:t>
      </w:r>
      <w:r w:rsidR="00EC1783">
        <w:t>ce</w:t>
      </w:r>
      <w:r w:rsidR="0010249C">
        <w:t xml:space="preserve"> contrat, il devait </w:t>
      </w:r>
      <w:r>
        <w:t xml:space="preserve">néanmoins </w:t>
      </w:r>
      <w:r w:rsidR="0010249C">
        <w:t xml:space="preserve">effectuer le transport et la mise en place des matériaux </w:t>
      </w:r>
      <w:r w:rsidR="00EC1783">
        <w:t>pour</w:t>
      </w:r>
      <w:r w:rsidR="0010249C">
        <w:t xml:space="preserve"> la construction d’un plancher en béton ainsi que la </w:t>
      </w:r>
      <w:r w:rsidR="00EC1783">
        <w:t>construction</w:t>
      </w:r>
      <w:r w:rsidR="0010249C">
        <w:t xml:space="preserve"> des murs et la mise en place des chevrons qui a été fait</w:t>
      </w:r>
      <w:r w:rsidR="00806E1F">
        <w:t>e</w:t>
      </w:r>
      <w:r w:rsidR="0010249C">
        <w:t xml:space="preserve"> </w:t>
      </w:r>
      <w:r>
        <w:t>à</w:t>
      </w:r>
      <w:r w:rsidR="0010249C">
        <w:t xml:space="preserve"> l’aide d’un monte-charge. </w:t>
      </w:r>
    </w:p>
    <w:p w:rsidR="00604AFD" w:rsidRDefault="00604AFD" w:rsidP="00604AFD">
      <w:pPr>
        <w:pStyle w:val="corpsdedcision"/>
      </w:pPr>
      <w:r>
        <w:t>En 2001, le travailleur a effectué des travaux de coffrage po</w:t>
      </w:r>
      <w:r w:rsidR="00806E1F">
        <w:t>ur la compagnie Construction de L’E</w:t>
      </w:r>
      <w:r>
        <w:t>scaut</w:t>
      </w:r>
      <w:r w:rsidR="00806E1F">
        <w:t xml:space="preserve"> inc</w:t>
      </w:r>
      <w:r>
        <w:t xml:space="preserve">. Il a également effectué des travaux de coffrage pour la compagnie de construction </w:t>
      </w:r>
      <w:r w:rsidRPr="00EC1783">
        <w:t>Sorel</w:t>
      </w:r>
      <w:r>
        <w:t xml:space="preserve">. </w:t>
      </w:r>
    </w:p>
    <w:p w:rsidR="00835CEA" w:rsidRDefault="00A67C0D" w:rsidP="00A7264B">
      <w:pPr>
        <w:pStyle w:val="corpsdedcision"/>
        <w:tabs>
          <w:tab w:val="clear" w:pos="360"/>
          <w:tab w:val="num" w:pos="720"/>
        </w:tabs>
      </w:pPr>
      <w:r>
        <w:t xml:space="preserve">En </w:t>
      </w:r>
      <w:r w:rsidR="00427565">
        <w:t>200</w:t>
      </w:r>
      <w:r>
        <w:t xml:space="preserve">2, le travailleur </w:t>
      </w:r>
      <w:r w:rsidR="00427565">
        <w:t>a effectué un contrat pour le compte de la compagnie Construction Énergie nouvelle. Toutefois, il a été,</w:t>
      </w:r>
      <w:r>
        <w:t xml:space="preserve"> </w:t>
      </w:r>
      <w:r w:rsidR="00427565">
        <w:t xml:space="preserve">durant l’année, principalement </w:t>
      </w:r>
      <w:r w:rsidR="00065F31">
        <w:t>à l’emploi d’</w:t>
      </w:r>
      <w:r w:rsidR="001F1927">
        <w:t>Innu C</w:t>
      </w:r>
      <w:r>
        <w:t>onst</w:t>
      </w:r>
      <w:r w:rsidR="001F1927">
        <w:t xml:space="preserve">ruction. Son travail consistait à la préparation des roulottes de chantier. </w:t>
      </w:r>
      <w:r w:rsidR="00427565">
        <w:t>Ce projet impliquai</w:t>
      </w:r>
      <w:r w:rsidR="001F1927">
        <w:t xml:space="preserve">t </w:t>
      </w:r>
      <w:r w:rsidR="00427565">
        <w:t>la construction</w:t>
      </w:r>
      <w:r w:rsidR="001F1927">
        <w:t xml:space="preserve"> des cages de bois pour supporter les roulottes </w:t>
      </w:r>
      <w:r w:rsidR="00957DB9">
        <w:t>et</w:t>
      </w:r>
      <w:r w:rsidR="001F1927">
        <w:t xml:space="preserve"> la mise en place du « </w:t>
      </w:r>
      <w:r w:rsidR="001F1927" w:rsidRPr="001F1927">
        <w:t>jupage</w:t>
      </w:r>
      <w:r w:rsidR="001F1927">
        <w:t> » autour de celles-ci, ainsi que la construction et la pose des accès avec les escaliers. Il précise que pour effec</w:t>
      </w:r>
      <w:r w:rsidR="00427565">
        <w:t>tuer son travail, il utilisait l</w:t>
      </w:r>
      <w:r w:rsidR="001F1927">
        <w:t xml:space="preserve">es outils habituels, tels que les scies, les marteaux traditionnels et pneumatiques. </w:t>
      </w:r>
    </w:p>
    <w:p w:rsidR="001F1927" w:rsidRDefault="001F1927" w:rsidP="00A7264B">
      <w:pPr>
        <w:pStyle w:val="corpsdedcision"/>
        <w:tabs>
          <w:tab w:val="clear" w:pos="360"/>
          <w:tab w:val="num" w:pos="720"/>
        </w:tabs>
      </w:pPr>
      <w:r>
        <w:t xml:space="preserve">En 2003, le travailleur </w:t>
      </w:r>
      <w:r w:rsidR="00CE38C4">
        <w:t>était à l’emploi de</w:t>
      </w:r>
      <w:r>
        <w:t xml:space="preserve"> Simon Beaudry Construction. Il précise qu’il travaillait au chantier Alouette phase 2. Il mentionne qu’il participait à l’installation d</w:t>
      </w:r>
      <w:r w:rsidR="004A6E27">
        <w:t>’</w:t>
      </w:r>
      <w:r>
        <w:t>u</w:t>
      </w:r>
      <w:r w:rsidR="004A6E27">
        <w:t>n nouveau type de</w:t>
      </w:r>
      <w:r>
        <w:t xml:space="preserve"> coffrage, lequel impliquait la manipulation de panneaux lourds à l’aide d’une grue. Il ajoute qu’il devait forcer </w:t>
      </w:r>
      <w:r w:rsidR="00957DB9">
        <w:t xml:space="preserve">parfois avec les bras surélevés </w:t>
      </w:r>
      <w:r>
        <w:t xml:space="preserve">pour mettre en position des panneaux à l’aide d’un levier. </w:t>
      </w:r>
      <w:r w:rsidR="004A6E27">
        <w:t>Il explique le système d’encrage des colonnes et</w:t>
      </w:r>
      <w:r>
        <w:t xml:space="preserve"> mentionne que les panneaux étaient tenus par des tiges </w:t>
      </w:r>
      <w:r w:rsidR="00890BB0">
        <w:t>et l</w:t>
      </w:r>
      <w:r w:rsidR="00CE38C4">
        <w:t>eur</w:t>
      </w:r>
      <w:r w:rsidR="00890BB0">
        <w:t xml:space="preserve"> mise en place </w:t>
      </w:r>
      <w:r>
        <w:t xml:space="preserve">nécessitait </w:t>
      </w:r>
      <w:r w:rsidR="00890BB0" w:rsidRPr="004A6E27">
        <w:t>qu’</w:t>
      </w:r>
      <w:r w:rsidR="004A6E27" w:rsidRPr="004A6E27">
        <w:t>elles</w:t>
      </w:r>
      <w:r w:rsidR="00890BB0" w:rsidRPr="004A6E27">
        <w:t xml:space="preserve"> soient</w:t>
      </w:r>
      <w:r w:rsidR="00CE38C4" w:rsidRPr="004A6E27">
        <w:t xml:space="preserve"> frappé</w:t>
      </w:r>
      <w:r w:rsidR="004A6E27" w:rsidRPr="004A6E27">
        <w:t>e</w:t>
      </w:r>
      <w:r w:rsidRPr="004A6E27">
        <w:t>s</w:t>
      </w:r>
      <w:r w:rsidR="00CE38C4">
        <w:t xml:space="preserve"> avec force, soit</w:t>
      </w:r>
      <w:r>
        <w:t xml:space="preserve"> avec une masse ou un marteau. </w:t>
      </w:r>
    </w:p>
    <w:p w:rsidR="00407D7A" w:rsidRDefault="00407D7A" w:rsidP="00A7264B">
      <w:pPr>
        <w:pStyle w:val="corpsdedcision"/>
        <w:tabs>
          <w:tab w:val="clear" w:pos="360"/>
          <w:tab w:val="num" w:pos="720"/>
        </w:tabs>
      </w:pPr>
      <w:r>
        <w:t xml:space="preserve">En 2004, le travailleur </w:t>
      </w:r>
      <w:r w:rsidR="00CE38C4">
        <w:t xml:space="preserve">était à l’emploi </w:t>
      </w:r>
      <w:r w:rsidR="00B9054A">
        <w:t xml:space="preserve">principalement </w:t>
      </w:r>
      <w:r>
        <w:t>de Nordex</w:t>
      </w:r>
      <w:r w:rsidR="00CE38C4">
        <w:t xml:space="preserve"> et a fait à nouveau du coffrage à la phase II du chantier Alouette</w:t>
      </w:r>
      <w:r>
        <w:t xml:space="preserve">. Il </w:t>
      </w:r>
      <w:r w:rsidR="00CE38C4">
        <w:t xml:space="preserve">témoigne qu’il </w:t>
      </w:r>
      <w:r>
        <w:t xml:space="preserve">a également travaillé pour une autre compagnie au même endroit, </w:t>
      </w:r>
      <w:r w:rsidR="00957DB9">
        <w:t>à savoir</w:t>
      </w:r>
      <w:r>
        <w:t xml:space="preserve"> Leblanc et Pelletier. Dans les deux cas, il </w:t>
      </w:r>
      <w:r w:rsidR="00CE38C4">
        <w:t>mentionne</w:t>
      </w:r>
      <w:r>
        <w:t xml:space="preserve"> que son travail nécessitait le transport et la manipulation de bois et d’autres matériaux, parfois avec les bras en extension, parfois en élévation plus haut que les épaules. </w:t>
      </w:r>
    </w:p>
    <w:p w:rsidR="00407D7A" w:rsidRDefault="00407D7A" w:rsidP="00E01F10">
      <w:pPr>
        <w:pStyle w:val="corpsdedcision"/>
        <w:tabs>
          <w:tab w:val="clear" w:pos="360"/>
          <w:tab w:val="num" w:pos="720"/>
        </w:tabs>
      </w:pPr>
      <w:r>
        <w:t xml:space="preserve">En 2005, </w:t>
      </w:r>
      <w:r w:rsidR="00CE38C4">
        <w:t>le travailleur</w:t>
      </w:r>
      <w:r>
        <w:t xml:space="preserve"> </w:t>
      </w:r>
      <w:r w:rsidR="00CE38C4">
        <w:t xml:space="preserve">était à l’emploi respectivement de </w:t>
      </w:r>
      <w:r w:rsidR="00A77844">
        <w:t>Construction G.M.T</w:t>
      </w:r>
      <w:r>
        <w:t>. enr.</w:t>
      </w:r>
      <w:r w:rsidR="001D0C0C">
        <w:t xml:space="preserve"> et Construction Talbon</w:t>
      </w:r>
      <w:r w:rsidR="002F7AA9">
        <w:t xml:space="preserve"> inc. </w:t>
      </w:r>
      <w:r w:rsidR="00CE38C4">
        <w:t xml:space="preserve">Dans le </w:t>
      </w:r>
      <w:r w:rsidR="002F7AA9">
        <w:t xml:space="preserve">premier </w:t>
      </w:r>
      <w:r w:rsidR="00CE38C4">
        <w:t>cas,</w:t>
      </w:r>
      <w:r w:rsidR="002F7AA9">
        <w:t xml:space="preserve"> </w:t>
      </w:r>
      <w:r w:rsidR="00CE38C4">
        <w:t xml:space="preserve">son travail </w:t>
      </w:r>
      <w:r w:rsidR="002F7AA9">
        <w:t xml:space="preserve">impliquait la construction d’un kiosque touristique. Le travailleur </w:t>
      </w:r>
      <w:r w:rsidR="00CE38C4">
        <w:t>témoigne que son travail re</w:t>
      </w:r>
      <w:r w:rsidR="002F7AA9">
        <w:t xml:space="preserve">ssemblait </w:t>
      </w:r>
      <w:r w:rsidR="00CE38C4">
        <w:t xml:space="preserve">au travail de </w:t>
      </w:r>
      <w:r w:rsidR="002F7AA9">
        <w:t xml:space="preserve">la construction </w:t>
      </w:r>
      <w:r w:rsidR="00CE38C4">
        <w:t xml:space="preserve">résidentielle. Il mentionne, en particulier, qu’il devait poser </w:t>
      </w:r>
      <w:r w:rsidR="002F7AA9">
        <w:t xml:space="preserve">du déclin en bois. Le deuxième contrat impliquait la pose </w:t>
      </w:r>
      <w:r w:rsidR="00CE38C4">
        <w:t>d’une</w:t>
      </w:r>
      <w:r w:rsidR="002F7AA9">
        <w:t xml:space="preserve"> finition extérieure en tôle. Le travailleur mentionne </w:t>
      </w:r>
      <w:r w:rsidR="00CE38C4">
        <w:t xml:space="preserve">que ce contrat nécessitait qu’il effectue </w:t>
      </w:r>
      <w:r w:rsidR="002F7AA9">
        <w:t xml:space="preserve">la pose parfois en hauteur </w:t>
      </w:r>
      <w:r w:rsidR="00CE38C4">
        <w:t>à l’aide</w:t>
      </w:r>
      <w:r w:rsidR="002F7AA9">
        <w:t xml:space="preserve"> </w:t>
      </w:r>
      <w:r w:rsidR="00CE38C4">
        <w:t>d’</w:t>
      </w:r>
      <w:r w:rsidR="002F7AA9">
        <w:t>une nacelle. Il précise qu’il travaillait principalement avec une visseuse</w:t>
      </w:r>
      <w:r w:rsidR="00CE38C4">
        <w:t>, mais</w:t>
      </w:r>
      <w:r w:rsidR="002F7AA9">
        <w:t xml:space="preserve"> souvent à bout de bras. </w:t>
      </w:r>
    </w:p>
    <w:p w:rsidR="002F7AA9" w:rsidRPr="008144B7" w:rsidRDefault="002F7AA9" w:rsidP="00E01F10">
      <w:pPr>
        <w:pStyle w:val="corpsdedcision"/>
        <w:tabs>
          <w:tab w:val="clear" w:pos="360"/>
          <w:tab w:val="num" w:pos="720"/>
        </w:tabs>
      </w:pPr>
      <w:r w:rsidRPr="008144B7">
        <w:t xml:space="preserve">En 2006, le travailleur a effectué deux contrats. Un pour une compagnie </w:t>
      </w:r>
      <w:r w:rsidR="00A52C79" w:rsidRPr="008144B7">
        <w:t>Genivar Construction inc.</w:t>
      </w:r>
      <w:r w:rsidRPr="008144B7">
        <w:t xml:space="preserve"> et </w:t>
      </w:r>
      <w:r w:rsidR="00A52C79" w:rsidRPr="008144B7">
        <w:t>Constructions B.L.H. inc.</w:t>
      </w:r>
      <w:r w:rsidR="00A52C79" w:rsidRPr="008144B7">
        <w:rPr>
          <w:b/>
        </w:rPr>
        <w:t xml:space="preserve"> </w:t>
      </w:r>
      <w:r w:rsidR="00A52C79" w:rsidRPr="008144B7">
        <w:t xml:space="preserve">Les deux contrats consistaient en </w:t>
      </w:r>
      <w:r w:rsidR="008144B7">
        <w:t xml:space="preserve">la construction de coffrage dans le cadre d’un projet de </w:t>
      </w:r>
      <w:r w:rsidR="00A52C79" w:rsidRPr="008144B7">
        <w:t xml:space="preserve">construction d’un barrage sur la Rivière Magpie. </w:t>
      </w:r>
    </w:p>
    <w:p w:rsidR="00A52C79" w:rsidRDefault="00A52C79" w:rsidP="000F2532">
      <w:pPr>
        <w:pStyle w:val="corpsdedcision"/>
        <w:tabs>
          <w:tab w:val="clear" w:pos="360"/>
          <w:tab w:val="num" w:pos="720"/>
        </w:tabs>
      </w:pPr>
      <w:r>
        <w:t xml:space="preserve">En 2007, le travailleur a </w:t>
      </w:r>
      <w:r w:rsidR="008144B7">
        <w:t>effectué</w:t>
      </w:r>
      <w:r>
        <w:t xml:space="preserve"> </w:t>
      </w:r>
      <w:r w:rsidR="00A77844">
        <w:t>du</w:t>
      </w:r>
      <w:r w:rsidR="008144B7">
        <w:t xml:space="preserve"> coffrage sur le même projet </w:t>
      </w:r>
      <w:r w:rsidR="00A77844">
        <w:t>que l’année précédente pour la compagnie</w:t>
      </w:r>
      <w:r w:rsidR="008144B7">
        <w:t xml:space="preserve"> </w:t>
      </w:r>
      <w:r>
        <w:t>Genivar Construction inc. Par la suite, il a effectué de</w:t>
      </w:r>
      <w:r w:rsidR="00A77844">
        <w:t>s</w:t>
      </w:r>
      <w:r>
        <w:t xml:space="preserve"> travaux de maintenance et de rénovation pour la compagnie </w:t>
      </w:r>
      <w:r w:rsidR="00A77844">
        <w:t>De-Vi Construction Sept</w:t>
      </w:r>
      <w:r w:rsidR="00A77844">
        <w:noBreakHyphen/>
      </w:r>
      <w:r w:rsidRPr="00A52C79">
        <w:t>Îles inc</w:t>
      </w:r>
      <w:r>
        <w:t xml:space="preserve">. </w:t>
      </w:r>
      <w:r w:rsidR="00A77844">
        <w:t>Le</w:t>
      </w:r>
      <w:r>
        <w:t xml:space="preserve"> contrat consistait principalement </w:t>
      </w:r>
      <w:r w:rsidR="00A77844">
        <w:t>au</w:t>
      </w:r>
      <w:r>
        <w:t xml:space="preserve"> remplacement et </w:t>
      </w:r>
      <w:r w:rsidR="00A77844">
        <w:t xml:space="preserve">à </w:t>
      </w:r>
      <w:r>
        <w:t>la pose de portes et de cadrages sur un chantier de construction. Il explique qu’il devait transporter et les installer en équipe de deux personnes. Il précise qu’il travaillait principalement debout en utilisant une scie de va</w:t>
      </w:r>
      <w:r w:rsidR="00806E1F">
        <w:t>-et-</w:t>
      </w:r>
      <w:r>
        <w:t xml:space="preserve">vient, et une perceuse d’impact qu’il tenait souvent à deux mains. </w:t>
      </w:r>
      <w:r w:rsidR="00A77844">
        <w:t xml:space="preserve">Il souligne que les feuilles de gypse pesaient environ 50 livres et la pose de la deuxième rangée était plus difficile, </w:t>
      </w:r>
      <w:r w:rsidR="00DF4F61">
        <w:t>nécessitant</w:t>
      </w:r>
      <w:r w:rsidR="00A77844">
        <w:t xml:space="preserve"> qu’il travaille davantage avec les bras en extension. </w:t>
      </w:r>
      <w:r w:rsidR="00DF4F61">
        <w:t xml:space="preserve">Il ajoute que la pose de plafond suspendu nécessitait également qu’il travaille à bout de bras. </w:t>
      </w:r>
      <w:r w:rsidR="00A77844">
        <w:t>A</w:t>
      </w:r>
      <w:r>
        <w:t xml:space="preserve">u cours de l’année, le travailleur a également </w:t>
      </w:r>
      <w:r w:rsidR="00A77844">
        <w:t>été à l’emploi de</w:t>
      </w:r>
      <w:r>
        <w:t xml:space="preserve"> la Compagnie </w:t>
      </w:r>
      <w:r w:rsidR="00775690">
        <w:t xml:space="preserve">Construction </w:t>
      </w:r>
      <w:r>
        <w:t xml:space="preserve">Talbon inc. Il explique qu’il travaillait sur </w:t>
      </w:r>
      <w:r w:rsidR="00E01F10">
        <w:t>les réservoirs. Pour effectuer le projet, il devait faire monter et installer des échafaudages. Il explique que pour faire les travaux, il devait manipuler des pièces en aluminium pesant jusqu’à 25 livres, lesquelles devaient être montées à l’aide d’une corde.</w:t>
      </w:r>
    </w:p>
    <w:p w:rsidR="004751A0" w:rsidRDefault="004751A0" w:rsidP="004751A0">
      <w:pPr>
        <w:pStyle w:val="corpsdedcision"/>
        <w:tabs>
          <w:tab w:val="clear" w:pos="360"/>
          <w:tab w:val="num" w:pos="720"/>
        </w:tabs>
      </w:pPr>
      <w:r>
        <w:t xml:space="preserve">En 2008, le travailleur a travaillé principalement pour la compagnie Simard Beaudry Construction inc. Il effectuait du coffrage. Il précise à l’audience que le système utilisé était très exigeant pour le travailleur. Il mentionne que la construction se faisait en se servant des panneaux lourds, lesquels étaient manipulés avec une poignée et rattachés avec un système de rodage et « clip ». Même si les panneaux étaient soulevés à l’aide d’une grue, il devait employer un levier pour les mettre en position. Il mentionne également que les colonnes étaient ancrées sur une plaque de métal, laquelle pesait environ 40 livres. </w:t>
      </w:r>
    </w:p>
    <w:p w:rsidR="00F62C6F" w:rsidRDefault="00E01F10" w:rsidP="00E01F10">
      <w:pPr>
        <w:pStyle w:val="corpsdedcision"/>
      </w:pPr>
      <w:r>
        <w:t xml:space="preserve">En 2009, le travailleur a </w:t>
      </w:r>
      <w:r w:rsidR="004751A0">
        <w:t>travaillé</w:t>
      </w:r>
      <w:r>
        <w:t xml:space="preserve"> pour trois entreprises</w:t>
      </w:r>
      <w:r w:rsidR="004751A0">
        <w:t>,</w:t>
      </w:r>
      <w:r>
        <w:t xml:space="preserve"> incluant le </w:t>
      </w:r>
      <w:r w:rsidRPr="00E01F10">
        <w:t>Groupe Hexagone</w:t>
      </w:r>
      <w:r>
        <w:t xml:space="preserve"> et </w:t>
      </w:r>
      <w:r w:rsidRPr="00E01F10">
        <w:t>Construction Leclerc &amp; Pelletier inc</w:t>
      </w:r>
      <w:r>
        <w:t xml:space="preserve">. </w:t>
      </w:r>
      <w:r w:rsidR="0040764E">
        <w:t>Il a également travaillé p</w:t>
      </w:r>
      <w:r>
        <w:t xml:space="preserve">our </w:t>
      </w:r>
      <w:r w:rsidRPr="00E01F10">
        <w:t>Construction RIC 2006 inc.</w:t>
      </w:r>
      <w:r w:rsidR="0040764E">
        <w:t xml:space="preserve"> Pour cette dernière entreprise, </w:t>
      </w:r>
      <w:r>
        <w:t xml:space="preserve">il </w:t>
      </w:r>
      <w:r w:rsidR="0040764E">
        <w:t>effectuait entre autres, la construction d</w:t>
      </w:r>
      <w:r>
        <w:t xml:space="preserve">e coffrage </w:t>
      </w:r>
      <w:r w:rsidR="0040764E">
        <w:t>en vue de</w:t>
      </w:r>
      <w:r>
        <w:t xml:space="preserve"> l’installation d’un transformateur</w:t>
      </w:r>
      <w:r w:rsidR="0040764E">
        <w:t xml:space="preserve"> au barrage d’une cen</w:t>
      </w:r>
      <w:r w:rsidR="00DF4F61">
        <w:t xml:space="preserve">trale électrique. </w:t>
      </w:r>
      <w:r w:rsidR="00957DB9">
        <w:t>Le coffrage était construit en bois.</w:t>
      </w:r>
    </w:p>
    <w:p w:rsidR="00E01F10" w:rsidRDefault="00A77844" w:rsidP="00E01F10">
      <w:pPr>
        <w:pStyle w:val="corpsdedcision"/>
      </w:pPr>
      <w:r w:rsidRPr="00BB6E24">
        <w:t xml:space="preserve">Le 15 septembre 2009, le travailleur consulte en raison d’une douleur au niveau de l’épaule droite et au coude. À l’examen, le médecin constate une douleur à la palpation de l’épicondylite latérale du coude droit ainsi qu’une douleur lors de la rotation interne de l’épaule droite. Il retient le diagnostic d’une tendinite du coude droite ainsi qu’une bursite de l’épaule droite et prescrit la prise d’anti-inflammatoires ainsi que des traitements de physiothérapie. </w:t>
      </w:r>
      <w:r w:rsidR="00E01F10" w:rsidRPr="0040764E">
        <w:t xml:space="preserve">Le coffrage a été construit en </w:t>
      </w:r>
      <w:r w:rsidR="0040764E" w:rsidRPr="0040764E">
        <w:t>bois.</w:t>
      </w:r>
    </w:p>
    <w:p w:rsidR="00A77844" w:rsidRPr="0040764E" w:rsidRDefault="00A77844" w:rsidP="00E01F10">
      <w:pPr>
        <w:pStyle w:val="corpsdedcision"/>
      </w:pPr>
      <w:r w:rsidRPr="00BB6E24">
        <w:t>Quelques semaines plus tard, à savoir le 14 octobre 2009, le travailleur est pris en charge par la docteure Caroline Porlier. Elle consigne aux notes de consultation que le travailleur se plaint de douleur à l’épaule de longue date. Elle mentionne que la douleur est plus présente à la fin de la journée et lors des mouvements effectués au-dessus de la tête. Elle note que la condition du travailleur s’est aggravée depuis un mois. Elle retient donc un diagnostic de tendinite du coude et de l’épaule droite et prescrit des traitements de physiothérapie ainsi que la prise d’anti-inflammatoires.</w:t>
      </w:r>
    </w:p>
    <w:p w:rsidR="00E5614D" w:rsidRDefault="00E01F10" w:rsidP="00E01F10">
      <w:pPr>
        <w:pStyle w:val="corpsdedcision"/>
        <w:tabs>
          <w:tab w:val="clear" w:pos="360"/>
          <w:tab w:val="num" w:pos="720"/>
        </w:tabs>
      </w:pPr>
      <w:r>
        <w:t xml:space="preserve">À partir de 2010, le travailleur est principalement à l’emploi de la compagnie </w:t>
      </w:r>
      <w:r w:rsidRPr="00E01F10">
        <w:t>Construction RIC 2006 inc.</w:t>
      </w:r>
      <w:r>
        <w:t xml:space="preserve"> qui œuvrait dans le domaine commercial. Il estime que les travaux de coffrage ne représentaient que 10 % de son travail. Le travailleur précise que dans le domaine commercial</w:t>
      </w:r>
      <w:r w:rsidR="00C619B9">
        <w:t xml:space="preserve">, bien que les techniques de construction soient similaires à la construction résidentielle, il utilise davantage des matériaux en métal, notamment les poutres. Il ajoute que les feuilles de gypse sont souvent plus grandes. Il estime que, de façon générale, que les matériaux sont plus pesants. Il mentionne que souvent, il devait travailler avec les bras en élévation surtout lors de la pose des plafonds suspendus. Il mentionne également </w:t>
      </w:r>
      <w:r w:rsidR="00E5614D">
        <w:t xml:space="preserve">qu’il a dû </w:t>
      </w:r>
      <w:r w:rsidR="004751A0">
        <w:t>travailler</w:t>
      </w:r>
      <w:r w:rsidR="00C619B9">
        <w:t xml:space="preserve"> parfois </w:t>
      </w:r>
      <w:r w:rsidR="00E5614D">
        <w:t>avec des marteaux-</w:t>
      </w:r>
      <w:r w:rsidR="00C619B9">
        <w:t xml:space="preserve">piqueurs. </w:t>
      </w:r>
    </w:p>
    <w:p w:rsidR="002F7AA9" w:rsidRDefault="00E5614D" w:rsidP="00E01F10">
      <w:pPr>
        <w:pStyle w:val="corpsdedcision"/>
        <w:tabs>
          <w:tab w:val="clear" w:pos="360"/>
          <w:tab w:val="num" w:pos="720"/>
        </w:tabs>
      </w:pPr>
      <w:r>
        <w:t>Le travailleur témoigne d’un projet qui était particulièrement exigeant, à savoir un projet de réfection d’une piscine. Il témoigne qu’</w:t>
      </w:r>
      <w:r w:rsidR="00C619B9">
        <w:t xml:space="preserve">il </w:t>
      </w:r>
      <w:r>
        <w:t xml:space="preserve">a </w:t>
      </w:r>
      <w:r w:rsidR="00C619B9">
        <w:t xml:space="preserve">était appelé </w:t>
      </w:r>
      <w:r>
        <w:t>à utiliser davantage un marteau-</w:t>
      </w:r>
      <w:r w:rsidR="00C619B9">
        <w:t>piqueur électrique pesant environ 20 à 25 livres</w:t>
      </w:r>
      <w:r w:rsidR="00175D8D">
        <w:t xml:space="preserve"> pour casser la céramique</w:t>
      </w:r>
      <w:r w:rsidR="00C619B9">
        <w:t>.</w:t>
      </w:r>
      <w:r w:rsidR="00175D8D">
        <w:t xml:space="preserve"> Il souligne que lorsqu’il travaillait en hauteur, il le faisait </w:t>
      </w:r>
      <w:r>
        <w:t>en employant</w:t>
      </w:r>
      <w:r w:rsidR="00175D8D">
        <w:t xml:space="preserve"> un système d’échafaudage, toutefois, il </w:t>
      </w:r>
      <w:r>
        <w:t xml:space="preserve">témoigne qu’il </w:t>
      </w:r>
      <w:r w:rsidR="00175D8D">
        <w:t xml:space="preserve">devait travailler </w:t>
      </w:r>
      <w:r>
        <w:t xml:space="preserve">souvent </w:t>
      </w:r>
      <w:r w:rsidR="00175D8D">
        <w:t>avec les bras en extension.</w:t>
      </w:r>
    </w:p>
    <w:p w:rsidR="00175D8D" w:rsidRDefault="00175D8D" w:rsidP="00E01F10">
      <w:pPr>
        <w:pStyle w:val="corpsdedcision"/>
        <w:tabs>
          <w:tab w:val="clear" w:pos="360"/>
          <w:tab w:val="num" w:pos="720"/>
        </w:tabs>
      </w:pPr>
      <w:r>
        <w:t>Le travailleur décrit également un projet de revêtement extérieur d’une école. Il explique qu’il devait manipuler et poser les panneaux d’aluminium pesant environ 50 livres. Pour les attacher, il utilisait une visseuse. Il explique que ce projet impliquait des mouvements répétitifs pour visser les panneaux.</w:t>
      </w:r>
    </w:p>
    <w:p w:rsidR="00B85FAB" w:rsidRDefault="00900ED6" w:rsidP="009F55FF">
      <w:pPr>
        <w:pStyle w:val="corpsdedcision"/>
        <w:tabs>
          <w:tab w:val="clear" w:pos="360"/>
          <w:tab w:val="num" w:pos="720"/>
        </w:tabs>
      </w:pPr>
      <w:r>
        <w:t xml:space="preserve">Le travailleur poursuit son témoignage en mentionnant qu’il s’est blessé à l’épaule droite en </w:t>
      </w:r>
      <w:r w:rsidR="00F62C6F">
        <w:t>soulev</w:t>
      </w:r>
      <w:r>
        <w:t xml:space="preserve">ant une boîte </w:t>
      </w:r>
      <w:r w:rsidR="00F62C6F">
        <w:t>en contre-plaqué au-de</w:t>
      </w:r>
      <w:r w:rsidR="00957DB9">
        <w:t>ssus d’un panneau électrique de 4</w:t>
      </w:r>
      <w:r w:rsidR="00F62C6F">
        <w:t> pieds de haut.</w:t>
      </w:r>
      <w:r>
        <w:t xml:space="preserve"> D’ailleurs, il appert au dossier que le 1</w:t>
      </w:r>
      <w:r w:rsidRPr="00900ED6">
        <w:rPr>
          <w:vertAlign w:val="superscript"/>
        </w:rPr>
        <w:t>er</w:t>
      </w:r>
      <w:r>
        <w:t xml:space="preserve"> novembre 2010, il a consulté le docteur </w:t>
      </w:r>
      <w:r w:rsidR="009B3547" w:rsidRPr="00BB6E24">
        <w:t>Thien Chuong</w:t>
      </w:r>
      <w:r w:rsidR="00B85FAB" w:rsidRPr="00BB6E24">
        <w:t xml:space="preserve"> Tran </w:t>
      </w:r>
      <w:r>
        <w:t xml:space="preserve">qui a </w:t>
      </w:r>
      <w:r w:rsidR="00B85FAB" w:rsidRPr="00BB6E24">
        <w:t>compl</w:t>
      </w:r>
      <w:r>
        <w:t xml:space="preserve">été </w:t>
      </w:r>
      <w:r w:rsidR="00B85FAB" w:rsidRPr="00BB6E24">
        <w:t xml:space="preserve">une attestation médicale dans laquelle </w:t>
      </w:r>
      <w:r w:rsidR="009B3547" w:rsidRPr="00BB6E24">
        <w:t>il</w:t>
      </w:r>
      <w:r w:rsidR="00B85FAB" w:rsidRPr="00BB6E24">
        <w:t xml:space="preserve"> retient le diagnostic d’entorse à l’épaule</w:t>
      </w:r>
      <w:r w:rsidR="000F48EF" w:rsidRPr="00BB6E24">
        <w:t xml:space="preserve"> droite</w:t>
      </w:r>
      <w:r w:rsidR="00B85FAB" w:rsidRPr="00BB6E24">
        <w:t xml:space="preserve"> avec une légère tendinite.</w:t>
      </w:r>
      <w:r w:rsidR="009B3547" w:rsidRPr="00BB6E24">
        <w:t xml:space="preserve"> Il</w:t>
      </w:r>
      <w:r w:rsidR="00B85FAB" w:rsidRPr="00BB6E24">
        <w:t xml:space="preserve"> prescrit des anti-inflammatoires ainsi que des traitements de physiothérapie. </w:t>
      </w:r>
    </w:p>
    <w:p w:rsidR="0058189E" w:rsidRPr="00BB6E24" w:rsidRDefault="0058189E" w:rsidP="009F55FF">
      <w:pPr>
        <w:pStyle w:val="corpsdedcision"/>
        <w:tabs>
          <w:tab w:val="clear" w:pos="360"/>
          <w:tab w:val="num" w:pos="720"/>
        </w:tabs>
      </w:pPr>
      <w:r>
        <w:t xml:space="preserve">Le travailleur témoigne qu’au cours des prochaines années, c’est-à-dire jusqu’à 2016, il était à l’emploi exclusif de la compagnie </w:t>
      </w:r>
      <w:r w:rsidRPr="00E01F10">
        <w:t>Construction RIC 2006 inc</w:t>
      </w:r>
      <w:r>
        <w:t xml:space="preserve">. Il mentionne que durant cette période, il a commencé à ressentir davantage des douleurs au niveau des épaules. Il explique que la symptomatologie s’est manifestée graduellement et que la douleur variait d’intensité dépendamment de la nature des efforts physiques qu’il effectuait au travail. Il mentionne qu’il avait de plus en plus de difficulté de lever ses bras, néanmoins, il a continué de travailler jusqu’en 2016, moment où il a eu une intervention chirurgicale. </w:t>
      </w:r>
    </w:p>
    <w:p w:rsidR="009B3547" w:rsidRPr="00BB6E24" w:rsidRDefault="009B3547" w:rsidP="00063FF0">
      <w:pPr>
        <w:pStyle w:val="corpsdedcision"/>
        <w:tabs>
          <w:tab w:val="clear" w:pos="360"/>
        </w:tabs>
      </w:pPr>
      <w:r w:rsidRPr="00BB6E24">
        <w:t>Le 4 février 2011, le travailleur est examiné par l</w:t>
      </w:r>
      <w:r w:rsidR="00C265D5">
        <w:t>e</w:t>
      </w:r>
      <w:r w:rsidRPr="00BB6E24">
        <w:t xml:space="preserve"> </w:t>
      </w:r>
      <w:r w:rsidR="00C265D5">
        <w:t>docteur</w:t>
      </w:r>
      <w:r w:rsidR="00DF2CCC" w:rsidRPr="00BB6E24">
        <w:t xml:space="preserve"> Porlier. C</w:t>
      </w:r>
      <w:r w:rsidR="00C265D5">
        <w:t>elui</w:t>
      </w:r>
      <w:r w:rsidR="00DF2CCC" w:rsidRPr="00BB6E24">
        <w:t xml:space="preserve">-ci inscrit aux notes cliniques, sous le chapitre </w:t>
      </w:r>
      <w:r w:rsidR="00DF2CCC" w:rsidRPr="00BB6E24">
        <w:rPr>
          <w:i/>
        </w:rPr>
        <w:t>Raison de consultation</w:t>
      </w:r>
      <w:r w:rsidR="00DF2CCC" w:rsidRPr="00BB6E24">
        <w:t xml:space="preserve">, un suivi de tendinite de l’épaule/coude droit ainsi qu’une douleur au niveau dorsal. </w:t>
      </w:r>
      <w:r w:rsidR="00C265D5">
        <w:t>Il</w:t>
      </w:r>
      <w:r w:rsidR="00DF2CCC" w:rsidRPr="00BB6E24">
        <w:t xml:space="preserve"> note </w:t>
      </w:r>
      <w:r w:rsidRPr="00BB6E24">
        <w:t xml:space="preserve">que le travailleur se plaint de douleur à l’épaule depuis décembre à la suite d’un faux mouvement au travail. </w:t>
      </w:r>
      <w:r w:rsidR="00C265D5">
        <w:t>Il</w:t>
      </w:r>
      <w:r w:rsidRPr="00BB6E24">
        <w:t xml:space="preserve"> mentionne que le travailleur avait bien répondu aux traitements au début, mais que depuis trois semaines, </w:t>
      </w:r>
      <w:r w:rsidR="00FD7CB1" w:rsidRPr="00BB6E24">
        <w:t>il</w:t>
      </w:r>
      <w:r w:rsidRPr="00BB6E24">
        <w:t xml:space="preserve"> se plaint de douleur à la face latérale de l’épaule droite qui s’intensifie lors de la mobilisation. </w:t>
      </w:r>
      <w:r w:rsidR="00C265D5">
        <w:t>Il</w:t>
      </w:r>
      <w:r w:rsidR="00FD7CB1" w:rsidRPr="00BB6E24">
        <w:t xml:space="preserve"> indique également que </w:t>
      </w:r>
      <w:r w:rsidRPr="00BB6E24">
        <w:t xml:space="preserve">depuis quelques mois </w:t>
      </w:r>
      <w:r w:rsidR="00FD7CB1" w:rsidRPr="00BB6E24">
        <w:t xml:space="preserve">le travailleur se plaint </w:t>
      </w:r>
      <w:r w:rsidRPr="00BB6E24">
        <w:t xml:space="preserve">d’une douleur au coude gauche. </w:t>
      </w:r>
      <w:r w:rsidR="00C265D5">
        <w:t>Il</w:t>
      </w:r>
      <w:r w:rsidRPr="00BB6E24">
        <w:t xml:space="preserve"> </w:t>
      </w:r>
      <w:r w:rsidR="00DF2CCC" w:rsidRPr="00BB6E24">
        <w:t>ajoute</w:t>
      </w:r>
      <w:r w:rsidRPr="00BB6E24">
        <w:t xml:space="preserve"> également que le travailleur a connu un épisode « de blocage » l’été précédent et il a dû consulter en urgence. Lors de son examen, </w:t>
      </w:r>
      <w:r w:rsidR="00C265D5">
        <w:t>il</w:t>
      </w:r>
      <w:r w:rsidRPr="00BB6E24">
        <w:t xml:space="preserve"> a mis en évidence une douleur à la palpation sous-acromiale surtout en flexion et en abduction.</w:t>
      </w:r>
      <w:r w:rsidR="00DF2CCC" w:rsidRPr="00BB6E24">
        <w:t xml:space="preserve"> </w:t>
      </w:r>
      <w:r w:rsidR="00C265D5">
        <w:t>Il</w:t>
      </w:r>
      <w:r w:rsidR="00DF2CCC" w:rsidRPr="00BB6E24">
        <w:t xml:space="preserve"> s’interroge si le travailleur n’a pas en plus d’une tendinite de la coiffe des rotateurs à droite, une déchirure du deltoïde. </w:t>
      </w:r>
      <w:r w:rsidRPr="00BB6E24">
        <w:t xml:space="preserve">Au coude gauche, </w:t>
      </w:r>
      <w:r w:rsidR="00C265D5">
        <w:t>Il</w:t>
      </w:r>
      <w:r w:rsidRPr="00BB6E24">
        <w:t xml:space="preserve"> note une douleur au niveau de l’épicondyle externe qui augmente</w:t>
      </w:r>
      <w:r w:rsidR="00DF2CCC" w:rsidRPr="00BB6E24">
        <w:t xml:space="preserve"> l</w:t>
      </w:r>
      <w:r w:rsidRPr="00BB6E24">
        <w:t>ors de la flexi</w:t>
      </w:r>
      <w:r w:rsidR="00DF2CCC" w:rsidRPr="00BB6E24">
        <w:t>on du poignet contre résistance.</w:t>
      </w:r>
      <w:r w:rsidRPr="00BB6E24">
        <w:t xml:space="preserve"> </w:t>
      </w:r>
      <w:r w:rsidR="00C265D5">
        <w:t>Il</w:t>
      </w:r>
      <w:r w:rsidRPr="00BB6E24">
        <w:t xml:space="preserve"> retient </w:t>
      </w:r>
      <w:r w:rsidR="00DF2CCC" w:rsidRPr="00BB6E24">
        <w:t>donc</w:t>
      </w:r>
      <w:r w:rsidRPr="00BB6E24">
        <w:t xml:space="preserve"> un diagnostic d’épicondylite externe du coude gauche. </w:t>
      </w:r>
      <w:r w:rsidR="00C265D5">
        <w:t>Il</w:t>
      </w:r>
      <w:r w:rsidRPr="00BB6E24">
        <w:t xml:space="preserve"> prescrit des anti-inflammatoires ainsi que des traitements de physiothérapie et de massothérapie.</w:t>
      </w:r>
    </w:p>
    <w:p w:rsidR="003A14E1" w:rsidRDefault="003A14E1" w:rsidP="00063FF0">
      <w:pPr>
        <w:pStyle w:val="corpsdedcision"/>
        <w:tabs>
          <w:tab w:val="clear" w:pos="360"/>
        </w:tabs>
      </w:pPr>
      <w:r w:rsidRPr="00BB6E24">
        <w:t>Le 3 mars 2011, une radiographie de l’épaule droite ainsi que des articulations acromio-clavic</w:t>
      </w:r>
      <w:r w:rsidR="00923AF7">
        <w:t>ulaires a mis en évidence des signes</w:t>
      </w:r>
      <w:r w:rsidRPr="00BB6E24">
        <w:t xml:space="preserve"> d’arthrose à droite ainsi qu’une arthrose légère à gauche. </w:t>
      </w:r>
    </w:p>
    <w:p w:rsidR="00432469" w:rsidRPr="00BB6E24" w:rsidRDefault="00432469" w:rsidP="00063FF0">
      <w:pPr>
        <w:pStyle w:val="corpsdedcision"/>
        <w:tabs>
          <w:tab w:val="clear" w:pos="360"/>
        </w:tabs>
      </w:pPr>
      <w:r>
        <w:t xml:space="preserve">Le travailleur témoigne </w:t>
      </w:r>
      <w:r w:rsidR="00957DB9">
        <w:t>qu’à partir de</w:t>
      </w:r>
      <w:r>
        <w:t xml:space="preserve"> 2013-2014, </w:t>
      </w:r>
      <w:r w:rsidR="00957DB9">
        <w:t xml:space="preserve">son travail </w:t>
      </w:r>
      <w:r>
        <w:t xml:space="preserve">nécessitait qu’il travaille </w:t>
      </w:r>
      <w:r w:rsidR="00957DB9">
        <w:t xml:space="preserve">beaucoup </w:t>
      </w:r>
      <w:r>
        <w:t xml:space="preserve">avec les bras en extension ou surélevés. </w:t>
      </w:r>
      <w:r w:rsidR="00957DB9">
        <w:t>Il estime que ses mains étaient « </w:t>
      </w:r>
      <w:r w:rsidR="00957DB9" w:rsidRPr="00957DB9">
        <w:rPr>
          <w:rStyle w:val="Citationintgre"/>
        </w:rPr>
        <w:t>en l’air</w:t>
      </w:r>
      <w:r w:rsidR="00957DB9">
        <w:t xml:space="preserve"> », parfois en tenant des charges, parfois non, environ 40 % à 60 % du temps. </w:t>
      </w:r>
      <w:r>
        <w:t>Il ajoute que la douleur variait d’intensité dépendamment de la nature du travail. Il souligne que le travail au niveau des plafonds était particulièrement difficile. Néanmoins, il a continué de travaill</w:t>
      </w:r>
      <w:r w:rsidR="00806E1F">
        <w:t>er</w:t>
      </w:r>
      <w:r>
        <w:t xml:space="preserve"> jusqu’en 2016.</w:t>
      </w:r>
    </w:p>
    <w:p w:rsidR="00FD7CB1" w:rsidRPr="00BB6E24" w:rsidRDefault="00A10EA6" w:rsidP="00063FF0">
      <w:pPr>
        <w:pStyle w:val="corpsdedcision"/>
        <w:tabs>
          <w:tab w:val="clear" w:pos="360"/>
        </w:tabs>
      </w:pPr>
      <w:r w:rsidRPr="00BB6E24">
        <w:t xml:space="preserve">Le 16 décembre 2014, le travailleur consulte la docteure </w:t>
      </w:r>
      <w:r w:rsidR="00C265D5">
        <w:t xml:space="preserve">Caroline </w:t>
      </w:r>
      <w:r w:rsidRPr="00BB6E24">
        <w:t xml:space="preserve">Porlier en raison des douleurs persistantes aux deux épaules, lesquelles sont plus importantes du côté gauche. </w:t>
      </w:r>
    </w:p>
    <w:p w:rsidR="00595A50" w:rsidRPr="00BB6E24" w:rsidRDefault="000158FC" w:rsidP="001A1FD0">
      <w:pPr>
        <w:pStyle w:val="corpsdedcision"/>
        <w:tabs>
          <w:tab w:val="clear" w:pos="360"/>
        </w:tabs>
      </w:pPr>
      <w:r>
        <w:t>Le 26 janvier 2015, le travailleur débute des traitements de physiothérapie. À l’évaluation, le physiothérapeute consigne : « </w:t>
      </w:r>
      <w:r w:rsidRPr="00495C46">
        <w:rPr>
          <w:rStyle w:val="Citationintgre"/>
        </w:rPr>
        <w:t>a vu MD Dr Porlier le 16 déc. 2014 pour dlr persistantes aux 2 épaules. Dlr épaule G &gt; D depuis environ 3 ans. Ø élément déclencheur, début insidieux. Aurait débuté au travail. Dlr surtout ressentie la nuit et lors des activités au travail. Va mieux depuis la prise de Naproxin prescrit depuis 2 sem et n’a pas travaillé depuis 1 sem en raison d’absence de contrat</w:t>
      </w:r>
      <w:r>
        <w:rPr>
          <w:rFonts w:cs="Arial"/>
        </w:rPr>
        <w:t xml:space="preserve"> ». Le physiothérapeute mentionne que le </w:t>
      </w:r>
      <w:r w:rsidRPr="00495C46">
        <w:rPr>
          <w:rFonts w:cs="Arial"/>
        </w:rPr>
        <w:t>travailleur</w:t>
      </w:r>
      <w:r>
        <w:rPr>
          <w:rFonts w:cs="Arial"/>
        </w:rPr>
        <w:t xml:space="preserve"> a connu un épisode « </w:t>
      </w:r>
      <w:r w:rsidRPr="000158FC">
        <w:rPr>
          <w:rStyle w:val="Citationintgre"/>
        </w:rPr>
        <w:t>semblable a il y a 5 à 6 ans aux 2 épaules. Syndr</w:t>
      </w:r>
      <w:r w:rsidR="00806E1F">
        <w:rPr>
          <w:rStyle w:val="Citationintgre"/>
        </w:rPr>
        <w:t>o</w:t>
      </w:r>
      <w:r w:rsidRPr="000158FC">
        <w:rPr>
          <w:rStyle w:val="Citationintgre"/>
        </w:rPr>
        <w:t>me tunnel carpien bilat x années</w:t>
      </w:r>
      <w:r>
        <w:rPr>
          <w:rFonts w:cs="Arial"/>
        </w:rPr>
        <w:t xml:space="preserve"> ». </w:t>
      </w:r>
      <w:r w:rsidRPr="000158FC">
        <w:rPr>
          <w:rFonts w:cs="Arial"/>
          <w:szCs w:val="24"/>
        </w:rPr>
        <w:t>[Transcription textuelle]</w:t>
      </w:r>
    </w:p>
    <w:p w:rsidR="00595A50" w:rsidRPr="00957DB9" w:rsidRDefault="00595A50" w:rsidP="00477FF8">
      <w:pPr>
        <w:pStyle w:val="corpsdedcision"/>
        <w:tabs>
          <w:tab w:val="clear" w:pos="360"/>
        </w:tabs>
      </w:pPr>
      <w:r w:rsidRPr="00957DB9">
        <w:t xml:space="preserve">Le 12 février 2015, </w:t>
      </w:r>
      <w:r w:rsidR="00631D0A" w:rsidRPr="00957DB9">
        <w:t xml:space="preserve">une radiographie au niveau des épaules a confirmé la présence d’une </w:t>
      </w:r>
      <w:r w:rsidRPr="00957DB9">
        <w:t xml:space="preserve">arthrose acromio-claviculaire bilatérale marquée surtout à droite. </w:t>
      </w:r>
      <w:r w:rsidR="0055489A" w:rsidRPr="00957DB9">
        <w:t>Le radiologiste a également consigné que le travailleur présente une légère arthrose gléno-humérale bilatérale ainsi qu’une tendinopathie chronique, mais non calcifiante de la coiffe des rotateurs de chaque côté.</w:t>
      </w:r>
    </w:p>
    <w:p w:rsidR="00631D0A" w:rsidRPr="00BB6E24" w:rsidRDefault="000158FC" w:rsidP="00142085">
      <w:pPr>
        <w:pStyle w:val="corpsdedcision"/>
        <w:tabs>
          <w:tab w:val="clear" w:pos="360"/>
        </w:tabs>
        <w:spacing w:after="480"/>
      </w:pPr>
      <w:r>
        <w:t>Le 31 mars 2015, le</w:t>
      </w:r>
      <w:r w:rsidR="00631D0A" w:rsidRPr="00BB6E24">
        <w:t xml:space="preserve"> physiothérapeute consigne que le travailleur fut impliqué dans un accident de motoneige et qu’il a reçu un coup au niveau de l’épaule. À l’audience, le travailleur indique que la douleur ressentie au niveau de l’épaule était due en raison du contrecoup. </w:t>
      </w:r>
    </w:p>
    <w:p w:rsidR="00A10EA6" w:rsidRPr="00BB6E24" w:rsidRDefault="00C01640" w:rsidP="009B3547">
      <w:pPr>
        <w:pStyle w:val="corpsdedcision"/>
      </w:pPr>
      <w:r w:rsidRPr="00BB6E24">
        <w:t>Le 6 juillet 2015, l</w:t>
      </w:r>
      <w:r w:rsidR="000158FC">
        <w:t>e</w:t>
      </w:r>
      <w:r w:rsidRPr="00BB6E24">
        <w:t xml:space="preserve"> physiothérapeute not</w:t>
      </w:r>
      <w:r w:rsidR="0055489A" w:rsidRPr="00BB6E24">
        <w:t>e</w:t>
      </w:r>
      <w:r w:rsidRPr="00BB6E24">
        <w:t xml:space="preserve"> aux notes de consultation que le travailleur </w:t>
      </w:r>
      <w:r w:rsidR="00142085">
        <w:t>allait mieux</w:t>
      </w:r>
      <w:r w:rsidRPr="00BB6E24">
        <w:t>, ayant une diminution de douleur au niveau de l’épaule gauche ainsi qu’au niveau des épaules. Elle note toutefois la présence d’une douleur occasionnelle depuis deux semaines.</w:t>
      </w:r>
    </w:p>
    <w:p w:rsidR="0055489A" w:rsidRPr="00BB6E24" w:rsidRDefault="0055489A" w:rsidP="009B3547">
      <w:pPr>
        <w:pStyle w:val="corpsdedcision"/>
      </w:pPr>
      <w:r w:rsidRPr="00BB6E24">
        <w:t xml:space="preserve">Le 9 juillet 2015, la docteure Porlier consigne aux notes de suivi que les douleurs aux épaules persistent surtout à l’épaule gauche. Elle mentionne que les douleurs sont pires depuis le mois de janvier. À l’examen physique, elle constate une douleur à la palpation sous acromiale bilatérale ainsi qu’une diminution des mouvements en rotation. Elle rapporte également des mouvements d’abduction complets, mais elle mentionne la présence d’une douleur </w:t>
      </w:r>
      <w:r w:rsidR="00A3562A" w:rsidRPr="00BB6E24">
        <w:t>à 70 degrés. Elle conclut alors que le travailleur est atteint d’une tendinite de la coiffe des rotateurs bilatérale droite plus que gauche, non soulagé par les traitements conservateurs prolongés. Elle dirige le travailleur pour une consultation en orthopédi</w:t>
      </w:r>
      <w:r w:rsidR="00284EFB" w:rsidRPr="00BB6E24">
        <w:t>e</w:t>
      </w:r>
      <w:r w:rsidR="00A3562A" w:rsidRPr="00BB6E24">
        <w:t>.</w:t>
      </w:r>
    </w:p>
    <w:p w:rsidR="00DF2F9C" w:rsidRPr="00BB6E24" w:rsidRDefault="00DF2F9C" w:rsidP="00631D0A">
      <w:pPr>
        <w:pStyle w:val="corpsdedcision"/>
      </w:pPr>
      <w:r w:rsidRPr="00BB6E24">
        <w:t xml:space="preserve">Le 16 juillet 2015, le travailleur est examiné par la docteure Ève Fournelle, orthopédiste. </w:t>
      </w:r>
      <w:r w:rsidR="00631D0A" w:rsidRPr="00BB6E24">
        <w:t xml:space="preserve">Elle note que le travailleur se plaint de douleur aux deux épaules, bien que plus important à gauche qu’à droite depuis plusieurs années. </w:t>
      </w:r>
      <w:r w:rsidRPr="00BB6E24">
        <w:t>Celle-ci confirme le diagnostic de tendinopathie, mais prescrit en plus qu’un examen par résonance magnétique soit pratiqué. Elle suggère que le travailleur poursuive les traitements de physiothérapie et qu’il reçoive des infiltrations bilatérales au niveau des épaules.</w:t>
      </w:r>
      <w:r w:rsidR="00631D0A" w:rsidRPr="00BB6E24">
        <w:t xml:space="preserve"> </w:t>
      </w:r>
    </w:p>
    <w:p w:rsidR="0055489A" w:rsidRPr="00BB6E24" w:rsidRDefault="00A3562A" w:rsidP="009B3547">
      <w:pPr>
        <w:pStyle w:val="corpsdedcision"/>
      </w:pPr>
      <w:r w:rsidRPr="00BB6E24">
        <w:t xml:space="preserve">Le 14 septembre 2015, une résonance magnétique pratiquée à l’épaule droite a révélé des déchirures au niveau du tendon du sous-épineux. Le radiologiste a noté que le tendon était partiellement rétracté et qu’il y avait une importante atrophie de la moitié antérieure du muscle. Vis-à-vis la jonction myotendineuse, il y avait également une déchirure longitudinale complexe. Des signes de tendinopathie aiguë modérée et tendinopathie chronique sont également mis en évidence. </w:t>
      </w:r>
      <w:r w:rsidR="00C33615" w:rsidRPr="00BB6E24">
        <w:t>Les conclusions du radiologiste sont les suivantes :</w:t>
      </w:r>
    </w:p>
    <w:p w:rsidR="00C33615" w:rsidRPr="00BB6E24" w:rsidRDefault="00C33615" w:rsidP="00C33615">
      <w:pPr>
        <w:pStyle w:val="citation"/>
      </w:pPr>
      <w:r w:rsidRPr="00BB6E24">
        <w:rPr>
          <w:u w:val="single"/>
        </w:rPr>
        <w:t>CONCLUSION</w:t>
      </w:r>
      <w:r w:rsidRPr="00BB6E24">
        <w:t> :</w:t>
      </w:r>
    </w:p>
    <w:p w:rsidR="00C33615" w:rsidRPr="00BB6E24" w:rsidRDefault="00C33615" w:rsidP="00C33615">
      <w:pPr>
        <w:pStyle w:val="citation"/>
      </w:pPr>
    </w:p>
    <w:p w:rsidR="00C33615" w:rsidRPr="00BB6E24" w:rsidRDefault="00C33615" w:rsidP="00C33615">
      <w:pPr>
        <w:pStyle w:val="citation"/>
        <w:ind w:left="1134" w:hanging="425"/>
      </w:pPr>
      <w:r w:rsidRPr="00BB6E24">
        <w:t>1.</w:t>
      </w:r>
      <w:r w:rsidRPr="00BB6E24">
        <w:tab/>
        <w:t>Déchirure du tendon du sus-épineux qui est complexe. Il y a une déchirure complète de la moitié antérieure et partielle de la moitié postérieure mais qui est transfixiante.</w:t>
      </w:r>
    </w:p>
    <w:p w:rsidR="00C33615" w:rsidRPr="00BB6E24" w:rsidRDefault="00C33615" w:rsidP="00C33615">
      <w:pPr>
        <w:pStyle w:val="citation"/>
        <w:ind w:left="1134" w:hanging="425"/>
      </w:pPr>
      <w:r w:rsidRPr="00BB6E24">
        <w:t>2.</w:t>
      </w:r>
      <w:r w:rsidRPr="00BB6E24">
        <w:tab/>
        <w:t>Déchirure intrasubstance à la jonction myotendineuse du sous-épineux avec des signes de tendinite et de tendinopathie.</w:t>
      </w:r>
    </w:p>
    <w:p w:rsidR="00C33615" w:rsidRPr="00BB6E24" w:rsidRDefault="00C33615" w:rsidP="00C33615">
      <w:pPr>
        <w:pStyle w:val="citation"/>
        <w:ind w:left="1134" w:hanging="425"/>
      </w:pPr>
      <w:r w:rsidRPr="00BB6E24">
        <w:t>3.</w:t>
      </w:r>
      <w:r w:rsidRPr="00BB6E24">
        <w:tab/>
        <w:t>Déchirure partielle du tendon du sous-scapulaire.</w:t>
      </w:r>
    </w:p>
    <w:p w:rsidR="00C33615" w:rsidRPr="00BB6E24" w:rsidRDefault="00C33615" w:rsidP="00C33615">
      <w:pPr>
        <w:pStyle w:val="citation"/>
        <w:ind w:left="1134" w:hanging="425"/>
      </w:pPr>
      <w:r w:rsidRPr="00BB6E24">
        <w:t>4.</w:t>
      </w:r>
      <w:r w:rsidRPr="00BB6E24">
        <w:tab/>
        <w:t>Tendinite marquée de la portion supérieure du tendon de la longue portion du biceps et ténosynovite de la portion inférieure.</w:t>
      </w:r>
    </w:p>
    <w:p w:rsidR="00C33615" w:rsidRPr="00BB6E24" w:rsidRDefault="00C33615" w:rsidP="00C33615">
      <w:pPr>
        <w:pStyle w:val="citation"/>
        <w:ind w:left="1134" w:hanging="425"/>
      </w:pPr>
      <w:r w:rsidRPr="00BB6E24">
        <w:t>5.</w:t>
      </w:r>
      <w:r w:rsidRPr="00BB6E24">
        <w:tab/>
        <w:t>Légère arthrose glénohumérale. Épanchement intra-articulaire. Arthrose acromioclaviculaire avec des signes de syndrome d’accrochage.</w:t>
      </w:r>
    </w:p>
    <w:p w:rsidR="00C33615" w:rsidRPr="00BB6E24" w:rsidRDefault="00C33615" w:rsidP="00C33615">
      <w:pPr>
        <w:pStyle w:val="citation"/>
      </w:pPr>
    </w:p>
    <w:p w:rsidR="00C33615" w:rsidRPr="00BB6E24" w:rsidRDefault="00C33615" w:rsidP="00C33615">
      <w:pPr>
        <w:pStyle w:val="citation"/>
        <w:spacing w:after="360"/>
      </w:pPr>
      <w:r w:rsidRPr="00BB6E24">
        <w:rPr>
          <w:sz w:val="24"/>
          <w:szCs w:val="24"/>
        </w:rPr>
        <w:t>[Transcription textuelle]</w:t>
      </w:r>
    </w:p>
    <w:p w:rsidR="00D80D1E" w:rsidRPr="00BB6E24" w:rsidRDefault="00D80D1E" w:rsidP="00D80D1E">
      <w:pPr>
        <w:pStyle w:val="corpsdedcision"/>
      </w:pPr>
      <w:r w:rsidRPr="00BB6E24">
        <w:t>Le 15 octobre 2015, une résonance magnétique a été pratiquée à l’épaule gauche. Le radiologiste a conclu que le travailleur est atteint de déchirures à plusieurs niveaux. Il énumère les pathologies suivantes :</w:t>
      </w:r>
    </w:p>
    <w:p w:rsidR="00D80D1E" w:rsidRPr="00BB6E24" w:rsidRDefault="00D80D1E" w:rsidP="00D80D1E">
      <w:pPr>
        <w:pStyle w:val="citation"/>
      </w:pPr>
      <w:r w:rsidRPr="00BB6E24">
        <w:t>CONCLUSIONS :</w:t>
      </w:r>
    </w:p>
    <w:p w:rsidR="00D80D1E" w:rsidRPr="00BB6E24" w:rsidRDefault="00D80D1E" w:rsidP="00D80D1E">
      <w:pPr>
        <w:pStyle w:val="citation"/>
      </w:pPr>
    </w:p>
    <w:p w:rsidR="00D80D1E" w:rsidRPr="00BB6E24" w:rsidRDefault="00D80D1E" w:rsidP="00D80D1E">
      <w:pPr>
        <w:pStyle w:val="citation"/>
        <w:ind w:left="993" w:hanging="284"/>
      </w:pPr>
      <w:r w:rsidRPr="00BB6E24">
        <w:t>1.</w:t>
      </w:r>
      <w:r w:rsidRPr="00BB6E24">
        <w:tab/>
        <w:t>Déchirure complexe du tendon du sus-épineux.</w:t>
      </w:r>
    </w:p>
    <w:p w:rsidR="00D80D1E" w:rsidRPr="00BB6E24" w:rsidRDefault="00D80D1E" w:rsidP="00D80D1E">
      <w:pPr>
        <w:pStyle w:val="citation"/>
        <w:ind w:left="993" w:hanging="284"/>
      </w:pPr>
      <w:r w:rsidRPr="00BB6E24">
        <w:t>2.</w:t>
      </w:r>
      <w:r w:rsidRPr="00BB6E24">
        <w:tab/>
        <w:t>Déchirure intrasubstance du tendon du sous-épineux.</w:t>
      </w:r>
    </w:p>
    <w:p w:rsidR="00D80D1E" w:rsidRPr="00BB6E24" w:rsidRDefault="00D80D1E" w:rsidP="00D80D1E">
      <w:pPr>
        <w:pStyle w:val="citation"/>
        <w:ind w:left="993" w:hanging="284"/>
      </w:pPr>
      <w:r w:rsidRPr="00BB6E24">
        <w:t>3.</w:t>
      </w:r>
      <w:r w:rsidRPr="00BB6E24">
        <w:tab/>
        <w:t>Déchirure partielle du tendon du sous-scapulaire.</w:t>
      </w:r>
    </w:p>
    <w:p w:rsidR="00D80D1E" w:rsidRPr="00BB6E24" w:rsidRDefault="00D80D1E" w:rsidP="00D80D1E">
      <w:pPr>
        <w:pStyle w:val="citation"/>
        <w:ind w:left="993" w:hanging="284"/>
      </w:pPr>
      <w:r w:rsidRPr="00BB6E24">
        <w:t>4.</w:t>
      </w:r>
      <w:r w:rsidRPr="00BB6E24">
        <w:tab/>
        <w:t>Tendinite et tendinose des différents tendons de la coiffe des rotateurs avec des signes de tendinopathie chronique.</w:t>
      </w:r>
    </w:p>
    <w:p w:rsidR="00D80D1E" w:rsidRPr="00BB6E24" w:rsidRDefault="00D80D1E" w:rsidP="00D80D1E">
      <w:pPr>
        <w:pStyle w:val="citation"/>
        <w:ind w:left="993" w:hanging="284"/>
      </w:pPr>
      <w:r w:rsidRPr="00BB6E24">
        <w:t>5.</w:t>
      </w:r>
      <w:r w:rsidRPr="00BB6E24">
        <w:tab/>
        <w:t>Arthrose acromioclaviculaire avec décalage inférieur de l’acromion favorisant un syndrome d’accrochage.</w:t>
      </w:r>
    </w:p>
    <w:p w:rsidR="00D80D1E" w:rsidRPr="00BB6E24" w:rsidRDefault="00D80D1E" w:rsidP="00D80D1E">
      <w:pPr>
        <w:pStyle w:val="citation"/>
      </w:pPr>
    </w:p>
    <w:p w:rsidR="00D80D1E" w:rsidRPr="00BB6E24" w:rsidRDefault="00D80D1E" w:rsidP="00D80D1E">
      <w:pPr>
        <w:pStyle w:val="citation"/>
        <w:spacing w:after="360"/>
      </w:pPr>
      <w:r w:rsidRPr="00BB6E24">
        <w:rPr>
          <w:sz w:val="24"/>
          <w:szCs w:val="24"/>
        </w:rPr>
        <w:t>[Transcription textuelle]</w:t>
      </w:r>
    </w:p>
    <w:p w:rsidR="00D80D1E" w:rsidRPr="00BB6E24" w:rsidRDefault="00D80D1E" w:rsidP="00D80D1E">
      <w:pPr>
        <w:pStyle w:val="corpsdedcision"/>
      </w:pPr>
      <w:r w:rsidRPr="00BB6E24">
        <w:t xml:space="preserve">Le 12 novembre 2015, la docteure Porlier </w:t>
      </w:r>
      <w:r w:rsidR="00A45F2E">
        <w:t>rencontre le travailleur dans le cadre du</w:t>
      </w:r>
      <w:r w:rsidRPr="00BB6E24">
        <w:t xml:space="preserve"> suivi </w:t>
      </w:r>
      <w:r w:rsidR="00A45F2E">
        <w:t>de sa</w:t>
      </w:r>
      <w:r w:rsidRPr="00BB6E24">
        <w:t xml:space="preserve"> tendinite </w:t>
      </w:r>
      <w:r w:rsidR="00A45F2E">
        <w:t xml:space="preserve">au niveau de la </w:t>
      </w:r>
      <w:r w:rsidRPr="00BB6E24">
        <w:t xml:space="preserve">coiffe. </w:t>
      </w:r>
      <w:r w:rsidR="00A45F2E">
        <w:t xml:space="preserve">Elle mentionne que les résonances magnétiques ont mis en évidence, en plus de la tendinopathie, des déchirures au niveau des deux épaules. Elle discute avec le travailleur de la </w:t>
      </w:r>
      <w:r w:rsidR="00993305">
        <w:t xml:space="preserve">pertinence de pratiquer une arthroscopie </w:t>
      </w:r>
      <w:r w:rsidR="00A45F2E">
        <w:t xml:space="preserve">et note que le travailleur devrait y réfléchir. Elle propose de le voir à nouveau au mois de janvier. Elle prescrit par la même occasion de la physiothérapie. </w:t>
      </w:r>
    </w:p>
    <w:p w:rsidR="000E0264" w:rsidRPr="00BB6E24" w:rsidRDefault="000E0264" w:rsidP="00595A50">
      <w:pPr>
        <w:pStyle w:val="corpsdedcision"/>
      </w:pPr>
      <w:r w:rsidRPr="00BB6E24">
        <w:t xml:space="preserve">Le 7 janvier 2016, la docteure </w:t>
      </w:r>
      <w:r w:rsidR="00DF2F9C" w:rsidRPr="00BB6E24">
        <w:t xml:space="preserve">Fournelle </w:t>
      </w:r>
      <w:r w:rsidRPr="00BB6E24">
        <w:t>a inscrit le travailleur sur une liste afin de planifier une intervention chirurgicale au niveau de son épaule.</w:t>
      </w:r>
      <w:r w:rsidR="00AE3DE2" w:rsidRPr="00BB6E24">
        <w:t xml:space="preserve"> </w:t>
      </w:r>
    </w:p>
    <w:p w:rsidR="00AE3DE2" w:rsidRPr="00BB6E24" w:rsidRDefault="00AE3DE2" w:rsidP="00595A50">
      <w:pPr>
        <w:pStyle w:val="corpsdedcision"/>
      </w:pPr>
      <w:r w:rsidRPr="00BB6E24">
        <w:t xml:space="preserve">Le 7 mai 2016, un médecin note que le travailleur se plaint toujours de douleurs persistantes au niveau des épaules qui le réveillent la nuit. Il  note que la radiographie a mis en évidence une arthrose légère bilatérale. </w:t>
      </w:r>
    </w:p>
    <w:p w:rsidR="002A5A0B" w:rsidRPr="00BB6E24" w:rsidRDefault="00D80D1E" w:rsidP="002A5A0B">
      <w:pPr>
        <w:pStyle w:val="corpsdedcision"/>
      </w:pPr>
      <w:r w:rsidRPr="00BB6E24">
        <w:t>Le 1</w:t>
      </w:r>
      <w:r w:rsidR="002A5A0B" w:rsidRPr="00BB6E24">
        <w:t>2</w:t>
      </w:r>
      <w:r w:rsidRPr="00BB6E24">
        <w:t xml:space="preserve"> mai 2016, la docteure Fournelle complète un rapport médical dans lequel elle indique que le travailleur est atteint d’une déchirure du s</w:t>
      </w:r>
      <w:r w:rsidR="00DF2F9C" w:rsidRPr="00BB6E24">
        <w:t>us</w:t>
      </w:r>
      <w:r w:rsidRPr="00BB6E24">
        <w:t>-épineux d</w:t>
      </w:r>
      <w:r w:rsidR="00DF2F9C" w:rsidRPr="00BB6E24">
        <w:t>e la</w:t>
      </w:r>
      <w:r w:rsidRPr="00BB6E24">
        <w:t xml:space="preserve"> coiffe des rotateurs </w:t>
      </w:r>
      <w:r w:rsidR="00DF2F9C" w:rsidRPr="00BB6E24">
        <w:t>au niveau des épaules droite et gauche. Elle prescrit alors une intervention chirurgicale suivie par la physiothérapie et la réadaptation. Elle prévoit une période d’incapacité de l’ordre de six mois.</w:t>
      </w:r>
      <w:r w:rsidR="00182285" w:rsidRPr="00BB6E24">
        <w:t xml:space="preserve"> </w:t>
      </w:r>
    </w:p>
    <w:p w:rsidR="00CA2C20" w:rsidRPr="00BB6E24" w:rsidRDefault="00182285" w:rsidP="00595A50">
      <w:pPr>
        <w:pStyle w:val="corpsdedcision"/>
      </w:pPr>
      <w:r w:rsidRPr="00BB6E24">
        <w:t xml:space="preserve">Le </w:t>
      </w:r>
      <w:r w:rsidR="009E4246" w:rsidRPr="00BB6E24">
        <w:t>17 mai 2016</w:t>
      </w:r>
      <w:r w:rsidRPr="00BB6E24">
        <w:t>, la docteur</w:t>
      </w:r>
      <w:r w:rsidR="00806E1F">
        <w:t>e</w:t>
      </w:r>
      <w:r w:rsidRPr="00BB6E24">
        <w:t xml:space="preserve"> Fournelle procède à une intervention en vue d’effectuer une réinsertion </w:t>
      </w:r>
      <w:r w:rsidR="00CA2C20" w:rsidRPr="00BB6E24">
        <w:t xml:space="preserve">de la coiffe des rotateurs à l’aide de deux ancrages au niveau de l’épaule gauche. Elle rapporte que la procédure a bien été tolérée par le travailleur. </w:t>
      </w:r>
    </w:p>
    <w:p w:rsidR="002A5A0B" w:rsidRPr="00BB6E24" w:rsidRDefault="002A5A0B" w:rsidP="00595A50">
      <w:pPr>
        <w:pStyle w:val="corpsdedcision"/>
      </w:pPr>
      <w:r w:rsidRPr="00BB6E24">
        <w:t xml:space="preserve">Le 20 mai 2016, le travailleur discute de sa condition avec l’agente d’indemnisation. Cette dernière consigne aux notes évolutives que le travailleur l’informe que depuis quelques années, la douleur à son épaule gauche est revenue. Il mentionne que la douleur vient et repart, dépendamment de la nature de son travail. Il précise : </w:t>
      </w:r>
    </w:p>
    <w:p w:rsidR="002A5A0B" w:rsidRPr="00BB6E24" w:rsidRDefault="002A5A0B" w:rsidP="002A5A0B">
      <w:pPr>
        <w:pStyle w:val="citation"/>
      </w:pPr>
      <w:r w:rsidRPr="00BB6E24">
        <w:t>Lorsqu’il garde les bras dans les airs trop longtemps ou lorsqu’il fait un travail plus physique, une douleur vive s’installe pour le restant de la journée. Parfois, T. n’avait pas de douleur. Les journées n’étaient jamais pareille.</w:t>
      </w:r>
    </w:p>
    <w:p w:rsidR="002A5A0B" w:rsidRPr="00BB6E24" w:rsidRDefault="002A5A0B" w:rsidP="002A5A0B">
      <w:pPr>
        <w:pStyle w:val="citation"/>
      </w:pPr>
    </w:p>
    <w:p w:rsidR="002A5A0B" w:rsidRPr="00BB6E24" w:rsidRDefault="002A5A0B" w:rsidP="002A5A0B">
      <w:pPr>
        <w:pStyle w:val="citation"/>
      </w:pPr>
      <w:r w:rsidRPr="00BB6E24">
        <w:t>T a été en physio plusieurs fois pour essayer de pallier la douleur. T est allé en clinique privé et à l’hôpital. Il rajoute qu’au début cela l’aidait mais qu’après il ne voulait aucune amélioration. T me dit qu’il a tout essayer; glace, physio, AINS, crème analgésique et que rien ne fonctionnait, la douleur était toujours présente et qu’il ne pouvait plus lever son bras plus de 45 degré.</w:t>
      </w:r>
    </w:p>
    <w:p w:rsidR="002A5A0B" w:rsidRPr="00BB6E24" w:rsidRDefault="002A5A0B" w:rsidP="002A5A0B">
      <w:pPr>
        <w:pStyle w:val="citation"/>
      </w:pPr>
    </w:p>
    <w:p w:rsidR="002A5A0B" w:rsidRPr="00BB6E24" w:rsidRDefault="002A5A0B" w:rsidP="002A5A0B">
      <w:pPr>
        <w:pStyle w:val="citation"/>
      </w:pPr>
      <w:r w:rsidRPr="00BB6E24">
        <w:t>La douleur devenait de plus en plus insupportable, c’est pourquoi T a consulté son médecin. Celui-ci lui a fait passer un IRM qui constatait que T avait une déchirure du tendon de la coiffe du rotateur.</w:t>
      </w:r>
      <w:r w:rsidR="009E4246" w:rsidRPr="00BB6E24">
        <w:t xml:space="preserve"> […]</w:t>
      </w:r>
    </w:p>
    <w:p w:rsidR="009E4246" w:rsidRPr="00BB6E24" w:rsidRDefault="009E4246" w:rsidP="002A5A0B">
      <w:pPr>
        <w:pStyle w:val="citation"/>
      </w:pPr>
    </w:p>
    <w:p w:rsidR="009E4246" w:rsidRPr="00BB6E24" w:rsidRDefault="009E4246" w:rsidP="009E4246">
      <w:pPr>
        <w:pStyle w:val="citation"/>
        <w:spacing w:after="360"/>
      </w:pPr>
      <w:r w:rsidRPr="00BB6E24">
        <w:rPr>
          <w:sz w:val="24"/>
          <w:szCs w:val="24"/>
        </w:rPr>
        <w:t>[Transcription textuelle]</w:t>
      </w:r>
    </w:p>
    <w:p w:rsidR="009E4246" w:rsidRPr="00BB6E24" w:rsidRDefault="009E4246" w:rsidP="00595A50">
      <w:pPr>
        <w:pStyle w:val="corpsdedcision"/>
      </w:pPr>
      <w:r w:rsidRPr="00BB6E24">
        <w:t>Le 25 mai 2016, le médecin-conseil de la Commission analyse la réclamation du travailleur et conclut qu’il présente une condition personnelle, c’est-à-dire une atteinte dégénérative symétrique aux deux épaules qui a évolué au cours du temps.  Elle note ce qui suit :</w:t>
      </w:r>
    </w:p>
    <w:p w:rsidR="009E4246" w:rsidRPr="00BB6E24" w:rsidRDefault="009E4246" w:rsidP="009E4246">
      <w:pPr>
        <w:pStyle w:val="citation"/>
      </w:pPr>
      <w:r w:rsidRPr="00BB6E24">
        <w:t>[…]</w:t>
      </w:r>
    </w:p>
    <w:p w:rsidR="009E4246" w:rsidRPr="00BB6E24" w:rsidRDefault="009E4246" w:rsidP="009E4246">
      <w:pPr>
        <w:pStyle w:val="citation"/>
      </w:pPr>
    </w:p>
    <w:p w:rsidR="009E4246" w:rsidRPr="00BB6E24" w:rsidRDefault="009E4246" w:rsidP="009E4246">
      <w:pPr>
        <w:pStyle w:val="citation"/>
      </w:pPr>
      <w:r w:rsidRPr="00BB6E24">
        <w:t>Une telle évolution, avec résolution dans les semaines suivant E.O., est compatible avec le Dx de bursite traumatique</w:t>
      </w:r>
    </w:p>
    <w:p w:rsidR="009E4246" w:rsidRPr="00BB6E24" w:rsidRDefault="009E4246" w:rsidP="009E4246">
      <w:pPr>
        <w:pStyle w:val="citation"/>
      </w:pPr>
      <w:r w:rsidRPr="00BB6E24">
        <w:t>Il s’ensuit un silence médical de plus de 20 ans en regard de l’épaule gauche</w:t>
      </w:r>
    </w:p>
    <w:p w:rsidR="009E4246" w:rsidRPr="00BB6E24" w:rsidRDefault="009E4246" w:rsidP="009E4246">
      <w:pPr>
        <w:pStyle w:val="citation"/>
      </w:pPr>
    </w:p>
    <w:p w:rsidR="009E4246" w:rsidRPr="00BB6E24" w:rsidRDefault="009E4246" w:rsidP="009E4246">
      <w:pPr>
        <w:pStyle w:val="citation"/>
      </w:pPr>
      <w:r w:rsidRPr="00BB6E24">
        <w:t>T est évalué en 2009 et encore en 2011 pour un problème personnel de tendinite à l’épaule droite</w:t>
      </w:r>
    </w:p>
    <w:p w:rsidR="009E4246" w:rsidRPr="00BB6E24" w:rsidRDefault="009E4246" w:rsidP="009E4246">
      <w:pPr>
        <w:pStyle w:val="citation"/>
      </w:pPr>
      <w:r w:rsidRPr="00BB6E24">
        <w:t xml:space="preserve">T consulte Dr Fournelle, ortho, en juillet 2015 soit plus de 23 ans après le consolidation de sa lésion traumatique à l’épaule gauche en se plaignant alors de douleurs aux 2 épaules depuis </w:t>
      </w:r>
      <w:r w:rsidR="00FB394E" w:rsidRPr="00BB6E24">
        <w:rPr>
          <w:rFonts w:cs="Arial"/>
        </w:rPr>
        <w:t>"</w:t>
      </w:r>
      <w:r w:rsidRPr="00BB6E24">
        <w:t>plusieurs</w:t>
      </w:r>
      <w:r w:rsidR="00FB394E" w:rsidRPr="00BB6E24">
        <w:rPr>
          <w:rFonts w:cs="Arial"/>
        </w:rPr>
        <w:t>"</w:t>
      </w:r>
      <w:r w:rsidRPr="00BB6E24">
        <w:t xml:space="preserve"> années</w:t>
      </w:r>
    </w:p>
    <w:p w:rsidR="009E4246" w:rsidRPr="00BB6E24" w:rsidRDefault="009E4246" w:rsidP="009E4246">
      <w:pPr>
        <w:pStyle w:val="citation"/>
      </w:pPr>
      <w:r w:rsidRPr="00BB6E24">
        <w:t>Dr Fournell</w:t>
      </w:r>
      <w:r w:rsidR="004E1163">
        <w:t>e note alors une mobilité complè</w:t>
      </w:r>
      <w:r w:rsidRPr="00BB6E24">
        <w:t>te bilatérale et une force de la coiffe jugée OK et elle conclut à un Dx de tendinite chronique de la coiffe droite et gauche</w:t>
      </w:r>
    </w:p>
    <w:p w:rsidR="009E4246" w:rsidRPr="00BB6E24" w:rsidRDefault="009E4246" w:rsidP="009E4246">
      <w:pPr>
        <w:pStyle w:val="citation"/>
      </w:pPr>
      <w:r w:rsidRPr="00BB6E24">
        <w:t>Des IRM faits des deux épaules en septembre et octobre 2015 démontrent :</w:t>
      </w:r>
    </w:p>
    <w:p w:rsidR="009E4246" w:rsidRPr="00BB6E24" w:rsidRDefault="009E4246" w:rsidP="009E4246">
      <w:pPr>
        <w:pStyle w:val="citation"/>
      </w:pPr>
      <w:r w:rsidRPr="00BB6E24">
        <w:t>- à l’épaule droite une condition personnelle dégénérative avec des signes de tendinite ou tendinopathie avec déchirure complexe du sus-épineux, déchirures partielles du sous-épineux et du sous-scapulaire, tendinopathie LPB, arthrose gléno-humérale et A/C avec signes d’accrochage</w:t>
      </w:r>
    </w:p>
    <w:p w:rsidR="009E4246" w:rsidRPr="00BB6E24" w:rsidRDefault="009E4246" w:rsidP="009E4246">
      <w:pPr>
        <w:pStyle w:val="citation"/>
      </w:pPr>
      <w:r w:rsidRPr="00BB6E24">
        <w:t>- à l’épaule gauche une condition assez comparable à celle de l’épaule droite, soit des signes de tendinites chroniques avec une déchirure complexe du sus-épineux, des déchirures partielles des sous-épineux et sous scapulaire, arthr</w:t>
      </w:r>
      <w:r w:rsidR="004E1163">
        <w:t>ose A/C fa</w:t>
      </w:r>
      <w:r w:rsidRPr="00BB6E24">
        <w:t>vorisant un syndrome d’accrochage</w:t>
      </w:r>
    </w:p>
    <w:p w:rsidR="009E4246" w:rsidRPr="00BB6E24" w:rsidRDefault="009E4246" w:rsidP="009E4246">
      <w:pPr>
        <w:pStyle w:val="citation"/>
      </w:pPr>
    </w:p>
    <w:p w:rsidR="009E4246" w:rsidRPr="00BB6E24" w:rsidRDefault="009E4246" w:rsidP="009E4246">
      <w:pPr>
        <w:pStyle w:val="citation"/>
      </w:pPr>
      <w:r w:rsidRPr="00BB6E24">
        <w:t>[…]</w:t>
      </w:r>
    </w:p>
    <w:p w:rsidR="009E4246" w:rsidRPr="00BB6E24" w:rsidRDefault="009E4246" w:rsidP="009E4246">
      <w:pPr>
        <w:pStyle w:val="citation"/>
      </w:pPr>
    </w:p>
    <w:p w:rsidR="009E4246" w:rsidRPr="00BB6E24" w:rsidRDefault="009E4246" w:rsidP="009E4246">
      <w:pPr>
        <w:pStyle w:val="citation"/>
        <w:spacing w:after="360"/>
      </w:pPr>
      <w:r w:rsidRPr="00BB6E24">
        <w:rPr>
          <w:sz w:val="24"/>
          <w:szCs w:val="24"/>
        </w:rPr>
        <w:t>[Transcription textuelle]</w:t>
      </w:r>
    </w:p>
    <w:p w:rsidR="009E025A" w:rsidRPr="00BB6E24" w:rsidRDefault="009E025A" w:rsidP="00595A50">
      <w:pPr>
        <w:pStyle w:val="corpsdedcision"/>
      </w:pPr>
      <w:r w:rsidRPr="00BB6E24">
        <w:t>Le 26 mai 2016, l’agente d’indemnisation analyse la réclamation du travailleur et conclut que celui-ci n’a pas fait la démonstration d’une détérioration objective de sa santé en relation avec l’accident d’origine</w:t>
      </w:r>
      <w:r w:rsidR="007D4727">
        <w:t xml:space="preserve"> survenu en 1991</w:t>
      </w:r>
      <w:r w:rsidRPr="00BB6E24">
        <w:t xml:space="preserve">. Elle refuse donc la réclamation du travailleur en vue de faire reconnaître une </w:t>
      </w:r>
      <w:r w:rsidRPr="00BB6E24">
        <w:rPr>
          <w:bCs/>
        </w:rPr>
        <w:t>récidive, rechute ou aggravation survenue le 12 mai 2016.</w:t>
      </w:r>
    </w:p>
    <w:p w:rsidR="00182285" w:rsidRPr="00BB6E24" w:rsidRDefault="00CA2C20" w:rsidP="00595A50">
      <w:pPr>
        <w:pStyle w:val="corpsdedcision"/>
      </w:pPr>
      <w:r w:rsidRPr="00BB6E24">
        <w:t xml:space="preserve">Le 25 octobre 2016, la docteure Fournelle </w:t>
      </w:r>
      <w:r w:rsidR="009E4045" w:rsidRPr="00BB6E24">
        <w:t xml:space="preserve">complète un rapport médical dans lequel elle prévoit une date de consolidation de la lésion au niveau de l’épaule gauche dans une période de cinq semaines. Elle indique que les exercices de renforcement sont en cours et que la physiothérapeute rapporte une évolution constante et favorable. Elle prévoit un retour au travail vers le 5 décembre 2016. </w:t>
      </w:r>
    </w:p>
    <w:p w:rsidR="009E4045" w:rsidRPr="00BB6E24" w:rsidRDefault="009E4045" w:rsidP="00595A50">
      <w:pPr>
        <w:pStyle w:val="corpsdedcision"/>
      </w:pPr>
      <w:r w:rsidRPr="00BB6E24">
        <w:t xml:space="preserve">À l’audience, différents extraits de littérature médicale ont été déposés. Dans l’œuvre </w:t>
      </w:r>
      <w:r w:rsidRPr="00BB6E24">
        <w:rPr>
          <w:i/>
        </w:rPr>
        <w:t>Pathologie médicale de l’appareil locomoteur</w:t>
      </w:r>
      <w:r w:rsidR="00E7442E" w:rsidRPr="00BB6E24">
        <w:t>,</w:t>
      </w:r>
      <w:r w:rsidRPr="00BB6E24">
        <w:rPr>
          <w:rStyle w:val="Appelnotedebasdep"/>
        </w:rPr>
        <w:footnoteReference w:id="2"/>
      </w:r>
      <w:r w:rsidR="00E7442E" w:rsidRPr="00BB6E24">
        <w:rPr>
          <w:i/>
        </w:rPr>
        <w:t xml:space="preserve"> </w:t>
      </w:r>
      <w:r w:rsidR="00E7442E" w:rsidRPr="00BB6E24">
        <w:t>le représentant du travailleur se réfère au chapitre 11</w:t>
      </w:r>
      <w:r w:rsidR="00142085">
        <w:t>, intitulé</w:t>
      </w:r>
      <w:r w:rsidR="00E7442E" w:rsidRPr="00BB6E24">
        <w:t xml:space="preserve"> « l’épaule ». Cette littérature indique que le risque </w:t>
      </w:r>
      <w:r w:rsidR="00806E1F">
        <w:t>de</w:t>
      </w:r>
      <w:r w:rsidR="00E7442E" w:rsidRPr="00BB6E24">
        <w:t xml:space="preserve"> la tendinopathie à l’épaule s</w:t>
      </w:r>
      <w:r w:rsidR="00806E1F">
        <w:t>erai</w:t>
      </w:r>
      <w:r w:rsidR="00E7442E" w:rsidRPr="00BB6E24">
        <w:t>t principalement lié à des activités nécessitant le maintien de postures statiques, la manutention de charges et l’exécution répétée de mouvements de l’épaule ou de la main.</w:t>
      </w:r>
      <w:r w:rsidR="006C16E5" w:rsidRPr="00BB6E24">
        <w:t xml:space="preserve"> </w:t>
      </w:r>
    </w:p>
    <w:p w:rsidR="006C16E5" w:rsidRPr="00BB6E24" w:rsidRDefault="006C16E5" w:rsidP="006C16E5">
      <w:pPr>
        <w:pStyle w:val="citation"/>
        <w:pBdr>
          <w:bottom w:val="single" w:sz="4" w:space="1" w:color="auto"/>
        </w:pBdr>
      </w:pPr>
      <w:r w:rsidRPr="00BB6E24">
        <w:t>Principaux facteurs de risque professionnels associés à la tendinopathie de la coiffe des rotateurs</w:t>
      </w:r>
      <w:r w:rsidRPr="00BB6E24">
        <w:rPr>
          <w:vertAlign w:val="superscript"/>
        </w:rPr>
        <w:t>62</w:t>
      </w:r>
      <w:r w:rsidRPr="00BB6E24">
        <w:t xml:space="preserve">, </w:t>
      </w:r>
      <w:r w:rsidRPr="00BB6E24">
        <w:rPr>
          <w:vertAlign w:val="superscript"/>
        </w:rPr>
        <w:t>63</w:t>
      </w:r>
      <w:r w:rsidRPr="00BB6E24">
        <w:t xml:space="preserve">, </w:t>
      </w:r>
      <w:r w:rsidRPr="00BB6E24">
        <w:rPr>
          <w:vertAlign w:val="superscript"/>
        </w:rPr>
        <w:t>65</w:t>
      </w:r>
      <w:r w:rsidRPr="00BB6E24">
        <w:t>,</w:t>
      </w:r>
      <w:r w:rsidRPr="00BB6E24">
        <w:rPr>
          <w:vertAlign w:val="superscript"/>
        </w:rPr>
        <w:t>66</w:t>
      </w:r>
    </w:p>
    <w:p w:rsidR="006C16E5" w:rsidRPr="00BB6E24" w:rsidRDefault="00006D80" w:rsidP="00006D80">
      <w:pPr>
        <w:pStyle w:val="citation"/>
        <w:ind w:left="907" w:hanging="198"/>
      </w:pPr>
      <w:r w:rsidRPr="00BB6E24">
        <w:t>•</w:t>
      </w:r>
      <w:r w:rsidRPr="00BB6E24">
        <w:tab/>
      </w:r>
      <w:r w:rsidR="006C16E5" w:rsidRPr="00BB6E24">
        <w:t>Postures répétées ou maintenues</w:t>
      </w:r>
      <w:r w:rsidR="0060499F" w:rsidRPr="00BB6E24">
        <w:t xml:space="preserve"> &gt; 60</w:t>
      </w:r>
      <w:r w:rsidR="0060499F" w:rsidRPr="00BB6E24">
        <w:rPr>
          <w:vertAlign w:val="superscript"/>
        </w:rPr>
        <w:t>o</w:t>
      </w:r>
      <w:r w:rsidR="006C16E5" w:rsidRPr="00BB6E24">
        <w:t xml:space="preserve"> de flexion antérieure ou d’abduction</w:t>
      </w:r>
    </w:p>
    <w:p w:rsidR="006C16E5" w:rsidRPr="00BB6E24" w:rsidRDefault="006C16E5" w:rsidP="00006D80">
      <w:pPr>
        <w:pStyle w:val="citation"/>
        <w:ind w:left="907" w:hanging="198"/>
      </w:pPr>
      <w:r w:rsidRPr="00BB6E24">
        <w:t>•</w:t>
      </w:r>
      <w:r w:rsidR="00006D80" w:rsidRPr="00BB6E24">
        <w:tab/>
      </w:r>
      <w:r w:rsidRPr="00BB6E24">
        <w:t>Travail avec mouvements répétitifs des poignets ou des mains</w:t>
      </w:r>
    </w:p>
    <w:p w:rsidR="006C16E5" w:rsidRPr="00BB6E24" w:rsidRDefault="0060499F" w:rsidP="0060499F">
      <w:pPr>
        <w:pStyle w:val="citation"/>
        <w:ind w:left="918" w:hanging="198"/>
      </w:pPr>
      <w:r w:rsidRPr="00BB6E24">
        <w:t>•</w:t>
      </w:r>
      <w:r w:rsidRPr="00BB6E24">
        <w:tab/>
      </w:r>
      <w:r w:rsidR="006C16E5" w:rsidRPr="00BB6E24">
        <w:t>Travail avec la main plus haut que l’épaule</w:t>
      </w:r>
    </w:p>
    <w:p w:rsidR="006C16E5" w:rsidRPr="00BB6E24" w:rsidRDefault="0060499F" w:rsidP="0060499F">
      <w:pPr>
        <w:pStyle w:val="citation"/>
        <w:ind w:left="918" w:hanging="198"/>
      </w:pPr>
      <w:r w:rsidRPr="00BB6E24">
        <w:t>•</w:t>
      </w:r>
      <w:r w:rsidRPr="00BB6E24">
        <w:tab/>
      </w:r>
      <w:r w:rsidR="006C16E5" w:rsidRPr="00BB6E24">
        <w:t>Travail nécessitant des mouvements de rotation ou d’extension du bras</w:t>
      </w:r>
    </w:p>
    <w:p w:rsidR="0060499F" w:rsidRPr="00BB6E24" w:rsidRDefault="0060499F" w:rsidP="006C16E5">
      <w:pPr>
        <w:pStyle w:val="citation"/>
      </w:pPr>
    </w:p>
    <w:p w:rsidR="006C16E5" w:rsidRPr="00BB6E24" w:rsidRDefault="006C16E5" w:rsidP="00993305">
      <w:pPr>
        <w:pStyle w:val="citation"/>
        <w:ind w:left="709" w:firstLine="284"/>
      </w:pPr>
      <w:r w:rsidRPr="00BB6E24">
        <w:t>Uniquement pour soutenir le bras, qui représente environ 5 % du poids corporel, et lutter contre la gravité, l’épaule est soumise à une charge mécanique qui s’exprime souvent en pourcentage de la contraction volontaire maximale (CVM). Le niveau de cette charge indique le niveau de sollicitation de l’épaule et varie selon la posture du bras et le poids de l’objet manipulé.</w:t>
      </w:r>
      <w:r w:rsidR="0060499F" w:rsidRPr="00BB6E24">
        <w:t xml:space="preserve"> </w:t>
      </w:r>
      <w:r w:rsidRPr="00BB6E24">
        <w:t>[…]</w:t>
      </w:r>
      <w:r w:rsidR="0060499F" w:rsidRPr="00BB6E24">
        <w:t xml:space="preserve"> </w:t>
      </w:r>
      <w:r w:rsidRPr="00BB6E24">
        <w:t xml:space="preserve">Plus le bras est éloigné du corps, plus la charge mécanique sur l’articulation de l’épaule est importante, à cause de l’effet de bras de levier. Dans le cas de la manipulation d’une charge, l’impact sur l’articulation de l’épaule sera plus important. […] </w:t>
      </w:r>
      <w:r w:rsidR="0060499F" w:rsidRPr="00BB6E24">
        <w:t>Cette charge qui s’exerce sur l’articulation gléno-humérale est transmise à la scapula et à son principal muscle stabilisateur, la portion supérieure du trapèze</w:t>
      </w:r>
      <w:r w:rsidR="0060499F" w:rsidRPr="00BB6E24">
        <w:rPr>
          <w:vertAlign w:val="superscript"/>
        </w:rPr>
        <w:t>62-64’ 67, 68</w:t>
      </w:r>
      <w:r w:rsidR="0060499F" w:rsidRPr="00BB6E24">
        <w:t>.</w:t>
      </w:r>
    </w:p>
    <w:p w:rsidR="0060499F" w:rsidRPr="00BB6E24" w:rsidRDefault="0060499F" w:rsidP="006C16E5">
      <w:pPr>
        <w:pStyle w:val="citation"/>
      </w:pPr>
    </w:p>
    <w:p w:rsidR="0060499F" w:rsidRPr="00BB6E24" w:rsidRDefault="0060499F" w:rsidP="00D86306">
      <w:pPr>
        <w:pStyle w:val="citation"/>
        <w:ind w:left="709" w:firstLine="284"/>
      </w:pPr>
      <w:r w:rsidRPr="00BB6E24">
        <w:t>Des forces de friction et de compression peuvent également s’exercer sur les tendons de la coiffe des rotateurs lors de l’élévation ou de l’abduction du bras, au passage sous la voûte coraco-acromlale</w:t>
      </w:r>
      <w:r w:rsidRPr="00BB6E24">
        <w:rPr>
          <w:vertAlign w:val="superscript"/>
        </w:rPr>
        <w:t>62-64</w:t>
      </w:r>
      <w:r w:rsidRPr="00BB6E24">
        <w:t>.</w:t>
      </w:r>
    </w:p>
    <w:p w:rsidR="0060499F" w:rsidRPr="00BB6E24" w:rsidRDefault="0060499F" w:rsidP="0060499F">
      <w:pPr>
        <w:pStyle w:val="citation"/>
        <w:ind w:left="709" w:firstLine="131"/>
      </w:pPr>
    </w:p>
    <w:p w:rsidR="0060499F" w:rsidRDefault="0060499F" w:rsidP="00D86306">
      <w:pPr>
        <w:pStyle w:val="citation"/>
        <w:ind w:firstLine="273"/>
      </w:pPr>
      <w:r w:rsidRPr="00BB6E24">
        <w:t>Au point de vue physiologique, la circulation au niveau des tendons de la coiffe des rotateurs est affectée lorsque la tension dans le muscle s’élève, particulièrement lors d’une contraction statique ou isométrique. Elle est affectée de façon inversement proportionnelle à la tension musculaire et commence à diminuer lorsque l’angle de flexion ou d’abduction dépasse 30° (figure 11.22)</w:t>
      </w:r>
      <w:r w:rsidRPr="00BB6E24">
        <w:rPr>
          <w:vertAlign w:val="superscript"/>
        </w:rPr>
        <w:t>62,63, 66</w:t>
      </w:r>
      <w:r w:rsidRPr="00BB6E24">
        <w:t>. La perturbation de la circulation sanguine est un des facteurs proposés dans la physiopathologie de la tendinopathie de la coiffe des rotateurs.</w:t>
      </w:r>
    </w:p>
    <w:p w:rsidR="00D86306" w:rsidRDefault="00D86306" w:rsidP="00D86306">
      <w:pPr>
        <w:pStyle w:val="citation"/>
        <w:ind w:firstLine="273"/>
      </w:pPr>
    </w:p>
    <w:p w:rsidR="00D86306" w:rsidRPr="00BB6E24" w:rsidRDefault="00D86306" w:rsidP="00D86306">
      <w:pPr>
        <w:pStyle w:val="citation"/>
        <w:ind w:firstLine="273"/>
      </w:pPr>
      <w:r>
        <w:t>Le niveau de risque est considéré élevé pour une tendinopathie de la coiffe des rotateurs si la posture du bras en flexion ou en abduction est de plus de 60</w:t>
      </w:r>
      <w:r w:rsidRPr="00BB6E24">
        <w:t>°</w:t>
      </w:r>
      <w:r>
        <w:t xml:space="preserve"> ou si la fréquence de mouvements du bras se situe au-delà de deux par minute. À des fins de prévention, il est recommandé de soutenir le bras et de limiter la durée de maintien de la posture lorsque le travail s’effectue avec le bras entre 20</w:t>
      </w:r>
      <w:r w:rsidRPr="00BB6E24">
        <w:t>°</w:t>
      </w:r>
      <w:r>
        <w:t xml:space="preserve"> et 60</w:t>
      </w:r>
      <w:r w:rsidRPr="00BB6E24">
        <w:t>°</w:t>
      </w:r>
      <w:r>
        <w:t xml:space="preserve"> de flexion ou d’abduction. De façon générale, il est souhaitable que la main travaille le plus souvent dans une zone pas trop éloignée du corps. […]</w:t>
      </w:r>
    </w:p>
    <w:p w:rsidR="0060499F" w:rsidRPr="00BB6E24" w:rsidRDefault="0060499F" w:rsidP="006C16E5">
      <w:pPr>
        <w:pStyle w:val="citation"/>
      </w:pPr>
    </w:p>
    <w:p w:rsidR="0060499F" w:rsidRPr="00BB6E24" w:rsidRDefault="00EF3FC9" w:rsidP="007D4727">
      <w:pPr>
        <w:pStyle w:val="citation"/>
        <w:spacing w:after="360"/>
        <w:rPr>
          <w:sz w:val="24"/>
          <w:szCs w:val="24"/>
        </w:rPr>
      </w:pPr>
      <w:r w:rsidRPr="00BB6E24">
        <w:rPr>
          <w:sz w:val="24"/>
          <w:szCs w:val="24"/>
        </w:rPr>
        <w:t>[Notes omises]</w:t>
      </w:r>
    </w:p>
    <w:p w:rsidR="00EF3FC9" w:rsidRPr="00BB6E24" w:rsidRDefault="00EF3FC9" w:rsidP="007D4727">
      <w:pPr>
        <w:pStyle w:val="corpsdedcision"/>
        <w:tabs>
          <w:tab w:val="clear" w:pos="360"/>
          <w:tab w:val="num" w:pos="720"/>
        </w:tabs>
        <w:spacing w:after="480"/>
      </w:pPr>
      <w:r w:rsidRPr="00BB6E24">
        <w:t xml:space="preserve">Dans un autre article publié </w:t>
      </w:r>
      <w:r w:rsidRPr="00BB6E24">
        <w:rPr>
          <w:i/>
        </w:rPr>
        <w:t>Facteurs de risque et évaluation des troubles musculosquelettique</w:t>
      </w:r>
      <w:r w:rsidRPr="00BB6E24">
        <w:t xml:space="preserve"> </w:t>
      </w:r>
      <w:r w:rsidRPr="00BB6E24">
        <w:rPr>
          <w:i/>
        </w:rPr>
        <w:t>de l’épaule</w:t>
      </w:r>
      <w:r w:rsidRPr="00BB6E24">
        <w:rPr>
          <w:rStyle w:val="Appelnotedebasdep"/>
        </w:rPr>
        <w:footnoteReference w:id="3"/>
      </w:r>
      <w:r w:rsidRPr="00BB6E24">
        <w:t>, le Tribunal prend note de la description des facteurs de risques suivants :</w:t>
      </w:r>
    </w:p>
    <w:p w:rsidR="00EF3FC9" w:rsidRPr="00BB6E24" w:rsidRDefault="00EF3FC9" w:rsidP="00EF3FC9">
      <w:pPr>
        <w:pStyle w:val="citation"/>
      </w:pPr>
      <w:r w:rsidRPr="00BB6E24">
        <w:t xml:space="preserve">[…] Ainsi, plus la main travaille loin en avant du corps, plus la sollicitation de l’articulation de l’épaule est élevée. De même, lorsque la main travaille au-dessus du niveau de l’épaule, la sollicitation est élevée. </w:t>
      </w:r>
    </w:p>
    <w:p w:rsidR="00EF3FC9" w:rsidRPr="00BB6E24" w:rsidRDefault="00EF3FC9" w:rsidP="007D4727">
      <w:pPr>
        <w:pStyle w:val="citation"/>
        <w:spacing w:line="276" w:lineRule="auto"/>
      </w:pPr>
    </w:p>
    <w:p w:rsidR="00EF3FC9" w:rsidRPr="00BB6E24" w:rsidRDefault="00EF3FC9" w:rsidP="00EF3FC9">
      <w:pPr>
        <w:pStyle w:val="citation"/>
      </w:pPr>
      <w:r w:rsidRPr="00BB6E24">
        <w:t>[…]</w:t>
      </w:r>
    </w:p>
    <w:p w:rsidR="00EF3FC9" w:rsidRPr="00BB6E24" w:rsidRDefault="00EF3FC9" w:rsidP="007D4727">
      <w:pPr>
        <w:pStyle w:val="citation"/>
        <w:spacing w:line="276" w:lineRule="auto"/>
      </w:pPr>
    </w:p>
    <w:p w:rsidR="00EF3FC9" w:rsidRPr="00BB6E24" w:rsidRDefault="00EF3FC9" w:rsidP="008F4524">
      <w:pPr>
        <w:pStyle w:val="citation"/>
        <w:ind w:firstLine="273"/>
      </w:pPr>
      <w:r w:rsidRPr="00BB6E24">
        <w:t>Plusieurs études ont confirmé au fil des ans la valeur de ces principes de conception, dont entre autres celle de Miedema, qui décrit le temps maximum de maintien de plusieurs postures statiques</w:t>
      </w:r>
      <w:r w:rsidRPr="00BB6E24">
        <w:rPr>
          <w:vertAlign w:val="superscript"/>
        </w:rPr>
        <w:t>10</w:t>
      </w:r>
      <w:r w:rsidRPr="00BB6E24">
        <w:t>. […]</w:t>
      </w:r>
    </w:p>
    <w:p w:rsidR="00EF3FC9" w:rsidRPr="00BB6E24" w:rsidRDefault="00EF3FC9" w:rsidP="007D4727">
      <w:pPr>
        <w:pStyle w:val="citation"/>
        <w:spacing w:line="276" w:lineRule="auto"/>
      </w:pPr>
    </w:p>
    <w:p w:rsidR="00EF3FC9" w:rsidRPr="00BB6E24" w:rsidRDefault="00EF3FC9" w:rsidP="007D4727">
      <w:pPr>
        <w:pStyle w:val="citation"/>
        <w:numPr>
          <w:ilvl w:val="0"/>
          <w:numId w:val="7"/>
        </w:numPr>
        <w:spacing w:after="120"/>
        <w:ind w:left="907" w:hanging="198"/>
      </w:pPr>
      <w:r w:rsidRPr="00BB6E24">
        <w:t>Postures confortables que l’on recommande de maintenir au maximum deux minutes en continu […];</w:t>
      </w:r>
    </w:p>
    <w:p w:rsidR="00EF3FC9" w:rsidRPr="00BB6E24" w:rsidRDefault="00EF3FC9" w:rsidP="007D4727">
      <w:pPr>
        <w:pStyle w:val="citation"/>
        <w:numPr>
          <w:ilvl w:val="0"/>
          <w:numId w:val="7"/>
        </w:numPr>
        <w:spacing w:after="120"/>
        <w:ind w:left="907" w:hanging="198"/>
      </w:pPr>
      <w:r w:rsidRPr="00BB6E24">
        <w:t>Postures modérées que l’on recommande de maintenir au maximum une minute en continu […];</w:t>
      </w:r>
    </w:p>
    <w:p w:rsidR="00EF3FC9" w:rsidRPr="00BB6E24" w:rsidRDefault="00EF3FC9" w:rsidP="00C5028B">
      <w:pPr>
        <w:pStyle w:val="citation"/>
        <w:numPr>
          <w:ilvl w:val="0"/>
          <w:numId w:val="7"/>
        </w:numPr>
        <w:ind w:left="907" w:hanging="198"/>
      </w:pPr>
      <w:r w:rsidRPr="00BB6E24">
        <w:t>Postures inconfortables dont on ne recommande pas l’adoption […].</w:t>
      </w:r>
    </w:p>
    <w:p w:rsidR="00EF3FC9" w:rsidRPr="00BB6E24" w:rsidRDefault="00EF3FC9" w:rsidP="007D4727">
      <w:pPr>
        <w:pStyle w:val="citation"/>
        <w:spacing w:line="276" w:lineRule="auto"/>
      </w:pPr>
    </w:p>
    <w:p w:rsidR="00C5028B" w:rsidRPr="00BB6E24" w:rsidRDefault="00C5028B" w:rsidP="008F4524">
      <w:pPr>
        <w:pStyle w:val="citation"/>
        <w:ind w:firstLine="273"/>
      </w:pPr>
      <w:r w:rsidRPr="00BB6E24">
        <w:t>Les postures sont définies en fonction de la position de la main exprimée en pourcentage de la hauteur de l’épaule (hauteur à laquelle la main travaille) et en pourcentage de l’atteinte (distance en avant du corps), soit deux mesures anthropométriques couramment utilisées en conception de postes de travail. Les résultats de l’étude Miedema ont servi de base à la norme ISO 11226 sur l’évaluation des postures statiques</w:t>
      </w:r>
      <w:r w:rsidRPr="00BB6E24">
        <w:rPr>
          <w:vertAlign w:val="superscript"/>
        </w:rPr>
        <w:t>11</w:t>
      </w:r>
      <w:r w:rsidRPr="00BB6E24">
        <w:t>. […]</w:t>
      </w:r>
    </w:p>
    <w:p w:rsidR="00C5028B" w:rsidRDefault="00C5028B" w:rsidP="007D4727">
      <w:pPr>
        <w:pStyle w:val="citation"/>
        <w:spacing w:line="276" w:lineRule="auto"/>
      </w:pPr>
    </w:p>
    <w:p w:rsidR="008F4524" w:rsidRDefault="008F4524" w:rsidP="00EF3FC9">
      <w:pPr>
        <w:pStyle w:val="citation"/>
      </w:pPr>
      <w:r w:rsidRPr="00BB6E24">
        <w:t>On peut y noter que l’élévation du bras en flexion ou en abduction au-delà de 60 degrés par rapport à la verticale est inacceptable, que le bras soit supporté ou non. Le temps maximum de maintien de la posture lorsque le bras est élevé à 60 degrés est de une minute.</w:t>
      </w:r>
    </w:p>
    <w:p w:rsidR="008F4524" w:rsidRPr="00BB6E24" w:rsidRDefault="008F4524" w:rsidP="007D4727">
      <w:pPr>
        <w:pStyle w:val="citation"/>
        <w:spacing w:line="276" w:lineRule="auto"/>
      </w:pPr>
    </w:p>
    <w:p w:rsidR="00EF3FC9" w:rsidRPr="00BB6E24" w:rsidRDefault="00EF3FC9" w:rsidP="00C265D5">
      <w:pPr>
        <w:pStyle w:val="citation"/>
        <w:spacing w:after="360"/>
        <w:rPr>
          <w:sz w:val="24"/>
          <w:szCs w:val="24"/>
        </w:rPr>
      </w:pPr>
      <w:r w:rsidRPr="00BB6E24">
        <w:rPr>
          <w:sz w:val="24"/>
          <w:szCs w:val="24"/>
        </w:rPr>
        <w:t>[Note</w:t>
      </w:r>
      <w:r w:rsidR="00C5028B" w:rsidRPr="00BB6E24">
        <w:rPr>
          <w:sz w:val="24"/>
          <w:szCs w:val="24"/>
        </w:rPr>
        <w:t>s</w:t>
      </w:r>
      <w:r w:rsidRPr="00BB6E24">
        <w:rPr>
          <w:sz w:val="24"/>
          <w:szCs w:val="24"/>
        </w:rPr>
        <w:t xml:space="preserve"> omise</w:t>
      </w:r>
      <w:r w:rsidR="00C5028B" w:rsidRPr="00BB6E24">
        <w:rPr>
          <w:sz w:val="24"/>
          <w:szCs w:val="24"/>
        </w:rPr>
        <w:t>s</w:t>
      </w:r>
      <w:r w:rsidRPr="00BB6E24">
        <w:rPr>
          <w:sz w:val="24"/>
          <w:szCs w:val="24"/>
        </w:rPr>
        <w:t>]</w:t>
      </w:r>
    </w:p>
    <w:p w:rsidR="00FD18C4" w:rsidRDefault="00FD18C4" w:rsidP="00C265D5">
      <w:pPr>
        <w:pStyle w:val="corpsdedcision"/>
        <w:tabs>
          <w:tab w:val="clear" w:pos="360"/>
          <w:tab w:val="num" w:pos="720"/>
        </w:tabs>
      </w:pPr>
      <w:r>
        <w:t xml:space="preserve">Dans un article publié sous le titre </w:t>
      </w:r>
      <w:r w:rsidRPr="004F2A8A">
        <w:rPr>
          <w:i/>
        </w:rPr>
        <w:t>Multimedia et Chirurgie, Pathologie de la coiffe des rotateurs de l’épaule</w:t>
      </w:r>
      <w:r w:rsidR="004F2A8A" w:rsidRPr="004F2A8A">
        <w:rPr>
          <w:rStyle w:val="Appelnotedebasdep"/>
        </w:rPr>
        <w:footnoteReference w:id="4"/>
      </w:r>
      <w:r>
        <w:t>, l’auteur décrit les différents stades</w:t>
      </w:r>
      <w:r w:rsidR="004F2A8A">
        <w:t xml:space="preserve"> de l’évolution des tendinopathies calcifiantes.</w:t>
      </w:r>
      <w:r w:rsidR="008E4D80">
        <w:t xml:space="preserve"> Il précise dans les pathologies de syndrome du conflit sous acromial, le premier stade est caractérisé par des douleurs en fin de journée et parfois la nuit, témoignant d’une irritation de la coiffe. Le deuxième stade est caractérisé par des douleurs en fin de jour</w:t>
      </w:r>
      <w:r w:rsidR="00A1726B">
        <w:t>née et la nuit (souvent insomnia</w:t>
      </w:r>
      <w:r w:rsidR="008E4D80">
        <w:t xml:space="preserve">ntes), parfois la journée </w:t>
      </w:r>
      <w:r w:rsidR="00A1726B">
        <w:t>en raison</w:t>
      </w:r>
      <w:r w:rsidR="008E4D80">
        <w:t xml:space="preserve"> d’une inflammation chronique. Finalement, le troisième stade se caractérise par les douleurs </w:t>
      </w:r>
      <w:r w:rsidR="00A1726B">
        <w:t xml:space="preserve">quasi </w:t>
      </w:r>
      <w:r w:rsidR="008E4D80">
        <w:t>permanentes</w:t>
      </w:r>
      <w:r w:rsidR="00A1726B">
        <w:t xml:space="preserve">, </w:t>
      </w:r>
      <w:r w:rsidR="008E4D80">
        <w:t>une perte fréquente de force si la coiffe est rompue</w:t>
      </w:r>
      <w:r w:rsidR="00A1726B">
        <w:t>,</w:t>
      </w:r>
      <w:r w:rsidR="008E4D80">
        <w:t xml:space="preserve"> qui correspond à une coiffe fragilisée qui est susceptible de se r</w:t>
      </w:r>
      <w:r w:rsidR="00A1726B">
        <w:t>omp</w:t>
      </w:r>
      <w:r w:rsidR="008E4D80">
        <w:t xml:space="preserve">re même </w:t>
      </w:r>
      <w:r w:rsidR="00A1726B">
        <w:t>sur</w:t>
      </w:r>
      <w:r w:rsidR="008E4D80">
        <w:t xml:space="preserve"> un traumatisme minime ou un effort de soulèvement.</w:t>
      </w:r>
    </w:p>
    <w:p w:rsidR="00FA060F" w:rsidRDefault="00FA060F" w:rsidP="00AE1A1D">
      <w:pPr>
        <w:pStyle w:val="corpsdedcision"/>
        <w:numPr>
          <w:ilvl w:val="0"/>
          <w:numId w:val="0"/>
        </w:numPr>
        <w:rPr>
          <w:b/>
          <w:bCs/>
        </w:rPr>
      </w:pPr>
      <w:r>
        <w:rPr>
          <w:b/>
          <w:bCs/>
        </w:rPr>
        <w:t>LES MOTIFS</w:t>
      </w:r>
    </w:p>
    <w:p w:rsidR="00AE1A1D" w:rsidRPr="00AE1A1D" w:rsidRDefault="00FB6C8E" w:rsidP="00AE1A1D">
      <w:pPr>
        <w:numPr>
          <w:ilvl w:val="0"/>
          <w:numId w:val="1"/>
        </w:numPr>
        <w:tabs>
          <w:tab w:val="clear" w:pos="360"/>
        </w:tabs>
        <w:spacing w:after="360"/>
        <w:jc w:val="both"/>
      </w:pPr>
      <w:r>
        <w:t>Le Tribunal doit déterminer si le travailleur a développé une lésion professionnelle dans le cadre de son travail.</w:t>
      </w:r>
    </w:p>
    <w:p w:rsidR="00AE1A1D" w:rsidRPr="00AE1A1D" w:rsidRDefault="00AE1A1D" w:rsidP="00AE1A1D">
      <w:pPr>
        <w:numPr>
          <w:ilvl w:val="0"/>
          <w:numId w:val="1"/>
        </w:numPr>
        <w:tabs>
          <w:tab w:val="clear" w:pos="360"/>
        </w:tabs>
        <w:spacing w:after="360"/>
        <w:jc w:val="both"/>
      </w:pPr>
      <w:r w:rsidRPr="00AE1A1D">
        <w:t xml:space="preserve">L’article 2 de </w:t>
      </w:r>
      <w:r w:rsidRPr="00AE1A1D">
        <w:rPr>
          <w:bCs/>
          <w:i/>
          <w:iCs/>
        </w:rPr>
        <w:t>Loi sur les accidents du travail et les maladies professionnelles</w:t>
      </w:r>
      <w:r w:rsidRPr="00AE1A1D">
        <w:rPr>
          <w:bCs/>
          <w:vertAlign w:val="superscript"/>
        </w:rPr>
        <w:footnoteReference w:id="5"/>
      </w:r>
      <w:r w:rsidRPr="00AE1A1D">
        <w:rPr>
          <w:bCs/>
          <w:i/>
          <w:iCs/>
        </w:rPr>
        <w:t xml:space="preserve"> </w:t>
      </w:r>
      <w:r w:rsidRPr="00AE1A1D">
        <w:rPr>
          <w:bCs/>
        </w:rPr>
        <w:t>(la Loi) définit la lésion professionnelle de la façon suivante :</w:t>
      </w:r>
    </w:p>
    <w:p w:rsidR="00AE1A1D" w:rsidRPr="00AE1A1D" w:rsidRDefault="00AE1A1D" w:rsidP="00AE1A1D">
      <w:pPr>
        <w:ind w:left="720" w:right="571"/>
        <w:jc w:val="both"/>
        <w:rPr>
          <w:sz w:val="20"/>
        </w:rPr>
      </w:pPr>
      <w:r w:rsidRPr="00AE1A1D">
        <w:rPr>
          <w:b/>
          <w:sz w:val="20"/>
        </w:rPr>
        <w:t xml:space="preserve">2. </w:t>
      </w:r>
      <w:r w:rsidRPr="00AE1A1D">
        <w:rPr>
          <w:sz w:val="20"/>
        </w:rPr>
        <w:t>Dans la présente loi, à moins que le contexte n'indique un sens différent, on entend par :</w:t>
      </w:r>
    </w:p>
    <w:p w:rsidR="00AE1A1D" w:rsidRPr="00AE1A1D" w:rsidRDefault="00AE1A1D" w:rsidP="00AE1A1D">
      <w:pPr>
        <w:ind w:left="720" w:right="720"/>
        <w:jc w:val="both"/>
        <w:rPr>
          <w:sz w:val="20"/>
        </w:rPr>
      </w:pPr>
    </w:p>
    <w:p w:rsidR="00AE1A1D" w:rsidRPr="00AE1A1D" w:rsidRDefault="00AE1A1D" w:rsidP="00AE1A1D">
      <w:pPr>
        <w:ind w:left="720" w:right="720"/>
        <w:jc w:val="both"/>
        <w:rPr>
          <w:sz w:val="20"/>
        </w:rPr>
      </w:pPr>
      <w:r w:rsidRPr="00AE1A1D">
        <w:rPr>
          <w:b/>
          <w:sz w:val="20"/>
        </w:rPr>
        <w:t xml:space="preserve">« lésion professionnelle » </w:t>
      </w:r>
      <w:r w:rsidRPr="00AE1A1D">
        <w:rPr>
          <w:sz w:val="20"/>
        </w:rPr>
        <w:t>: une blessure ou une maladie qui survient par le fait ou à l'occasion d'un accident du travail, ou une maladie professionnelle, y compris la récidive, la rechute ou l'aggravation;</w:t>
      </w:r>
    </w:p>
    <w:p w:rsidR="00AE1A1D" w:rsidRPr="00AE1A1D" w:rsidRDefault="00AE1A1D" w:rsidP="00AE1A1D">
      <w:pPr>
        <w:ind w:left="720" w:right="720"/>
        <w:jc w:val="both"/>
        <w:rPr>
          <w:sz w:val="20"/>
        </w:rPr>
      </w:pPr>
      <w:r w:rsidRPr="00AE1A1D">
        <w:rPr>
          <w:sz w:val="20"/>
        </w:rPr>
        <w:t>__________</w:t>
      </w:r>
    </w:p>
    <w:p w:rsidR="00AE1A1D" w:rsidRPr="00AE1A1D" w:rsidRDefault="00AE1A1D" w:rsidP="00AE1A1D">
      <w:pPr>
        <w:ind w:left="720" w:right="720"/>
        <w:jc w:val="both"/>
        <w:rPr>
          <w:sz w:val="20"/>
        </w:rPr>
      </w:pPr>
      <w:r w:rsidRPr="00AE1A1D">
        <w:rPr>
          <w:sz w:val="20"/>
        </w:rPr>
        <w:t>1985, c. 6, a. 2; 1997, c. 27, a. 1; 1999, c. 14, a. 2; 1999, c. 40, a. 4; 1999, c. 89, a. 53; 2002, c. 6, a. 76; 2002, c. 76, a. 27; 2006, c. 53, a. 1; 2009, c. 24, a. 72.</w:t>
      </w:r>
    </w:p>
    <w:p w:rsidR="00AE1A1D" w:rsidRPr="00AE1A1D" w:rsidRDefault="00AE1A1D" w:rsidP="00AE1A1D">
      <w:pPr>
        <w:ind w:left="720" w:right="720"/>
        <w:jc w:val="both"/>
        <w:rPr>
          <w:sz w:val="20"/>
        </w:rPr>
      </w:pPr>
    </w:p>
    <w:p w:rsidR="00AE1A1D" w:rsidRPr="00AE1A1D" w:rsidRDefault="00AE1A1D" w:rsidP="00AE1A1D">
      <w:pPr>
        <w:ind w:left="720" w:right="720"/>
        <w:jc w:val="both"/>
        <w:rPr>
          <w:sz w:val="20"/>
        </w:rPr>
      </w:pPr>
    </w:p>
    <w:p w:rsidR="00AE1A1D" w:rsidRPr="00AE1A1D" w:rsidRDefault="00AE1A1D" w:rsidP="00AE1A1D">
      <w:pPr>
        <w:numPr>
          <w:ilvl w:val="0"/>
          <w:numId w:val="1"/>
        </w:numPr>
        <w:tabs>
          <w:tab w:val="clear" w:pos="360"/>
        </w:tabs>
        <w:spacing w:after="360"/>
        <w:jc w:val="both"/>
      </w:pPr>
      <w:r w:rsidRPr="00AE1A1D">
        <w:t>En vertu de cette définition, la lésion professionnelle englobe trois catégories de lésions distinctes, soit :</w:t>
      </w:r>
    </w:p>
    <w:p w:rsidR="00AE1A1D" w:rsidRPr="00AE1A1D" w:rsidRDefault="00AE1A1D" w:rsidP="00AE1A1D">
      <w:pPr>
        <w:numPr>
          <w:ilvl w:val="0"/>
          <w:numId w:val="8"/>
        </w:numPr>
        <w:ind w:left="1134" w:hanging="425"/>
        <w:jc w:val="both"/>
      </w:pPr>
      <w:r w:rsidRPr="00AE1A1D">
        <w:t xml:space="preserve">la blessure ou la maladie qui résulte d’un accident du travail; </w:t>
      </w:r>
    </w:p>
    <w:p w:rsidR="00AE1A1D" w:rsidRPr="00AE1A1D" w:rsidRDefault="00AE1A1D" w:rsidP="00AE1A1D">
      <w:pPr>
        <w:numPr>
          <w:ilvl w:val="0"/>
          <w:numId w:val="8"/>
        </w:numPr>
        <w:ind w:left="1134" w:hanging="425"/>
        <w:jc w:val="both"/>
      </w:pPr>
      <w:r w:rsidRPr="00AE1A1D">
        <w:t xml:space="preserve">la maladie professionnelle; </w:t>
      </w:r>
    </w:p>
    <w:p w:rsidR="00AE1A1D" w:rsidRPr="00AE1A1D" w:rsidRDefault="00AE1A1D" w:rsidP="00AE1A1D">
      <w:pPr>
        <w:numPr>
          <w:ilvl w:val="0"/>
          <w:numId w:val="8"/>
        </w:numPr>
        <w:spacing w:after="360"/>
        <w:ind w:left="1134" w:hanging="425"/>
        <w:jc w:val="both"/>
      </w:pPr>
      <w:r w:rsidRPr="00AE1A1D">
        <w:t>la récidive, rechute ou aggravation.</w:t>
      </w:r>
    </w:p>
    <w:p w:rsidR="00142085" w:rsidRDefault="00AE1A1D" w:rsidP="00A52C79">
      <w:pPr>
        <w:pStyle w:val="corpsdedcision"/>
      </w:pPr>
      <w:r w:rsidRPr="00AE1A1D">
        <w:t xml:space="preserve">Dans la présente affaire, la réclamation </w:t>
      </w:r>
      <w:r w:rsidR="00981FD4">
        <w:t>du</w:t>
      </w:r>
      <w:r w:rsidRPr="00AE1A1D">
        <w:t xml:space="preserve"> travailleu</w:t>
      </w:r>
      <w:r w:rsidR="00981FD4">
        <w:t>r</w:t>
      </w:r>
      <w:r w:rsidRPr="00AE1A1D">
        <w:t xml:space="preserve"> repose sur un diagnostic de </w:t>
      </w:r>
      <w:r w:rsidR="00981FD4" w:rsidRPr="00981FD4">
        <w:t xml:space="preserve">déchirures bilatérales </w:t>
      </w:r>
      <w:r w:rsidR="00C265D5">
        <w:t xml:space="preserve">du sous-épineux et </w:t>
      </w:r>
      <w:r w:rsidR="00981FD4" w:rsidRPr="00981FD4">
        <w:t>de la coiffe des rotateurs</w:t>
      </w:r>
      <w:r w:rsidR="00C265D5">
        <w:t xml:space="preserve"> diagnostiquées le 12 mai 2016</w:t>
      </w:r>
      <w:r w:rsidRPr="00AE1A1D">
        <w:t xml:space="preserve">. Ce diagnostic a été posé </w:t>
      </w:r>
      <w:r w:rsidR="00142085">
        <w:t xml:space="preserve">initialement </w:t>
      </w:r>
      <w:r w:rsidR="00981FD4">
        <w:t>par l</w:t>
      </w:r>
      <w:r w:rsidR="00483A59">
        <w:t>a</w:t>
      </w:r>
      <w:r w:rsidR="00981FD4">
        <w:t xml:space="preserve"> </w:t>
      </w:r>
      <w:r w:rsidR="00981FD4" w:rsidRPr="00607F9C">
        <w:t>docteur</w:t>
      </w:r>
      <w:r w:rsidR="00483A59" w:rsidRPr="00607F9C">
        <w:t>e</w:t>
      </w:r>
      <w:r w:rsidR="00981FD4" w:rsidRPr="00607F9C">
        <w:t xml:space="preserve"> </w:t>
      </w:r>
      <w:r w:rsidR="00806E1F">
        <w:t>Porlier et confirmé par la</w:t>
      </w:r>
      <w:r w:rsidR="00142085" w:rsidRPr="00607F9C">
        <w:t xml:space="preserve"> docteur</w:t>
      </w:r>
      <w:r w:rsidR="00806E1F">
        <w:t>e</w:t>
      </w:r>
      <w:r w:rsidR="00142085" w:rsidRPr="00607F9C">
        <w:t xml:space="preserve"> </w:t>
      </w:r>
      <w:r w:rsidR="00981FD4" w:rsidRPr="00607F9C">
        <w:t>Fournelle le 17 mai 2016</w:t>
      </w:r>
      <w:r w:rsidR="00981FD4">
        <w:t xml:space="preserve"> après</w:t>
      </w:r>
      <w:r w:rsidRPr="00AE1A1D">
        <w:t xml:space="preserve"> </w:t>
      </w:r>
      <w:r w:rsidR="00981FD4">
        <w:t xml:space="preserve">que les résonances magnétiques ont été pratiquées </w:t>
      </w:r>
      <w:r w:rsidR="00142085">
        <w:t>aux</w:t>
      </w:r>
      <w:r w:rsidR="00981FD4">
        <w:t xml:space="preserve"> épaule</w:t>
      </w:r>
      <w:r w:rsidR="00142085">
        <w:t>s</w:t>
      </w:r>
      <w:r w:rsidR="00981FD4">
        <w:t xml:space="preserve"> droite</w:t>
      </w:r>
      <w:r w:rsidRPr="00AE1A1D">
        <w:t xml:space="preserve"> </w:t>
      </w:r>
      <w:r w:rsidR="00981FD4">
        <w:t xml:space="preserve">et gauche et ont </w:t>
      </w:r>
      <w:r w:rsidR="00142085">
        <w:t>confirmé</w:t>
      </w:r>
      <w:r w:rsidR="00981FD4">
        <w:t xml:space="preserve"> des déch</w:t>
      </w:r>
      <w:r w:rsidR="00142085">
        <w:t>irures au niveau du tendon sous</w:t>
      </w:r>
      <w:r w:rsidR="00142085">
        <w:noBreakHyphen/>
      </w:r>
      <w:r w:rsidR="00981FD4">
        <w:t xml:space="preserve">épineux. </w:t>
      </w:r>
      <w:r w:rsidR="00981FD4" w:rsidRPr="00647725">
        <w:t xml:space="preserve">Ces diagnostics ont été </w:t>
      </w:r>
      <w:r w:rsidR="00C265D5" w:rsidRPr="00647725">
        <w:t>précédés</w:t>
      </w:r>
      <w:r w:rsidR="00981FD4" w:rsidRPr="00647725">
        <w:t xml:space="preserve"> par de nombreuses consultations</w:t>
      </w:r>
      <w:r w:rsidR="00981FD4">
        <w:t xml:space="preserve"> et des traitements de physiothérapie </w:t>
      </w:r>
      <w:r w:rsidR="00607F9C">
        <w:t xml:space="preserve">ainsi que des infiltrations </w:t>
      </w:r>
      <w:r w:rsidR="00C265D5">
        <w:t>débutant en 2011</w:t>
      </w:r>
      <w:r w:rsidR="00981FD4">
        <w:t xml:space="preserve"> en raison des douleurs persistantes. À l’origine</w:t>
      </w:r>
      <w:r w:rsidR="00607F9C">
        <w:t>,</w:t>
      </w:r>
      <w:r w:rsidR="00981FD4">
        <w:t xml:space="preserve"> des diagnostics de tendinopathie ont été retenus par les médecins traitants.</w:t>
      </w:r>
      <w:r w:rsidR="00E875C8">
        <w:t xml:space="preserve"> </w:t>
      </w:r>
      <w:r w:rsidR="00C265D5">
        <w:t xml:space="preserve"> En effet, l</w:t>
      </w:r>
      <w:r w:rsidRPr="00AE1A1D">
        <w:t>e</w:t>
      </w:r>
      <w:r w:rsidR="00607F9C">
        <w:t>s</w:t>
      </w:r>
      <w:r w:rsidRPr="00AE1A1D">
        <w:t xml:space="preserve"> diagnostic</w:t>
      </w:r>
      <w:r w:rsidR="00607F9C">
        <w:t>s</w:t>
      </w:r>
      <w:r w:rsidRPr="00AE1A1D">
        <w:t xml:space="preserve"> </w:t>
      </w:r>
      <w:r w:rsidR="00607F9C">
        <w:t>ne sont pas remis en question</w:t>
      </w:r>
      <w:r w:rsidRPr="00AE1A1D">
        <w:t xml:space="preserve"> bien que la nature professionnelle le soit.</w:t>
      </w:r>
    </w:p>
    <w:p w:rsidR="00AE1A1D" w:rsidRPr="008647D1" w:rsidRDefault="00AD5084" w:rsidP="00A52C79">
      <w:pPr>
        <w:pStyle w:val="corpsdedcision"/>
      </w:pPr>
      <w:r>
        <w:t>L</w:t>
      </w:r>
      <w:r w:rsidR="00AE1A1D" w:rsidRPr="00AE1A1D">
        <w:t xml:space="preserve">a preuve prépondérante, notamment l’évolution de la pathologie et l’absence d’un événement traumatique, ne supporte pas la reconnaissance d’une lésion professionnelle sous forme d’un accident du travail, </w:t>
      </w:r>
      <w:r w:rsidR="00AE1A1D" w:rsidRPr="00E875C8">
        <w:rPr>
          <w:bCs/>
        </w:rPr>
        <w:t>c’est-à-dire un événement imprévu et soudain survenu dans l’exercice de son emploi</w:t>
      </w:r>
      <w:r w:rsidR="00AE1A1D" w:rsidRPr="00AE1A1D">
        <w:t xml:space="preserve">. </w:t>
      </w:r>
      <w:r w:rsidR="00E875C8">
        <w:t>Le travailleur n’allègue pas non plus</w:t>
      </w:r>
      <w:r>
        <w:t>, à l’audience,</w:t>
      </w:r>
      <w:r w:rsidR="00E875C8">
        <w:t xml:space="preserve"> </w:t>
      </w:r>
      <w:r w:rsidR="008647D1">
        <w:t xml:space="preserve">qu’il a été victime d’une </w:t>
      </w:r>
      <w:r w:rsidR="008647D1">
        <w:rPr>
          <w:bCs/>
        </w:rPr>
        <w:t>récidive, rechute ou aggravation  d’une lésion antérieure</w:t>
      </w:r>
      <w:r>
        <w:rPr>
          <w:bCs/>
        </w:rPr>
        <w:t>, mais argumente qu’il a été victime d’une maladie professionnelle</w:t>
      </w:r>
      <w:r w:rsidR="008647D1">
        <w:rPr>
          <w:bCs/>
        </w:rPr>
        <w:t>.</w:t>
      </w:r>
    </w:p>
    <w:p w:rsidR="00AE1A1D" w:rsidRPr="00AE1A1D" w:rsidRDefault="00AE1A1D" w:rsidP="00AE1A1D">
      <w:pPr>
        <w:numPr>
          <w:ilvl w:val="0"/>
          <w:numId w:val="1"/>
        </w:numPr>
        <w:tabs>
          <w:tab w:val="clear" w:pos="360"/>
        </w:tabs>
        <w:spacing w:after="360"/>
        <w:jc w:val="both"/>
      </w:pPr>
      <w:r w:rsidRPr="00AE1A1D">
        <w:rPr>
          <w:bCs/>
        </w:rPr>
        <w:t>En n’étant pas victime d’un accident du travail</w:t>
      </w:r>
      <w:r w:rsidR="008647D1">
        <w:rPr>
          <w:bCs/>
        </w:rPr>
        <w:t xml:space="preserve"> ou d’une </w:t>
      </w:r>
      <w:r w:rsidR="008647D1" w:rsidRPr="008647D1">
        <w:rPr>
          <w:bCs/>
        </w:rPr>
        <w:t>r</w:t>
      </w:r>
      <w:r w:rsidR="008647D1">
        <w:rPr>
          <w:bCs/>
        </w:rPr>
        <w:t>écidive, rechute ou aggravation</w:t>
      </w:r>
      <w:r w:rsidRPr="00AE1A1D">
        <w:rPr>
          <w:bCs/>
        </w:rPr>
        <w:t xml:space="preserve">, le Tribunal doit alors déterminer si </w:t>
      </w:r>
      <w:r w:rsidR="008647D1">
        <w:rPr>
          <w:bCs/>
        </w:rPr>
        <w:t xml:space="preserve">le </w:t>
      </w:r>
      <w:r w:rsidR="008647D1" w:rsidRPr="008647D1">
        <w:rPr>
          <w:bCs/>
        </w:rPr>
        <w:t>travailleur</w:t>
      </w:r>
      <w:r w:rsidR="008647D1">
        <w:rPr>
          <w:bCs/>
        </w:rPr>
        <w:t xml:space="preserve"> était atteint</w:t>
      </w:r>
      <w:r w:rsidRPr="00AE1A1D">
        <w:rPr>
          <w:bCs/>
        </w:rPr>
        <w:t xml:space="preserve"> d’une maladie professionnelle à la suite de l’exécution des tâches reliées à son travail. La notion de maladie professionnelle est définie à l’article 2 de la Loi :</w:t>
      </w:r>
    </w:p>
    <w:p w:rsidR="00AE1A1D" w:rsidRPr="00AE1A1D" w:rsidRDefault="00AE1A1D" w:rsidP="00AE1A1D">
      <w:pPr>
        <w:ind w:left="720" w:right="571"/>
        <w:jc w:val="both"/>
        <w:rPr>
          <w:sz w:val="20"/>
        </w:rPr>
      </w:pPr>
      <w:r w:rsidRPr="00AE1A1D">
        <w:rPr>
          <w:b/>
          <w:sz w:val="20"/>
        </w:rPr>
        <w:t xml:space="preserve">2. </w:t>
      </w:r>
      <w:r w:rsidRPr="00AE1A1D">
        <w:rPr>
          <w:sz w:val="20"/>
        </w:rPr>
        <w:t>Dans la présente loi, à moins que le contexte n'indique un sens différent, on entend par :</w:t>
      </w:r>
    </w:p>
    <w:p w:rsidR="00AE1A1D" w:rsidRPr="00AE1A1D" w:rsidRDefault="00AE1A1D" w:rsidP="00AE1A1D">
      <w:pPr>
        <w:ind w:left="720" w:right="720"/>
        <w:jc w:val="both"/>
        <w:rPr>
          <w:sz w:val="20"/>
        </w:rPr>
      </w:pPr>
    </w:p>
    <w:p w:rsidR="00AE1A1D" w:rsidRPr="00AE1A1D" w:rsidRDefault="00AE1A1D" w:rsidP="00AE1A1D">
      <w:pPr>
        <w:ind w:left="720" w:right="720"/>
        <w:jc w:val="both"/>
        <w:rPr>
          <w:sz w:val="20"/>
        </w:rPr>
      </w:pPr>
      <w:r w:rsidRPr="00AE1A1D">
        <w:rPr>
          <w:b/>
          <w:sz w:val="20"/>
        </w:rPr>
        <w:t xml:space="preserve">« maladie professionnelle » </w:t>
      </w:r>
      <w:r w:rsidRPr="00AE1A1D">
        <w:rPr>
          <w:sz w:val="20"/>
        </w:rPr>
        <w:t>: une maladie contractée par le fait ou à l'occasion du travail et qui est caractéristique de ce travail ou reliée directement aux risques particuliers de ce travail;</w:t>
      </w:r>
    </w:p>
    <w:p w:rsidR="00AE1A1D" w:rsidRDefault="00AE1A1D" w:rsidP="00AE1A1D">
      <w:pPr>
        <w:ind w:left="720" w:right="720"/>
        <w:jc w:val="both"/>
        <w:rPr>
          <w:sz w:val="20"/>
        </w:rPr>
      </w:pPr>
    </w:p>
    <w:p w:rsidR="008647D1" w:rsidRPr="00AE1A1D" w:rsidRDefault="008647D1" w:rsidP="00AE1A1D">
      <w:pPr>
        <w:ind w:left="720" w:right="720"/>
        <w:jc w:val="both"/>
        <w:rPr>
          <w:sz w:val="20"/>
        </w:rPr>
      </w:pPr>
    </w:p>
    <w:p w:rsidR="00AE1A1D" w:rsidRPr="00AE1A1D" w:rsidRDefault="008647D1" w:rsidP="00AE1A1D">
      <w:pPr>
        <w:pStyle w:val="corpsdedcision"/>
        <w:tabs>
          <w:tab w:val="clear" w:pos="360"/>
          <w:tab w:val="num" w:pos="720"/>
        </w:tabs>
      </w:pPr>
      <w:r>
        <w:t>Le travailleur</w:t>
      </w:r>
      <w:r w:rsidR="00AE1A1D" w:rsidRPr="00AE1A1D">
        <w:t xml:space="preserve"> allègue qu</w:t>
      </w:r>
      <w:r>
        <w:t>’il est atteint</w:t>
      </w:r>
      <w:r w:rsidR="00AE1A1D" w:rsidRPr="00AE1A1D">
        <w:t xml:space="preserve"> d’une maladie professionnelle, laquelle est définie à l’article 30 comme suit : </w:t>
      </w:r>
    </w:p>
    <w:p w:rsidR="00AE1A1D" w:rsidRPr="00AE1A1D" w:rsidRDefault="00AE1A1D" w:rsidP="00AE1A1D">
      <w:pPr>
        <w:ind w:left="720" w:right="720"/>
        <w:jc w:val="both"/>
        <w:rPr>
          <w:sz w:val="20"/>
        </w:rPr>
      </w:pPr>
      <w:r w:rsidRPr="00AE1A1D">
        <w:rPr>
          <w:b/>
          <w:sz w:val="20"/>
        </w:rPr>
        <w:t>30.</w:t>
      </w:r>
      <w:r w:rsidRPr="00AE1A1D">
        <w:rPr>
          <w:sz w:val="20"/>
        </w:rPr>
        <w:t xml:space="preserve">  Le travailleur atteint d'une maladie non prévue par l'annexe I, contractée par le fait ou à l'occasion du travail et qui ne résulte pas d'un accident du travail ni d'une blessure ou d'une maladie causée par un tel accident est considéré atteint d'une maladie professionnelle s'il démontre à la Commission que sa maladie est caractéristique d'un travail qu'il a exercé ou qu'elle est reliée directement aux risques particuliers de ce travail.</w:t>
      </w:r>
    </w:p>
    <w:p w:rsidR="00AE1A1D" w:rsidRPr="00AE1A1D" w:rsidRDefault="00AE1A1D" w:rsidP="00AE1A1D">
      <w:pPr>
        <w:ind w:left="720" w:right="720"/>
        <w:jc w:val="both"/>
        <w:rPr>
          <w:sz w:val="20"/>
        </w:rPr>
      </w:pPr>
      <w:r w:rsidRPr="00AE1A1D">
        <w:rPr>
          <w:sz w:val="20"/>
        </w:rPr>
        <w:t>__________</w:t>
      </w:r>
    </w:p>
    <w:p w:rsidR="00AE1A1D" w:rsidRPr="00AE1A1D" w:rsidRDefault="00AE1A1D" w:rsidP="00AE1A1D">
      <w:pPr>
        <w:ind w:left="720" w:right="720"/>
        <w:jc w:val="both"/>
        <w:rPr>
          <w:sz w:val="20"/>
        </w:rPr>
      </w:pPr>
      <w:r w:rsidRPr="00AE1A1D">
        <w:rPr>
          <w:sz w:val="20"/>
        </w:rPr>
        <w:t>1985, c. 6, a. 30.</w:t>
      </w:r>
    </w:p>
    <w:p w:rsidR="00AE1A1D" w:rsidRPr="00AE1A1D" w:rsidRDefault="00AE1A1D" w:rsidP="00AE1A1D">
      <w:pPr>
        <w:ind w:left="720" w:right="720"/>
        <w:jc w:val="both"/>
        <w:rPr>
          <w:sz w:val="20"/>
        </w:rPr>
      </w:pPr>
    </w:p>
    <w:p w:rsidR="00AE1A1D" w:rsidRPr="00AE1A1D" w:rsidRDefault="00AE1A1D" w:rsidP="00AE1A1D">
      <w:pPr>
        <w:ind w:left="720" w:right="720"/>
        <w:jc w:val="both"/>
        <w:rPr>
          <w:sz w:val="20"/>
        </w:rPr>
      </w:pPr>
    </w:p>
    <w:p w:rsidR="00AE1A1D" w:rsidRPr="00AE1A1D" w:rsidRDefault="00AE1A1D" w:rsidP="00AE1A1D">
      <w:pPr>
        <w:pStyle w:val="corpsdedcision"/>
        <w:tabs>
          <w:tab w:val="clear" w:pos="360"/>
          <w:tab w:val="num" w:pos="720"/>
        </w:tabs>
      </w:pPr>
      <w:r w:rsidRPr="00AE1A1D">
        <w:t>Pou</w:t>
      </w:r>
      <w:r w:rsidR="008647D1">
        <w:t>r démontrer qu’il est atteint</w:t>
      </w:r>
      <w:r w:rsidRPr="00AE1A1D">
        <w:t xml:space="preserve"> d’une maladie professionnelle, </w:t>
      </w:r>
      <w:r w:rsidR="008647D1">
        <w:t>le travailleur</w:t>
      </w:r>
      <w:r w:rsidRPr="00AE1A1D">
        <w:t xml:space="preserve"> doit démontrer que </w:t>
      </w:r>
      <w:r w:rsidR="008647D1">
        <w:t>la déchirure de la coiffe des rotateurs</w:t>
      </w:r>
      <w:r w:rsidRPr="00AE1A1D">
        <w:t xml:space="preserve"> est soit caractéristique, soit reliée aux risques particuliers de son travail</w:t>
      </w:r>
      <w:r w:rsidRPr="00AE1A1D">
        <w:rPr>
          <w:vertAlign w:val="superscript"/>
        </w:rPr>
        <w:footnoteReference w:id="6"/>
      </w:r>
      <w:r w:rsidRPr="00AE1A1D">
        <w:t xml:space="preserve">. Dans un cas comme dans l’autre, </w:t>
      </w:r>
      <w:r w:rsidR="008647D1">
        <w:t>il</w:t>
      </w:r>
      <w:r w:rsidRPr="00AE1A1D">
        <w:t xml:space="preserve"> doit démontrer, par une preuve prépondérante, le lien </w:t>
      </w:r>
      <w:r w:rsidR="008647D1">
        <w:t>entre la pathologie diagnostiquée</w:t>
      </w:r>
      <w:r w:rsidRPr="00AE1A1D">
        <w:t xml:space="preserve"> et l’emploi exercé.</w:t>
      </w:r>
    </w:p>
    <w:p w:rsidR="00AE1A1D" w:rsidRDefault="00AE1A1D" w:rsidP="00AE1A1D">
      <w:pPr>
        <w:numPr>
          <w:ilvl w:val="0"/>
          <w:numId w:val="1"/>
        </w:numPr>
        <w:tabs>
          <w:tab w:val="clear" w:pos="360"/>
        </w:tabs>
        <w:spacing w:after="360"/>
        <w:jc w:val="both"/>
      </w:pPr>
      <w:r w:rsidRPr="00AE1A1D">
        <w:t xml:space="preserve">Néanmoins, la preuve ne démontre pas que la pathologie alléguée soit caractéristique du travail exercé par </w:t>
      </w:r>
      <w:r w:rsidR="008647D1">
        <w:t>le travailleur</w:t>
      </w:r>
      <w:r w:rsidRPr="00AE1A1D">
        <w:t xml:space="preserve">. Autrement dit, </w:t>
      </w:r>
      <w:r w:rsidR="008647D1">
        <w:t>le travailleur</w:t>
      </w:r>
      <w:r w:rsidRPr="00AE1A1D">
        <w:t xml:space="preserve"> n’a pas établi, par preuve épidémiologique ou autre, que </w:t>
      </w:r>
      <w:r w:rsidR="008647D1">
        <w:t>la déchirure de la coiffe des rotateurs</w:t>
      </w:r>
      <w:r w:rsidRPr="00AE1A1D">
        <w:t xml:space="preserve"> affecte un nombre significatif de personnes travaillant dans des conditions semblables aux siennes et qu’elle est plus présente chez ce type de travailleurs que dans la population en général ou dans un groupe témoin</w:t>
      </w:r>
      <w:r w:rsidRPr="00AE1A1D">
        <w:rPr>
          <w:vertAlign w:val="superscript"/>
        </w:rPr>
        <w:footnoteReference w:id="7"/>
      </w:r>
      <w:r w:rsidRPr="00AE1A1D">
        <w:t xml:space="preserve">. À défaut de soumettre une preuve établissant la probabilité d’un lien entre le type de travail exercé et la maladie en cause, le Tribunal doit conclure que </w:t>
      </w:r>
      <w:r w:rsidR="008647D1">
        <w:t>le travailleur ne s’est pas acquitté</w:t>
      </w:r>
      <w:r w:rsidRPr="00AE1A1D">
        <w:t xml:space="preserve"> de son fardeau de preuve à cet égard</w:t>
      </w:r>
      <w:r w:rsidRPr="00AE1A1D">
        <w:rPr>
          <w:vertAlign w:val="superscript"/>
        </w:rPr>
        <w:footnoteReference w:id="8"/>
      </w:r>
      <w:r w:rsidRPr="00AE1A1D">
        <w:t>.</w:t>
      </w:r>
    </w:p>
    <w:p w:rsidR="00AE1A1D" w:rsidRDefault="00AE1A1D" w:rsidP="00AE1A1D">
      <w:pPr>
        <w:numPr>
          <w:ilvl w:val="0"/>
          <w:numId w:val="1"/>
        </w:numPr>
        <w:tabs>
          <w:tab w:val="clear" w:pos="360"/>
        </w:tabs>
        <w:spacing w:after="360"/>
        <w:jc w:val="both"/>
      </w:pPr>
      <w:r w:rsidRPr="00AE1A1D">
        <w:t xml:space="preserve">Il y a alors lieu de déterminer si </w:t>
      </w:r>
      <w:r w:rsidR="008647D1">
        <w:t>le travailleur</w:t>
      </w:r>
      <w:r w:rsidRPr="00AE1A1D">
        <w:t xml:space="preserve"> a démontré, par une preuve prépondérante, que </w:t>
      </w:r>
      <w:r w:rsidR="008647D1">
        <w:t>la déchirure de la coiffe des rotateurs</w:t>
      </w:r>
      <w:r w:rsidRPr="00AE1A1D">
        <w:t xml:space="preserve"> est reliée aux risques particuliers de son travail. Une telle preuve doit identifier les risques que comporte le travail et démontrer un lien entre ces risques et la survenance de la maladie. Pour effectuer son analyse, le Tribunal a tenu compte de la situation particulière </w:t>
      </w:r>
      <w:r w:rsidR="008647D1">
        <w:t>du travailleur</w:t>
      </w:r>
      <w:r w:rsidRPr="00AE1A1D">
        <w:t>, c’est-à-dire ses capacités physiques, la description de son travail ainsi que les circonstances entourant l’apparition des symptômes.</w:t>
      </w:r>
    </w:p>
    <w:p w:rsidR="00AE1A1D" w:rsidRPr="00AE1A1D" w:rsidRDefault="00AE1A1D" w:rsidP="00AE1A1D">
      <w:pPr>
        <w:numPr>
          <w:ilvl w:val="0"/>
          <w:numId w:val="1"/>
        </w:numPr>
        <w:tabs>
          <w:tab w:val="clear" w:pos="360"/>
        </w:tabs>
        <w:spacing w:after="360"/>
        <w:jc w:val="both"/>
      </w:pPr>
      <w:r w:rsidRPr="00AE1A1D">
        <w:t>D’entrée de jeu, le Tribunal commence son analyse de la preuve en s’inspirant des énoncés qui se retrouvent au Code civil du Québec</w:t>
      </w:r>
      <w:r w:rsidRPr="00AE1A1D">
        <w:rPr>
          <w:vertAlign w:val="superscript"/>
        </w:rPr>
        <w:footnoteReference w:id="9"/>
      </w:r>
      <w:r w:rsidRPr="00AE1A1D">
        <w:t>. À cet égard, le Code nous enseigne le principe que : « </w:t>
      </w:r>
      <w:r w:rsidRPr="00AE1A1D">
        <w:rPr>
          <w:i/>
          <w:sz w:val="22"/>
        </w:rPr>
        <w:t>[…] toute personne est tenue d’exercer ses droits civils selon l’exigence de la bonne foi […]</w:t>
      </w:r>
      <w:r w:rsidRPr="00AE1A1D">
        <w:t> ». Dans le chapitre concernant la preuve, le législateur a établi que « </w:t>
      </w:r>
      <w:r w:rsidRPr="00AE1A1D">
        <w:rPr>
          <w:i/>
          <w:sz w:val="22"/>
        </w:rPr>
        <w:t>[…] la bonne foi se présume toujours, à moins que la loi n’exige expressément de l’approuver […]</w:t>
      </w:r>
      <w:r w:rsidRPr="00AE1A1D">
        <w:t> ». À cet égard, pour déterminer la fiabilité et la crédibilité d’un témoin, le Tribunal l’apprécie en tenant compte de différents éléments, notamment la perception, l’interprétation, l’expression, la connaissance des faits, le comportement, le mensonge ainsi que la relation entre les témoins et les parties</w:t>
      </w:r>
      <w:r w:rsidRPr="00AE1A1D">
        <w:rPr>
          <w:vertAlign w:val="superscript"/>
        </w:rPr>
        <w:footnoteReference w:id="10"/>
      </w:r>
      <w:r w:rsidRPr="00AE1A1D">
        <w:t>. Voici ce que Ducharme</w:t>
      </w:r>
      <w:r w:rsidRPr="00AE1A1D">
        <w:rPr>
          <w:vertAlign w:val="superscript"/>
        </w:rPr>
        <w:footnoteReference w:id="11"/>
      </w:r>
      <w:r w:rsidRPr="00AE1A1D">
        <w:t xml:space="preserve"> a écrit à ce sujet :</w:t>
      </w:r>
    </w:p>
    <w:p w:rsidR="00AE1A1D" w:rsidRPr="00AE1A1D" w:rsidRDefault="00AE1A1D" w:rsidP="00AE1A1D">
      <w:pPr>
        <w:ind w:left="720" w:right="720"/>
        <w:jc w:val="both"/>
        <w:rPr>
          <w:sz w:val="20"/>
        </w:rPr>
      </w:pPr>
      <w:r w:rsidRPr="00AE1A1D">
        <w:rPr>
          <w:b/>
          <w:sz w:val="20"/>
        </w:rPr>
        <w:t>538.</w:t>
      </w:r>
      <w:r w:rsidRPr="00AE1A1D">
        <w:rPr>
          <w:sz w:val="20"/>
        </w:rPr>
        <w:t xml:space="preserve"> Lorsqu’il s’agit d’apprécier la valeur d’un témoignage, ce sont les facteurs qui régissent la crédibilité des témoins qui importent et notamment les facteurs suivants : les moyens de connaissance du témoin, son sens d’observation, ses raisons de se souvenir, son expérience, la fidélité de sa mémoire et son indépendance par rapport aux parties en cause. (…). Ces facteurs défavorables peuvent se rapporter, entre autres, à la moralité du témoin.</w:t>
      </w:r>
    </w:p>
    <w:p w:rsidR="00AE1A1D" w:rsidRPr="00AE1A1D" w:rsidRDefault="00AE1A1D" w:rsidP="00AE1A1D">
      <w:pPr>
        <w:ind w:left="720" w:right="720"/>
        <w:jc w:val="both"/>
        <w:rPr>
          <w:sz w:val="20"/>
        </w:rPr>
      </w:pPr>
    </w:p>
    <w:p w:rsidR="00AE1A1D" w:rsidRPr="00AE1A1D" w:rsidRDefault="00AE1A1D" w:rsidP="00AE1A1D">
      <w:pPr>
        <w:ind w:left="720" w:right="720"/>
        <w:jc w:val="both"/>
        <w:rPr>
          <w:sz w:val="20"/>
        </w:rPr>
      </w:pPr>
    </w:p>
    <w:p w:rsidR="00AE1A1D" w:rsidRPr="00AE1A1D" w:rsidRDefault="00AE1A1D" w:rsidP="00AE1A1D">
      <w:pPr>
        <w:numPr>
          <w:ilvl w:val="0"/>
          <w:numId w:val="1"/>
        </w:numPr>
        <w:tabs>
          <w:tab w:val="clear" w:pos="360"/>
        </w:tabs>
        <w:spacing w:after="240"/>
        <w:jc w:val="both"/>
      </w:pPr>
      <w:r w:rsidRPr="00AE1A1D">
        <w:t>Dans le même ordre d’idées, lors d’une conférence, le juge Aubin</w:t>
      </w:r>
      <w:r w:rsidRPr="00AE1A1D">
        <w:rPr>
          <w:vertAlign w:val="superscript"/>
        </w:rPr>
        <w:footnoteReference w:id="12"/>
      </w:r>
      <w:r w:rsidRPr="00AE1A1D">
        <w:t xml:space="preserve"> résume ainsi le rôle du juge dans l’appréciation de la crédibilité et de la fiabilité des témoins :</w:t>
      </w:r>
    </w:p>
    <w:p w:rsidR="00AE1A1D" w:rsidRPr="00AE1A1D" w:rsidRDefault="00AE1A1D" w:rsidP="00AE1A1D">
      <w:pPr>
        <w:ind w:left="720" w:right="720"/>
        <w:jc w:val="both"/>
        <w:rPr>
          <w:sz w:val="20"/>
        </w:rPr>
      </w:pPr>
      <w:r w:rsidRPr="00AE1A1D">
        <w:rPr>
          <w:sz w:val="20"/>
        </w:rPr>
        <w:t>[…] la fiabilité fait appel notamment au sens d’observation du témoin, sa mémoire et à la capacité de bien percevoir un événement.</w:t>
      </w:r>
    </w:p>
    <w:p w:rsidR="00AE1A1D" w:rsidRPr="00AE1A1D" w:rsidRDefault="00AE1A1D" w:rsidP="00AE1A1D">
      <w:pPr>
        <w:ind w:left="720" w:right="720"/>
        <w:jc w:val="both"/>
        <w:rPr>
          <w:sz w:val="20"/>
        </w:rPr>
      </w:pPr>
    </w:p>
    <w:p w:rsidR="00AE1A1D" w:rsidRDefault="00AE1A1D" w:rsidP="00AE1A1D">
      <w:pPr>
        <w:spacing w:after="360"/>
        <w:ind w:left="720" w:right="720"/>
        <w:jc w:val="both"/>
        <w:rPr>
          <w:sz w:val="20"/>
        </w:rPr>
      </w:pPr>
      <w:r w:rsidRPr="00AE1A1D">
        <w:rPr>
          <w:sz w:val="20"/>
        </w:rPr>
        <w:t>La crédibilité est ce qui rend un témoignage vraisemblable. Elle consiste à un ensemble de facteurs dont le juge des faits tient compte pour décider du poids qu’il accorde à une version.</w:t>
      </w:r>
    </w:p>
    <w:p w:rsidR="00AE1A1D" w:rsidRPr="00AE1A1D" w:rsidRDefault="00AE1A1D" w:rsidP="00AE1A1D">
      <w:pPr>
        <w:pStyle w:val="corpsdedcision"/>
        <w:tabs>
          <w:tab w:val="clear" w:pos="360"/>
          <w:tab w:val="num" w:pos="720"/>
        </w:tabs>
      </w:pPr>
      <w:r w:rsidRPr="00AE1A1D">
        <w:rPr>
          <w:lang w:val="fr-FR"/>
        </w:rPr>
        <w:t xml:space="preserve">À cet égard, le Tribunal est d’avis que </w:t>
      </w:r>
      <w:r w:rsidR="008647D1">
        <w:rPr>
          <w:lang w:val="fr-FR"/>
        </w:rPr>
        <w:t xml:space="preserve">le </w:t>
      </w:r>
      <w:r w:rsidR="008647D1" w:rsidRPr="008647D1">
        <w:rPr>
          <w:lang w:val="fr-FR"/>
        </w:rPr>
        <w:t>travailleur</w:t>
      </w:r>
      <w:r w:rsidRPr="00AE1A1D">
        <w:rPr>
          <w:lang w:val="fr-FR"/>
        </w:rPr>
        <w:t xml:space="preserve"> a témoigné de </w:t>
      </w:r>
      <w:r w:rsidRPr="00AE1A1D">
        <w:t xml:space="preserve">façon crédible. </w:t>
      </w:r>
      <w:r w:rsidR="008647D1">
        <w:t>Il</w:t>
      </w:r>
      <w:r w:rsidRPr="00AE1A1D">
        <w:t xml:space="preserve"> a répondu clairement et sans hésitation à toutes les questions qui lui ont été posées lors de l’audience, tant durant son témoignage qu’en contre-interrogatoire. En effet, il n’y a pas de divergence significative entre les éléments essentiels de son témoignage et la version des faits rapportés au cours des différentes étapes du traitement de ses réclamations. D’ailleurs, plusieurs aspects de son témoignage ont été corroborés par la preuve documentaire. Le Tribunal est d’avis que </w:t>
      </w:r>
      <w:r w:rsidR="008647D1">
        <w:t>le travailleur</w:t>
      </w:r>
      <w:r w:rsidRPr="00AE1A1D">
        <w:t xml:space="preserve"> n’a pas embelli son histoire aux fins de l’audience et il n’a pas d’hésitation à la retenir.</w:t>
      </w:r>
    </w:p>
    <w:p w:rsidR="00AE1A1D" w:rsidRPr="00AE1A1D" w:rsidRDefault="00AE1A1D" w:rsidP="00AE1A1D">
      <w:pPr>
        <w:numPr>
          <w:ilvl w:val="0"/>
          <w:numId w:val="1"/>
        </w:numPr>
        <w:tabs>
          <w:tab w:val="clear" w:pos="360"/>
        </w:tabs>
        <w:spacing w:after="360"/>
        <w:jc w:val="both"/>
      </w:pPr>
      <w:r w:rsidRPr="00AE1A1D">
        <w:t xml:space="preserve">Voici </w:t>
      </w:r>
      <w:r w:rsidR="00A45F2E">
        <w:t>certains</w:t>
      </w:r>
      <w:r w:rsidRPr="00AE1A1D">
        <w:t xml:space="preserve"> éléments de la preuve qui ont été retenus par le Tribunal :</w:t>
      </w:r>
    </w:p>
    <w:p w:rsidR="008647D1" w:rsidRDefault="008647D1" w:rsidP="003F669C">
      <w:pPr>
        <w:numPr>
          <w:ilvl w:val="0"/>
          <w:numId w:val="9"/>
        </w:numPr>
        <w:spacing w:after="240"/>
        <w:ind w:left="709" w:hanging="425"/>
        <w:jc w:val="both"/>
      </w:pPr>
      <w:r>
        <w:t>le travailleur</w:t>
      </w:r>
      <w:r w:rsidR="00AE1A1D" w:rsidRPr="00AE1A1D">
        <w:t xml:space="preserve"> </w:t>
      </w:r>
      <w:r>
        <w:t>effectue des emplois physiquement exigeants depuis 1991;</w:t>
      </w:r>
    </w:p>
    <w:p w:rsidR="00AE1A1D" w:rsidRPr="00AE1A1D" w:rsidRDefault="00607F9C" w:rsidP="003F669C">
      <w:pPr>
        <w:numPr>
          <w:ilvl w:val="0"/>
          <w:numId w:val="9"/>
        </w:numPr>
        <w:spacing w:after="240"/>
        <w:ind w:left="709" w:hanging="425"/>
        <w:jc w:val="both"/>
      </w:pPr>
      <w:r>
        <w:t xml:space="preserve">bien que </w:t>
      </w:r>
      <w:r w:rsidR="008647D1">
        <w:t>le travailleur</w:t>
      </w:r>
      <w:r w:rsidR="00AE1A1D" w:rsidRPr="00AE1A1D">
        <w:t xml:space="preserve"> </w:t>
      </w:r>
      <w:r>
        <w:t>soit droitier, il se considère comme étant</w:t>
      </w:r>
      <w:r w:rsidR="00AE1A1D" w:rsidRPr="00AE1A1D">
        <w:t xml:space="preserve"> </w:t>
      </w:r>
      <w:r w:rsidR="008647D1">
        <w:t xml:space="preserve">ambidextre et </w:t>
      </w:r>
      <w:r w:rsidR="00C265D5">
        <w:t>témoigne</w:t>
      </w:r>
      <w:r>
        <w:t xml:space="preserve"> </w:t>
      </w:r>
      <w:r w:rsidR="00C265D5">
        <w:t>qu’</w:t>
      </w:r>
      <w:r w:rsidR="008647D1">
        <w:t xml:space="preserve">il sollicite régulièrement </w:t>
      </w:r>
      <w:r w:rsidR="00AE1A1D" w:rsidRPr="00AE1A1D">
        <w:t xml:space="preserve">ses deux bras pour </w:t>
      </w:r>
      <w:r w:rsidR="00C265D5">
        <w:t>accomplir</w:t>
      </w:r>
      <w:r w:rsidR="00AE1A1D" w:rsidRPr="00AE1A1D">
        <w:t xml:space="preserve"> son travail; </w:t>
      </w:r>
    </w:p>
    <w:p w:rsidR="00AE1A1D" w:rsidRPr="00AE1A1D" w:rsidRDefault="00FC50F8" w:rsidP="003F669C">
      <w:pPr>
        <w:numPr>
          <w:ilvl w:val="0"/>
          <w:numId w:val="9"/>
        </w:numPr>
        <w:spacing w:after="240"/>
        <w:ind w:left="709" w:hanging="425"/>
        <w:jc w:val="both"/>
      </w:pPr>
      <w:r>
        <w:t>certaines</w:t>
      </w:r>
      <w:r w:rsidR="00AE1A1D" w:rsidRPr="00AE1A1D">
        <w:t xml:space="preserve"> tâches nécessitent qu’</w:t>
      </w:r>
      <w:r w:rsidR="008647D1">
        <w:t>il</w:t>
      </w:r>
      <w:r w:rsidR="00AE1A1D" w:rsidRPr="00AE1A1D">
        <w:t xml:space="preserve"> travaille avec ses bras</w:t>
      </w:r>
      <w:r w:rsidR="008647D1">
        <w:t xml:space="preserve"> en élévation et d’</w:t>
      </w:r>
      <w:r w:rsidR="00AE1A1D" w:rsidRPr="00AE1A1D">
        <w:t xml:space="preserve">autres requièrent des mouvements de va-et-vient avec l’application </w:t>
      </w:r>
      <w:r w:rsidR="008647D1">
        <w:t>de</w:t>
      </w:r>
      <w:r w:rsidR="00AE1A1D" w:rsidRPr="00AE1A1D">
        <w:t xml:space="preserve"> force;</w:t>
      </w:r>
    </w:p>
    <w:p w:rsidR="00AE1A1D" w:rsidRPr="00AE1A1D" w:rsidRDefault="008647D1" w:rsidP="003F669C">
      <w:pPr>
        <w:numPr>
          <w:ilvl w:val="0"/>
          <w:numId w:val="9"/>
        </w:numPr>
        <w:spacing w:after="240"/>
        <w:ind w:left="709" w:hanging="425"/>
        <w:jc w:val="both"/>
      </w:pPr>
      <w:r>
        <w:t>le travailleur doit effectuer la manutention de charges de façon régulière et effectue souvent des mouvements d’élévation ou d’abduction du bras à plus de 60 degrés</w:t>
      </w:r>
      <w:r w:rsidR="00AE1A1D" w:rsidRPr="00AE1A1D">
        <w:t>;</w:t>
      </w:r>
    </w:p>
    <w:p w:rsidR="008647D1" w:rsidRDefault="00AE1A1D" w:rsidP="003F669C">
      <w:pPr>
        <w:numPr>
          <w:ilvl w:val="0"/>
          <w:numId w:val="9"/>
        </w:numPr>
        <w:spacing w:after="240"/>
        <w:ind w:left="709" w:hanging="425"/>
        <w:jc w:val="both"/>
      </w:pPr>
      <w:r w:rsidRPr="00AE1A1D">
        <w:t xml:space="preserve">certaines tâches </w:t>
      </w:r>
      <w:r w:rsidR="008647D1">
        <w:t>nécessitent qu’il travaille avec les mains au-dessus du niveau de l’épaule</w:t>
      </w:r>
      <w:r w:rsidR="00607F9C">
        <w:t>, à certaines occasion</w:t>
      </w:r>
      <w:r w:rsidR="009406DF">
        <w:t>s</w:t>
      </w:r>
      <w:r w:rsidR="00607F9C">
        <w:t>,</w:t>
      </w:r>
      <w:r w:rsidR="008647D1">
        <w:t xml:space="preserve"> </w:t>
      </w:r>
      <w:r w:rsidR="0090707C">
        <w:t xml:space="preserve">en supportant </w:t>
      </w:r>
      <w:r w:rsidR="008647D1">
        <w:t>des charges</w:t>
      </w:r>
      <w:r w:rsidR="0090707C">
        <w:t xml:space="preserve"> et à d’autres, en </w:t>
      </w:r>
      <w:r w:rsidR="0090707C" w:rsidRPr="00C265D5">
        <w:t>adoptant</w:t>
      </w:r>
      <w:r w:rsidR="0090707C">
        <w:t xml:space="preserve"> une position statique</w:t>
      </w:r>
      <w:r w:rsidR="008647D1">
        <w:t>;</w:t>
      </w:r>
    </w:p>
    <w:p w:rsidR="004A01E6" w:rsidRDefault="008647D1" w:rsidP="003F669C">
      <w:pPr>
        <w:numPr>
          <w:ilvl w:val="0"/>
          <w:numId w:val="9"/>
        </w:numPr>
        <w:spacing w:after="240"/>
        <w:ind w:left="709" w:hanging="425"/>
        <w:jc w:val="both"/>
      </w:pPr>
      <w:r>
        <w:t>certaines tâches exigent qu’il travaille avec les mains</w:t>
      </w:r>
      <w:r w:rsidR="004A01E6">
        <w:t xml:space="preserve"> loin du corps</w:t>
      </w:r>
      <w:r w:rsidR="00AE1A1D" w:rsidRPr="00AE1A1D">
        <w:t xml:space="preserve">, </w:t>
      </w:r>
      <w:r w:rsidR="004A01E6">
        <w:t>parfois en effectuant des mouvements de rotation ou d’</w:t>
      </w:r>
      <w:r w:rsidR="00307CC4">
        <w:t>extension du bras;</w:t>
      </w:r>
    </w:p>
    <w:p w:rsidR="00307CC4" w:rsidRDefault="0090707C" w:rsidP="003F669C">
      <w:pPr>
        <w:numPr>
          <w:ilvl w:val="0"/>
          <w:numId w:val="9"/>
        </w:numPr>
        <w:spacing w:after="240"/>
        <w:ind w:left="709" w:hanging="425"/>
        <w:jc w:val="both"/>
      </w:pPr>
      <w:r>
        <w:t>au cours des années 2000</w:t>
      </w:r>
      <w:r w:rsidR="00307CC4">
        <w:t xml:space="preserve">, le travailleur </w:t>
      </w:r>
      <w:r>
        <w:t xml:space="preserve">a été incommodé par des douleurs au niveau de ses membres supérieurs, dont l’intensité variait selon la nature du travail qu’il effectuait. Il </w:t>
      </w:r>
      <w:r w:rsidR="00307CC4">
        <w:t>consulte en raison de l’</w:t>
      </w:r>
      <w:r w:rsidR="00FC50F8">
        <w:t xml:space="preserve">augmentation et </w:t>
      </w:r>
      <w:r w:rsidR="00454787">
        <w:t xml:space="preserve">de la </w:t>
      </w:r>
      <w:r w:rsidR="00FC50F8">
        <w:t>persistance</w:t>
      </w:r>
      <w:r w:rsidR="00307CC4">
        <w:t xml:space="preserve"> des douleurs au niveau de ses épaules. À cette époque, le travailleur se plaignait de douleurs, surtout à la fin de la journée et lorsqu’il effectuait des mouvements au-dessus de la tête;</w:t>
      </w:r>
    </w:p>
    <w:p w:rsidR="00454787" w:rsidRPr="003F669C" w:rsidRDefault="00454787" w:rsidP="003F669C">
      <w:pPr>
        <w:numPr>
          <w:ilvl w:val="0"/>
          <w:numId w:val="9"/>
        </w:numPr>
        <w:spacing w:after="240"/>
        <w:ind w:left="709" w:hanging="425"/>
        <w:jc w:val="both"/>
      </w:pPr>
      <w:r w:rsidRPr="003F669C">
        <w:t>un diagnostic de tendinite du coude ainsi qu’une bursite de l’épaule droite ont été initialement posés;</w:t>
      </w:r>
    </w:p>
    <w:p w:rsidR="00454787" w:rsidRPr="003F669C" w:rsidRDefault="00454787" w:rsidP="003F669C">
      <w:pPr>
        <w:numPr>
          <w:ilvl w:val="0"/>
          <w:numId w:val="9"/>
        </w:numPr>
        <w:spacing w:after="240"/>
        <w:ind w:left="709" w:hanging="425"/>
        <w:jc w:val="both"/>
      </w:pPr>
      <w:r w:rsidRPr="003F669C">
        <w:t>le travailleur a continué de travailler dans le domaine de la construction en prenant des anti-inflammatoires ainsi que des traitements de physiothérapie;</w:t>
      </w:r>
    </w:p>
    <w:p w:rsidR="00307CC4" w:rsidRDefault="00307CC4" w:rsidP="003F669C">
      <w:pPr>
        <w:numPr>
          <w:ilvl w:val="0"/>
          <w:numId w:val="9"/>
        </w:numPr>
        <w:spacing w:after="240"/>
        <w:ind w:left="709" w:hanging="425"/>
        <w:jc w:val="both"/>
      </w:pPr>
      <w:r>
        <w:t xml:space="preserve">durant les mois </w:t>
      </w:r>
      <w:r w:rsidR="00454787">
        <w:t xml:space="preserve">et les années </w:t>
      </w:r>
      <w:r>
        <w:t xml:space="preserve">qui ont précédé la pose du diagnostic de déchirures des tendons de la coiffe des rotateurs, </w:t>
      </w:r>
      <w:r w:rsidR="0090707C">
        <w:t xml:space="preserve">le travailleur mentionne qu’il devait travailler souvent avec les bras en élévation et </w:t>
      </w:r>
      <w:r>
        <w:t>la douleur s’était intensifiée malgré les traitements de physiothérapie</w:t>
      </w:r>
      <w:r w:rsidR="00454787">
        <w:t>, la prise d’anti-inflammatoires et les infiltrations</w:t>
      </w:r>
      <w:r w:rsidR="003F669C">
        <w:t>;</w:t>
      </w:r>
    </w:p>
    <w:p w:rsidR="003F669C" w:rsidRDefault="003F669C" w:rsidP="00307CC4">
      <w:pPr>
        <w:numPr>
          <w:ilvl w:val="0"/>
          <w:numId w:val="9"/>
        </w:numPr>
        <w:spacing w:after="360"/>
        <w:ind w:left="709" w:hanging="425"/>
        <w:jc w:val="both"/>
      </w:pPr>
      <w:r>
        <w:t>en 2015, une résonance magnétique démontre que le travailleur est aux prises avec une arthrose acromio-claviculaire avec signes d’accrochage à l’épaule droite et « </w:t>
      </w:r>
      <w:r w:rsidRPr="003F669C">
        <w:rPr>
          <w:rStyle w:val="Citationintgre"/>
        </w:rPr>
        <w:t>favorisant un syndrome d’accrochage</w:t>
      </w:r>
      <w:r>
        <w:t xml:space="preserve"> » à l’épaule gauche. Selon le médecin-conseil de la Commission, cette condition fait partie d’une condition personnelle </w:t>
      </w:r>
      <w:r w:rsidR="00C265D5">
        <w:t>préexistante, à savoir une atteinte dégénérative sy</w:t>
      </w:r>
      <w:r w:rsidR="002B219F">
        <w:t>métrique</w:t>
      </w:r>
      <w:r w:rsidR="00C265D5">
        <w:t>.</w:t>
      </w:r>
    </w:p>
    <w:p w:rsidR="00AE1A1D" w:rsidRPr="00AE1A1D" w:rsidRDefault="00AE1A1D" w:rsidP="00AE1A1D">
      <w:pPr>
        <w:pStyle w:val="corpsdedcision"/>
        <w:tabs>
          <w:tab w:val="clear" w:pos="360"/>
          <w:tab w:val="num" w:pos="720"/>
        </w:tabs>
      </w:pPr>
      <w:r w:rsidRPr="00AE1A1D">
        <w:t>Le Tribunal doit alors se poser la question à savoir si les différentes tâches décrites</w:t>
      </w:r>
      <w:r w:rsidR="00AD5084">
        <w:t xml:space="preserve"> par le travailleur</w:t>
      </w:r>
      <w:r w:rsidRPr="00AE1A1D">
        <w:t xml:space="preserve"> sont la cause probable de </w:t>
      </w:r>
      <w:r w:rsidR="00307CC4">
        <w:t>la déchirure aux tendons de la coiffe des rotateurs, lesquelles ont été précédées par le diagnostic de tendinite de la coiffe des rotateurs bilatérale</w:t>
      </w:r>
      <w:r w:rsidRPr="00AE1A1D">
        <w:t xml:space="preserve">. Soulignons que dans le </w:t>
      </w:r>
      <w:r w:rsidRPr="00AE1A1D">
        <w:rPr>
          <w:i/>
        </w:rPr>
        <w:t>Vademecum</w:t>
      </w:r>
      <w:r w:rsidRPr="00AE1A1D">
        <w:t xml:space="preserve"> </w:t>
      </w:r>
      <w:r w:rsidRPr="00AE1A1D">
        <w:rPr>
          <w:i/>
        </w:rPr>
        <w:t>clinique : du diagnostic au traitement</w:t>
      </w:r>
      <w:r w:rsidRPr="00AE1A1D">
        <w:rPr>
          <w:vertAlign w:val="superscript"/>
        </w:rPr>
        <w:footnoteReference w:id="13"/>
      </w:r>
      <w:r w:rsidRPr="00AE1A1D">
        <w:t>, la tendinopathie est définie comme étant :</w:t>
      </w:r>
    </w:p>
    <w:p w:rsidR="00AE1A1D" w:rsidRPr="00AE1A1D" w:rsidRDefault="00AE1A1D" w:rsidP="00AE1A1D">
      <w:pPr>
        <w:ind w:left="720" w:right="720"/>
        <w:jc w:val="both"/>
        <w:rPr>
          <w:sz w:val="20"/>
        </w:rPr>
      </w:pPr>
      <w:r w:rsidRPr="00AE1A1D">
        <w:rPr>
          <w:sz w:val="20"/>
        </w:rPr>
        <w:t>La tendinite (ou ténosite) est une inflammation du tendon. La ténosynovite est une inflammation simultanée du tendon et sa gaine synoviale.</w:t>
      </w:r>
    </w:p>
    <w:p w:rsidR="00AE1A1D" w:rsidRPr="00AE1A1D" w:rsidRDefault="00AE1A1D" w:rsidP="00AE1A1D">
      <w:pPr>
        <w:ind w:left="720" w:right="720"/>
        <w:jc w:val="both"/>
        <w:rPr>
          <w:sz w:val="20"/>
        </w:rPr>
      </w:pPr>
    </w:p>
    <w:p w:rsidR="00AE1A1D" w:rsidRPr="00AE1A1D" w:rsidRDefault="00AE1A1D" w:rsidP="00AE1A1D">
      <w:pPr>
        <w:ind w:left="720" w:right="720"/>
        <w:jc w:val="both"/>
        <w:rPr>
          <w:b/>
          <w:sz w:val="20"/>
        </w:rPr>
      </w:pPr>
    </w:p>
    <w:p w:rsidR="00AE1A1D" w:rsidRPr="00AE1A1D" w:rsidRDefault="00AE1A1D" w:rsidP="00AE1A1D">
      <w:pPr>
        <w:pStyle w:val="corpsdedcision"/>
        <w:tabs>
          <w:tab w:val="clear" w:pos="360"/>
          <w:tab w:val="num" w:pos="720"/>
        </w:tabs>
      </w:pPr>
      <w:r w:rsidRPr="00AE1A1D">
        <w:t xml:space="preserve">De plus, il est reconnu par le Tribunal que les facteurs contributifs à la survenance d’une tendinite au membre supérieur peuvent être multiples. L’étiologie est souvent considérée multifactorielle. Selon le </w:t>
      </w:r>
      <w:r w:rsidRPr="00AE1A1D">
        <w:rPr>
          <w:i/>
        </w:rPr>
        <w:t>Larousse médical</w:t>
      </w:r>
      <w:r w:rsidRPr="00AE1A1D">
        <w:rPr>
          <w:vertAlign w:val="superscript"/>
        </w:rPr>
        <w:footnoteReference w:id="14"/>
      </w:r>
      <w:r w:rsidRPr="00AE1A1D">
        <w:t>, les tendinites peuvent : </w:t>
      </w:r>
    </w:p>
    <w:p w:rsidR="00AE1A1D" w:rsidRPr="00AE1A1D" w:rsidRDefault="00AE1A1D" w:rsidP="00AE1A1D">
      <w:pPr>
        <w:ind w:left="720" w:right="720"/>
        <w:jc w:val="both"/>
        <w:rPr>
          <w:sz w:val="20"/>
          <w:lang w:val="fr-FR"/>
        </w:rPr>
      </w:pPr>
      <w:r w:rsidRPr="00AE1A1D">
        <w:rPr>
          <w:sz w:val="20"/>
          <w:lang w:val="fr-FR"/>
        </w:rPr>
        <w:t xml:space="preserve">[…] être dues à des microtraumatismes répétés, professionnels ou sportifs […], ou être d'origine dégénérative, le vieillissement des tissus entraînant une usure, […]. Une tendinite peut être liée à une maladie articulaire inflammatoire, […] ou à une polyarthrite rhumatoïde. </w:t>
      </w:r>
    </w:p>
    <w:p w:rsidR="00AE1A1D" w:rsidRPr="00AE1A1D" w:rsidRDefault="00AE1A1D" w:rsidP="00AE1A1D">
      <w:pPr>
        <w:ind w:left="720" w:right="720"/>
        <w:jc w:val="both"/>
        <w:rPr>
          <w:sz w:val="20"/>
          <w:lang w:val="fr-FR"/>
        </w:rPr>
      </w:pPr>
    </w:p>
    <w:p w:rsidR="00AE1A1D" w:rsidRPr="00AE1A1D" w:rsidRDefault="00AE1A1D" w:rsidP="00AE1A1D">
      <w:pPr>
        <w:ind w:left="720" w:right="720"/>
        <w:jc w:val="both"/>
        <w:rPr>
          <w:sz w:val="20"/>
          <w:lang w:val="fr-FR"/>
        </w:rPr>
      </w:pPr>
    </w:p>
    <w:p w:rsidR="00970E37" w:rsidRDefault="00AE1A1D" w:rsidP="000E219A">
      <w:pPr>
        <w:pStyle w:val="corpsdedcision"/>
        <w:tabs>
          <w:tab w:val="clear" w:pos="360"/>
          <w:tab w:val="num" w:pos="720"/>
        </w:tabs>
      </w:pPr>
      <w:r w:rsidRPr="00AE1A1D">
        <w:t>Ceci dit, la jurisprudence enseigne que nous sommes en présence de risques particuliers lorsque l’exercice d’un travail fait encourir au travailleur, en raison de sa nature ou de ses conditions habituelles d’exercice, un risque particulier de développer une maladie.</w:t>
      </w:r>
      <w:r w:rsidRPr="00AE1A1D">
        <w:rPr>
          <w:vertAlign w:val="superscript"/>
        </w:rPr>
        <w:footnoteReference w:id="15"/>
      </w:r>
      <w:r w:rsidRPr="00AE1A1D">
        <w:t xml:space="preserve"> Le Tribunal a également reconnu que la maladie reliée à un risque particulier du travail peut être qualifiée de maladie professionnelle si le travail a contribué de façon significative et déterminante au développement de cette maladie.</w:t>
      </w:r>
      <w:r w:rsidRPr="00AE1A1D">
        <w:rPr>
          <w:vertAlign w:val="superscript"/>
        </w:rPr>
        <w:footnoteReference w:id="16"/>
      </w:r>
      <w:r w:rsidRPr="00AE1A1D">
        <w:t xml:space="preserve"> </w:t>
      </w:r>
    </w:p>
    <w:p w:rsidR="00970E37" w:rsidRPr="00AE1A1D" w:rsidRDefault="009915FF" w:rsidP="007D4727">
      <w:pPr>
        <w:pStyle w:val="corpsdedcision"/>
      </w:pPr>
      <w:r>
        <w:t>Les enseignements jurisprudentiels relatifs au rôle des risques particuliers ne font pas obstacle à la</w:t>
      </w:r>
      <w:r w:rsidR="00970E37">
        <w:t xml:space="preserve"> reconnaissance d’une lésion professionnelle même si </w:t>
      </w:r>
      <w:r>
        <w:t>un</w:t>
      </w:r>
      <w:r w:rsidR="00970E37">
        <w:t xml:space="preserve"> travailleur est atteint </w:t>
      </w:r>
      <w:r>
        <w:t xml:space="preserve">d’une prédisposition ou </w:t>
      </w:r>
      <w:r w:rsidR="00970E37">
        <w:t xml:space="preserve">d’une maladie préexistante. </w:t>
      </w:r>
      <w:r w:rsidR="00970E37" w:rsidRPr="00AE1A1D">
        <w:t xml:space="preserve">Dans l’affaire </w:t>
      </w:r>
      <w:r w:rsidR="00970E37" w:rsidRPr="00970E37">
        <w:rPr>
          <w:i/>
        </w:rPr>
        <w:t>Roy</w:t>
      </w:r>
      <w:r w:rsidR="00970E37" w:rsidRPr="00AE1A1D">
        <w:t xml:space="preserve"> et </w:t>
      </w:r>
      <w:r w:rsidR="00970E37" w:rsidRPr="00970E37">
        <w:rPr>
          <w:i/>
        </w:rPr>
        <w:t>Services ménagers Roy ltée</w:t>
      </w:r>
      <w:r w:rsidR="00970E37" w:rsidRPr="00AE1A1D">
        <w:rPr>
          <w:vertAlign w:val="superscript"/>
        </w:rPr>
        <w:footnoteReference w:id="17"/>
      </w:r>
      <w:r w:rsidR="00970E37" w:rsidRPr="00AE1A1D">
        <w:t>, le Tribunal a réitéré ce principe :</w:t>
      </w:r>
    </w:p>
    <w:p w:rsidR="00970E37" w:rsidRPr="00AE1A1D" w:rsidRDefault="00970E37" w:rsidP="00970E37">
      <w:pPr>
        <w:ind w:left="720" w:right="720"/>
        <w:jc w:val="both"/>
        <w:rPr>
          <w:sz w:val="20"/>
          <w:lang w:val="fr-FR"/>
        </w:rPr>
      </w:pPr>
      <w:r w:rsidRPr="00AE1A1D">
        <w:rPr>
          <w:sz w:val="20"/>
          <w:lang w:val="fr-FR"/>
        </w:rPr>
        <w:t>[21]</w:t>
      </w:r>
      <w:r w:rsidRPr="00AE1A1D">
        <w:rPr>
          <w:sz w:val="20"/>
          <w:lang w:val="fr-FR"/>
        </w:rPr>
        <w:tab/>
        <w:t xml:space="preserve">[…] </w:t>
      </w:r>
      <w:r w:rsidRPr="00AE1A1D">
        <w:rPr>
          <w:sz w:val="20"/>
        </w:rPr>
        <w:t xml:space="preserve">Les principes applicables à ce sujet sont bien établis tant dans la jurisprudence de la défunte </w:t>
      </w:r>
      <w:r w:rsidRPr="00AE1A1D">
        <w:rPr>
          <w:sz w:val="20"/>
          <w:lang w:val="fr-FR"/>
        </w:rPr>
        <w:t xml:space="preserve">Commission d’appel en matière de </w:t>
      </w:r>
      <w:r w:rsidRPr="00AE1A1D">
        <w:rPr>
          <w:sz w:val="20"/>
        </w:rPr>
        <w:t>lésions professionnelle</w:t>
      </w:r>
      <w:r w:rsidRPr="00AE1A1D">
        <w:rPr>
          <w:sz w:val="20"/>
          <w:lang w:val="fr-FR"/>
        </w:rPr>
        <w:t xml:space="preserve">s, de la Commission des </w:t>
      </w:r>
      <w:r w:rsidRPr="00AE1A1D">
        <w:rPr>
          <w:sz w:val="20"/>
        </w:rPr>
        <w:t>lésions professionnelle</w:t>
      </w:r>
      <w:r w:rsidRPr="00AE1A1D">
        <w:rPr>
          <w:sz w:val="20"/>
          <w:lang w:val="fr-FR"/>
        </w:rPr>
        <w:t>s</w:t>
      </w:r>
      <w:r w:rsidRPr="00AE1A1D">
        <w:rPr>
          <w:sz w:val="20"/>
        </w:rPr>
        <w:t xml:space="preserve"> que dans celle des tribunaux supérieurs. </w:t>
      </w:r>
      <w:r w:rsidRPr="00AE1A1D">
        <w:rPr>
          <w:sz w:val="20"/>
          <w:lang w:val="fr-FR"/>
        </w:rPr>
        <w:t xml:space="preserve">La Cour d’appel le rappelait en 1992 dans l’affaire </w:t>
      </w:r>
      <w:r w:rsidRPr="00AE1A1D">
        <w:rPr>
          <w:i/>
          <w:sz w:val="20"/>
          <w:lang w:val="fr-FR"/>
        </w:rPr>
        <w:t>Chaput</w:t>
      </w:r>
      <w:r w:rsidRPr="00AE1A1D">
        <w:rPr>
          <w:sz w:val="20"/>
          <w:lang w:val="fr-FR"/>
        </w:rPr>
        <w:t> :</w:t>
      </w:r>
    </w:p>
    <w:p w:rsidR="00970E37" w:rsidRPr="00AE1A1D" w:rsidRDefault="00970E37" w:rsidP="00970E37">
      <w:pPr>
        <w:ind w:left="720" w:right="720"/>
        <w:jc w:val="both"/>
        <w:rPr>
          <w:sz w:val="20"/>
          <w:lang w:val="fr-FR"/>
        </w:rPr>
      </w:pPr>
    </w:p>
    <w:p w:rsidR="00970E37" w:rsidRPr="00AE1A1D" w:rsidRDefault="00970E37" w:rsidP="00970E37">
      <w:pPr>
        <w:ind w:left="1418" w:right="1422"/>
        <w:jc w:val="both"/>
        <w:rPr>
          <w:sz w:val="18"/>
          <w:szCs w:val="18"/>
        </w:rPr>
      </w:pPr>
      <w:r w:rsidRPr="00AE1A1D">
        <w:rPr>
          <w:sz w:val="18"/>
          <w:szCs w:val="18"/>
        </w:rPr>
        <w:t>Par ailleurs, que l'appelant ait eu certaines prédispositions physiques pouvant favoriser l'entorse lombaire alors subie, n'est pas, en l'espèce, un élément qui puisse conduire à la négation de la survenance d'une lésion professionnelle par le fait ou à l'occasion d'un accident du travail.</w:t>
      </w:r>
    </w:p>
    <w:p w:rsidR="00970E37" w:rsidRPr="00AE1A1D" w:rsidRDefault="00970E37" w:rsidP="00970E37">
      <w:pPr>
        <w:ind w:left="1418" w:right="1422"/>
        <w:jc w:val="both"/>
        <w:rPr>
          <w:sz w:val="18"/>
          <w:szCs w:val="18"/>
        </w:rPr>
      </w:pPr>
    </w:p>
    <w:p w:rsidR="00970E37" w:rsidRPr="00AE1A1D" w:rsidRDefault="00970E37" w:rsidP="00970E37">
      <w:pPr>
        <w:ind w:left="1418" w:right="1422"/>
        <w:jc w:val="both"/>
        <w:rPr>
          <w:sz w:val="18"/>
          <w:szCs w:val="18"/>
        </w:rPr>
      </w:pPr>
      <w:r w:rsidRPr="00AE1A1D">
        <w:rPr>
          <w:sz w:val="18"/>
          <w:szCs w:val="18"/>
        </w:rPr>
        <w:t>À moins de circonstances particulières, il faut prendre la personne humaine comme elle est, avec son âge, avec ses faiblesses, avec ses vicissitudes.</w:t>
      </w:r>
    </w:p>
    <w:p w:rsidR="00970E37" w:rsidRPr="00AE1A1D" w:rsidRDefault="00970E37" w:rsidP="00970E37">
      <w:pPr>
        <w:ind w:left="1418" w:right="1422"/>
        <w:jc w:val="both"/>
        <w:rPr>
          <w:sz w:val="18"/>
          <w:szCs w:val="18"/>
        </w:rPr>
      </w:pPr>
    </w:p>
    <w:p w:rsidR="00970E37" w:rsidRPr="00AE1A1D" w:rsidRDefault="00970E37" w:rsidP="00970E37">
      <w:pPr>
        <w:ind w:left="1418" w:right="1422"/>
        <w:jc w:val="both"/>
        <w:rPr>
          <w:sz w:val="20"/>
        </w:rPr>
      </w:pPr>
      <w:r w:rsidRPr="00AE1A1D">
        <w:rPr>
          <w:sz w:val="18"/>
          <w:szCs w:val="18"/>
        </w:rPr>
        <w:t xml:space="preserve">Autrement, il faudrait juger suivant une norme de la personne en parfaite santé et condition physique, ce qui ne correspondrait sûrement pas aux objectifs de la </w:t>
      </w:r>
      <w:r w:rsidRPr="00AE1A1D">
        <w:rPr>
          <w:sz w:val="18"/>
          <w:szCs w:val="18"/>
          <w:u w:val="single"/>
        </w:rPr>
        <w:t>Loi</w:t>
      </w:r>
      <w:r w:rsidRPr="00AE1A1D">
        <w:rPr>
          <w:sz w:val="18"/>
          <w:szCs w:val="18"/>
        </w:rPr>
        <w:t>.</w:t>
      </w:r>
      <w:r w:rsidRPr="00AE1A1D">
        <w:rPr>
          <w:sz w:val="18"/>
          <w:szCs w:val="18"/>
          <w:vertAlign w:val="superscript"/>
        </w:rPr>
        <w:t>2</w:t>
      </w:r>
    </w:p>
    <w:p w:rsidR="00970E37" w:rsidRPr="00AE1A1D" w:rsidRDefault="00970E37" w:rsidP="00970E37">
      <w:pPr>
        <w:ind w:left="1418" w:right="1422"/>
        <w:jc w:val="both"/>
        <w:rPr>
          <w:sz w:val="16"/>
          <w:szCs w:val="16"/>
          <w:lang w:val="fr-FR"/>
        </w:rPr>
      </w:pPr>
    </w:p>
    <w:p w:rsidR="00970E37" w:rsidRPr="00AE1A1D" w:rsidRDefault="00970E37" w:rsidP="00970E37">
      <w:pPr>
        <w:ind w:left="1418" w:right="1422"/>
        <w:jc w:val="both"/>
        <w:rPr>
          <w:sz w:val="16"/>
          <w:szCs w:val="16"/>
          <w:lang w:val="fr-FR"/>
        </w:rPr>
      </w:pPr>
    </w:p>
    <w:p w:rsidR="00970E37" w:rsidRPr="00AE1A1D" w:rsidRDefault="00970E37" w:rsidP="00970E37">
      <w:pPr>
        <w:ind w:left="720" w:right="720"/>
        <w:jc w:val="both"/>
        <w:rPr>
          <w:sz w:val="20"/>
        </w:rPr>
      </w:pPr>
      <w:r w:rsidRPr="00AE1A1D">
        <w:rPr>
          <w:sz w:val="20"/>
        </w:rPr>
        <w:t>[22]</w:t>
      </w:r>
      <w:r w:rsidRPr="00AE1A1D">
        <w:rPr>
          <w:sz w:val="20"/>
        </w:rPr>
        <w:tab/>
        <w:t xml:space="preserve">De nouveau en 2001, la Cour d’appel dans l'affaire </w:t>
      </w:r>
      <w:r w:rsidRPr="00AE1A1D">
        <w:rPr>
          <w:i/>
          <w:sz w:val="20"/>
        </w:rPr>
        <w:t>PPG Canada</w:t>
      </w:r>
      <w:r w:rsidRPr="00AE1A1D">
        <w:rPr>
          <w:sz w:val="20"/>
          <w:vertAlign w:val="superscript"/>
        </w:rPr>
        <w:t>3</w:t>
      </w:r>
      <w:r w:rsidRPr="00AE1A1D">
        <w:rPr>
          <w:sz w:val="20"/>
        </w:rPr>
        <w:t xml:space="preserve">, après avoir rappelé les arrêts rendus dans </w:t>
      </w:r>
      <w:r w:rsidRPr="00AE1A1D">
        <w:rPr>
          <w:i/>
          <w:sz w:val="20"/>
        </w:rPr>
        <w:t xml:space="preserve">Chaput </w:t>
      </w:r>
      <w:r w:rsidRPr="00AE1A1D">
        <w:rPr>
          <w:sz w:val="20"/>
        </w:rPr>
        <w:t xml:space="preserve">et dans </w:t>
      </w:r>
      <w:r w:rsidRPr="00AE1A1D">
        <w:rPr>
          <w:i/>
          <w:sz w:val="20"/>
        </w:rPr>
        <w:t>Produits chimiques Expro</w:t>
      </w:r>
      <w:r w:rsidRPr="00AE1A1D">
        <w:rPr>
          <w:sz w:val="20"/>
          <w:vertAlign w:val="superscript"/>
        </w:rPr>
        <w:t>4</w:t>
      </w:r>
      <w:r w:rsidRPr="00AE1A1D">
        <w:rPr>
          <w:sz w:val="20"/>
        </w:rPr>
        <w:t>, énonçait ainsi la règle applicable :</w:t>
      </w:r>
    </w:p>
    <w:p w:rsidR="00970E37" w:rsidRPr="00AE1A1D" w:rsidRDefault="00970E37" w:rsidP="00970E37">
      <w:pPr>
        <w:ind w:left="720" w:right="720"/>
        <w:jc w:val="both"/>
        <w:rPr>
          <w:sz w:val="20"/>
        </w:rPr>
      </w:pPr>
    </w:p>
    <w:p w:rsidR="00970E37" w:rsidRPr="00AE1A1D" w:rsidRDefault="00970E37" w:rsidP="00970E37">
      <w:pPr>
        <w:ind w:left="1418" w:right="1422"/>
        <w:jc w:val="both"/>
        <w:rPr>
          <w:sz w:val="18"/>
          <w:szCs w:val="18"/>
        </w:rPr>
      </w:pPr>
      <w:r w:rsidRPr="00AE1A1D">
        <w:rPr>
          <w:sz w:val="18"/>
          <w:szCs w:val="18"/>
        </w:rPr>
        <w:t>[16] Il ressort clairement de ces décisions que pour conclure qu’une aggravation d’une condition personnelle préexistante constitue une lésion professionnelle, il faut que soit survenu un accident du travail ou une aggravation causée par les risques particuliers du travail.</w:t>
      </w:r>
    </w:p>
    <w:p w:rsidR="00970E37" w:rsidRPr="00AE1A1D" w:rsidRDefault="00970E37" w:rsidP="00970E37">
      <w:pPr>
        <w:ind w:left="1418" w:right="1422"/>
        <w:jc w:val="both"/>
        <w:rPr>
          <w:sz w:val="16"/>
          <w:szCs w:val="16"/>
        </w:rPr>
      </w:pPr>
    </w:p>
    <w:p w:rsidR="00970E37" w:rsidRDefault="00970E37" w:rsidP="00970E37">
      <w:pPr>
        <w:ind w:left="1418" w:right="720"/>
        <w:jc w:val="both"/>
        <w:rPr>
          <w:sz w:val="16"/>
          <w:szCs w:val="16"/>
        </w:rPr>
      </w:pPr>
    </w:p>
    <w:p w:rsidR="00592183" w:rsidRDefault="00592183" w:rsidP="00592183">
      <w:pPr>
        <w:ind w:left="709" w:right="720"/>
        <w:jc w:val="both"/>
        <w:rPr>
          <w:sz w:val="20"/>
        </w:rPr>
      </w:pPr>
      <w:r w:rsidRPr="00592183">
        <w:rPr>
          <w:sz w:val="20"/>
        </w:rPr>
        <w:t>[23]</w:t>
      </w:r>
      <w:r w:rsidRPr="00592183">
        <w:rPr>
          <w:sz w:val="20"/>
        </w:rPr>
        <w:tab/>
        <w:t>L'aggravation d'une condition personnelle n'est pas une catégorie de lésion professionnelle qui s'ajoute à celles déjà décrites par le législateur. Il faut obligatoirement qu'un accident du travail se soit produit ou qu'une maladie pro</w:t>
      </w:r>
      <w:r>
        <w:rPr>
          <w:sz w:val="20"/>
        </w:rPr>
        <w:t>fessionnelle se soit déclenchée</w:t>
      </w:r>
      <w:r w:rsidRPr="00592183">
        <w:rPr>
          <w:sz w:val="20"/>
          <w:vertAlign w:val="superscript"/>
        </w:rPr>
        <w:t>5</w:t>
      </w:r>
      <w:r w:rsidRPr="00592183">
        <w:rPr>
          <w:sz w:val="20"/>
        </w:rPr>
        <w:t>.</w:t>
      </w:r>
    </w:p>
    <w:p w:rsidR="00592183" w:rsidRPr="00592183" w:rsidRDefault="00592183" w:rsidP="00592183">
      <w:pPr>
        <w:ind w:left="709" w:right="720"/>
        <w:jc w:val="both"/>
        <w:rPr>
          <w:sz w:val="20"/>
        </w:rPr>
      </w:pPr>
    </w:p>
    <w:p w:rsidR="00970E37" w:rsidRPr="00AE1A1D" w:rsidRDefault="00970E37" w:rsidP="00970E37">
      <w:pPr>
        <w:spacing w:after="360"/>
        <w:ind w:left="720" w:right="720"/>
        <w:jc w:val="both"/>
        <w:rPr>
          <w:szCs w:val="24"/>
        </w:rPr>
      </w:pPr>
      <w:r w:rsidRPr="00AE1A1D">
        <w:rPr>
          <w:szCs w:val="24"/>
        </w:rPr>
        <w:t>[Références omises]</w:t>
      </w:r>
    </w:p>
    <w:p w:rsidR="00B40688" w:rsidRDefault="00B40688" w:rsidP="0090707C">
      <w:pPr>
        <w:pStyle w:val="corpsdedcision"/>
      </w:pPr>
      <w:r>
        <w:t>Ainsi</w:t>
      </w:r>
      <w:r w:rsidR="00AE1A1D" w:rsidRPr="00AE1A1D">
        <w:t xml:space="preserve">, pour que le Tribunal conclue que </w:t>
      </w:r>
      <w:r w:rsidR="009F4F82">
        <w:t xml:space="preserve">le travailleur est </w:t>
      </w:r>
      <w:r w:rsidR="00A53675">
        <w:t xml:space="preserve">atteint d’une maladie professionnelle, il doit être exposé aux </w:t>
      </w:r>
      <w:r w:rsidR="00AE1A1D" w:rsidRPr="00AE1A1D">
        <w:t>facteurs de risque</w:t>
      </w:r>
      <w:r w:rsidR="00A53675">
        <w:t xml:space="preserve">. </w:t>
      </w:r>
      <w:r>
        <w:t>Dans le présent dossier, m</w:t>
      </w:r>
      <w:r w:rsidR="0090707C">
        <w:t>ême si les examens radiologiques ont</w:t>
      </w:r>
      <w:r>
        <w:t xml:space="preserve"> démontré </w:t>
      </w:r>
      <w:r w:rsidR="0090707C">
        <w:t xml:space="preserve">la présence d’arthrose et d’une tendinite chronique, conditions que le médecin-conseil de la Commission catégorise comme </w:t>
      </w:r>
      <w:r>
        <w:t xml:space="preserve">étant </w:t>
      </w:r>
      <w:r w:rsidR="0090707C">
        <w:t>une condition personnelle dégénérative, i</w:t>
      </w:r>
      <w:r w:rsidR="00AE1A1D" w:rsidRPr="00AE1A1D">
        <w:t xml:space="preserve">l y a lieu </w:t>
      </w:r>
      <w:r>
        <w:t>d’évaluer</w:t>
      </w:r>
      <w:r w:rsidR="00AE1A1D" w:rsidRPr="00AE1A1D">
        <w:t xml:space="preserve"> les différents éléments</w:t>
      </w:r>
      <w:r w:rsidR="0090707C">
        <w:t xml:space="preserve"> qui auraient pu avoir contribué à la manifestation ou à l’aggravation de l’état du travailleur,</w:t>
      </w:r>
      <w:r w:rsidR="0090707C" w:rsidRPr="00AE1A1D">
        <w:t xml:space="preserve"> </w:t>
      </w:r>
      <w:r>
        <w:t xml:space="preserve">c’est-à-dire des risques particuliers, </w:t>
      </w:r>
      <w:r w:rsidR="0090707C" w:rsidRPr="00AE1A1D">
        <w:t>tels que la répétitivité des mouvements, les positions contr</w:t>
      </w:r>
      <w:r w:rsidR="0090707C">
        <w:t>aignantes, l’emploi de la force et</w:t>
      </w:r>
      <w:r w:rsidR="0090707C" w:rsidRPr="00AE1A1D">
        <w:t xml:space="preserve"> le temps de repos</w:t>
      </w:r>
      <w:r w:rsidR="0090707C">
        <w:t>.</w:t>
      </w:r>
      <w:r w:rsidR="00AE1A1D" w:rsidRPr="00AE1A1D">
        <w:t xml:space="preserve"> </w:t>
      </w:r>
    </w:p>
    <w:p w:rsidR="006A4A1B" w:rsidRDefault="00A53675" w:rsidP="0090707C">
      <w:pPr>
        <w:pStyle w:val="corpsdedcision"/>
      </w:pPr>
      <w:r>
        <w:t>Quant aux facteurs de risque relatifs à la lésion dont le travailleur est atteint, certains sont décrits dans l</w:t>
      </w:r>
      <w:r w:rsidR="009F4F82">
        <w:t xml:space="preserve">es différents extraits de la littérature médicale déposée </w:t>
      </w:r>
      <w:r w:rsidR="00AE1A1D" w:rsidRPr="00AE1A1D">
        <w:t xml:space="preserve">par </w:t>
      </w:r>
      <w:r w:rsidR="009F4F82">
        <w:t>le représentant du travailleur, c’est-à-dire les postures répété</w:t>
      </w:r>
      <w:r w:rsidR="0090707C">
        <w:t>es ou maintenues nécessitant 60 </w:t>
      </w:r>
      <w:r w:rsidR="009F4F82">
        <w:t>degrés ou plus de flexion antérieure ou d’abduction et le travail avec les mains plus haut que l</w:t>
      </w:r>
      <w:r w:rsidR="006A4A1B">
        <w:t xml:space="preserve">es </w:t>
      </w:r>
      <w:r w:rsidR="009F4F82">
        <w:t>épaule</w:t>
      </w:r>
      <w:r w:rsidR="006A4A1B">
        <w:t>s</w:t>
      </w:r>
      <w:r w:rsidR="009F4F82">
        <w:t xml:space="preserve"> ainsi que le travail nécessitant des mouvements de rotation et d’extension du bras.</w:t>
      </w:r>
      <w:r w:rsidR="006A4A1B">
        <w:t xml:space="preserve"> </w:t>
      </w:r>
      <w:r w:rsidR="0090707C">
        <w:t xml:space="preserve">D’ailleurs, </w:t>
      </w:r>
      <w:r w:rsidR="0090707C" w:rsidRPr="0090707C">
        <w:t xml:space="preserve">dans l’affaire </w:t>
      </w:r>
      <w:r w:rsidR="0090707C" w:rsidRPr="0090707C">
        <w:rPr>
          <w:i/>
        </w:rPr>
        <w:t>Huot UK</w:t>
      </w:r>
      <w:r w:rsidR="0090707C" w:rsidRPr="0090707C">
        <w:t xml:space="preserve"> et </w:t>
      </w:r>
      <w:r w:rsidR="0090707C" w:rsidRPr="0090707C">
        <w:rPr>
          <w:i/>
        </w:rPr>
        <w:t>Plasticon Canada inc</w:t>
      </w:r>
      <w:r w:rsidR="0090707C" w:rsidRPr="0090707C">
        <w:t xml:space="preserve">., un des facteurs de risque </w:t>
      </w:r>
      <w:r w:rsidR="0090707C">
        <w:t>identifié</w:t>
      </w:r>
      <w:r w:rsidR="0061486A">
        <w:t>s</w:t>
      </w:r>
      <w:r w:rsidR="0090707C">
        <w:t xml:space="preserve"> était </w:t>
      </w:r>
      <w:r w:rsidR="0061486A">
        <w:t>les</w:t>
      </w:r>
      <w:r w:rsidR="0090707C" w:rsidRPr="0090707C">
        <w:t xml:space="preserve"> mouvements des membres supérieurs nécessitant une flexion antérieure ou une abduction de l’épaule à plus de 60 degrés avec force et de manière répétitive ou le maintien prolongé d’une telle </w:t>
      </w:r>
      <w:r w:rsidR="0090707C" w:rsidRPr="0061486A">
        <w:t xml:space="preserve">posture. </w:t>
      </w:r>
      <w:r w:rsidR="0061486A" w:rsidRPr="0061486A">
        <w:t xml:space="preserve">Évidemment, </w:t>
      </w:r>
      <w:r w:rsidR="0061486A">
        <w:t xml:space="preserve">tel que mentionné dans la doctrine médicale déposée au dossier, le risque est plus grand lorsque </w:t>
      </w:r>
      <w:r w:rsidR="00B40688" w:rsidRPr="00B40688">
        <w:t xml:space="preserve">le bras </w:t>
      </w:r>
      <w:r w:rsidR="0061486A">
        <w:t xml:space="preserve">est appelé à travailler loin du corps et quand la charge mécanique sur l’articulation du bras est importante. </w:t>
      </w:r>
      <w:r w:rsidR="006A4A1B" w:rsidRPr="0061486A">
        <w:t>Ce document mentionne également que le risque est plus grand lorsque le bras est appelé à travailler loin du corps</w:t>
      </w:r>
      <w:r w:rsidR="00B40688">
        <w:t>, surtout si la charge</w:t>
      </w:r>
      <w:r w:rsidR="006A4A1B" w:rsidRPr="0061486A">
        <w:t xml:space="preserve"> mécanique sur l’articulation de l’épaule est importante</w:t>
      </w:r>
      <w:r w:rsidR="006A4A1B">
        <w:t xml:space="preserve">. </w:t>
      </w:r>
    </w:p>
    <w:p w:rsidR="00A53675" w:rsidRDefault="00A53675" w:rsidP="007D4727">
      <w:pPr>
        <w:pStyle w:val="corpsdedcision"/>
        <w:tabs>
          <w:tab w:val="clear" w:pos="360"/>
          <w:tab w:val="num" w:pos="720"/>
        </w:tabs>
      </w:pPr>
      <w:r>
        <w:t xml:space="preserve">À cet égard, le Tribunal est d’avis que la preuve </w:t>
      </w:r>
      <w:r w:rsidR="008B1896">
        <w:t>a révélé</w:t>
      </w:r>
      <w:r>
        <w:t xml:space="preserve"> que </w:t>
      </w:r>
      <w:r w:rsidR="008B1896">
        <w:t xml:space="preserve">plusieurs des tâches exécutées par </w:t>
      </w:r>
      <w:r>
        <w:t xml:space="preserve">le travailleur </w:t>
      </w:r>
      <w:r w:rsidR="008B1896">
        <w:t>comportaient ces facteurs de risque.</w:t>
      </w:r>
      <w:r>
        <w:t xml:space="preserve"> </w:t>
      </w:r>
      <w:r w:rsidR="008B1896">
        <w:t>D’ailleurs, il est évident, tel que l’a mentionné le Tribunal dans une autre affaire</w:t>
      </w:r>
      <w:r w:rsidR="008B1896">
        <w:rPr>
          <w:rStyle w:val="Appelnotedebasdep"/>
        </w:rPr>
        <w:footnoteReference w:id="18"/>
      </w:r>
      <w:r w:rsidR="008B1896">
        <w:t xml:space="preserve">, qu’il y a une distinction </w:t>
      </w:r>
      <w:r w:rsidR="0061486A">
        <w:t xml:space="preserve">évidente entre l’effort physique requis dans la </w:t>
      </w:r>
      <w:r w:rsidR="008B1896">
        <w:t xml:space="preserve">construction résidentielle et celle de construire </w:t>
      </w:r>
      <w:r w:rsidR="0061486A">
        <w:t>du</w:t>
      </w:r>
      <w:r w:rsidR="008B1896">
        <w:t xml:space="preserve"> coffrage. La preuve révèle qu’au cours de sa carrière professionnelle, le travailleur a effectué plus de 31 000 heures de travail sur les chantiers de construction, dont un nombre très significatif d’heures était associé aux travaux de coffrage. Ce travail est physiquement exigeant et implique la manœuvre d’outils et de matériaux lourds. Pour accomplir ces tâches, la preuve a révélé que le travailleur devait travailler régulièrement avec les mains loin du corps </w:t>
      </w:r>
      <w:r w:rsidR="0061486A">
        <w:t xml:space="preserve">et surélevées, fréquemment </w:t>
      </w:r>
      <w:r w:rsidR="008B1896">
        <w:t xml:space="preserve">en supportant des charges. </w:t>
      </w:r>
      <w:r w:rsidR="0061486A">
        <w:t>D’ailleurs, l</w:t>
      </w:r>
      <w:r w:rsidR="008B1896">
        <w:t xml:space="preserve">e travailleur </w:t>
      </w:r>
      <w:r w:rsidR="0061486A">
        <w:t xml:space="preserve">décrit que pour faire certaines tâches, il </w:t>
      </w:r>
      <w:r w:rsidR="008B1896">
        <w:t>devait e</w:t>
      </w:r>
      <w:r w:rsidR="001E45B4">
        <w:t>ffectuer</w:t>
      </w:r>
      <w:r w:rsidR="008B1896">
        <w:t xml:space="preserve"> </w:t>
      </w:r>
      <w:r w:rsidR="001E45B4">
        <w:t xml:space="preserve">des mouvements d’abduction </w:t>
      </w:r>
      <w:r w:rsidR="0061486A">
        <w:t>à</w:t>
      </w:r>
      <w:r w:rsidR="001E45B4">
        <w:t xml:space="preserve"> plus de 60 degrés avec ses membres supérieurs. Même si ces gestes ne peuvent être qualifiés comme étant répétitifs, ils </w:t>
      </w:r>
      <w:r w:rsidR="0061486A">
        <w:t>s</w:t>
      </w:r>
      <w:r w:rsidR="001E45B4">
        <w:t>ont</w:t>
      </w:r>
      <w:r w:rsidR="0061486A">
        <w:t xml:space="preserve">, de l’avis du Tribunal, exigeants, car le travailleur devait </w:t>
      </w:r>
      <w:r w:rsidR="00B40688">
        <w:t xml:space="preserve">fréquemment </w:t>
      </w:r>
      <w:r w:rsidR="0061486A">
        <w:t xml:space="preserve">soulever des charges dans des positions contraignantes. </w:t>
      </w:r>
      <w:r w:rsidR="001E45B4">
        <w:t>Pour le Tribunal, la manipulation fréquente des charges dur</w:t>
      </w:r>
      <w:r w:rsidR="0061486A">
        <w:t>ant de nombreuses années aurait, en toute probabilité, contribué de faç</w:t>
      </w:r>
      <w:r w:rsidR="007B43AD">
        <w:t>on significative et déterminante</w:t>
      </w:r>
      <w:r w:rsidR="0061486A">
        <w:t xml:space="preserve"> à l’évolution de sa pathologie. </w:t>
      </w:r>
    </w:p>
    <w:p w:rsidR="00E157F8" w:rsidRDefault="001E45B4" w:rsidP="006A4A1B">
      <w:pPr>
        <w:pStyle w:val="corpsdedcision"/>
        <w:tabs>
          <w:tab w:val="clear" w:pos="360"/>
          <w:tab w:val="clear" w:pos="720"/>
        </w:tabs>
      </w:pPr>
      <w:r w:rsidRPr="001E45B4">
        <w:t xml:space="preserve">Bien que la preuve ait </w:t>
      </w:r>
      <w:r w:rsidR="006A4A1B" w:rsidRPr="001E45B4">
        <w:t xml:space="preserve">révélé </w:t>
      </w:r>
      <w:r w:rsidRPr="001E45B4">
        <w:t xml:space="preserve">que le travailleur </w:t>
      </w:r>
      <w:r w:rsidR="00E157F8">
        <w:t xml:space="preserve">était </w:t>
      </w:r>
      <w:r w:rsidRPr="001E45B4">
        <w:t xml:space="preserve">souvent assisté lors des travaux de coffrage par </w:t>
      </w:r>
      <w:r w:rsidR="00E157F8">
        <w:t xml:space="preserve">la </w:t>
      </w:r>
      <w:r w:rsidRPr="001E45B4">
        <w:t>machinerie lourde</w:t>
      </w:r>
      <w:r w:rsidR="00E157F8">
        <w:t xml:space="preserve"> ou des coéquipiers lorsqu’il devait soulever des charges</w:t>
      </w:r>
      <w:r w:rsidRPr="001E45B4">
        <w:t xml:space="preserve">, plusieurs de ses tâches nécessitaient </w:t>
      </w:r>
      <w:r w:rsidR="00E157F8">
        <w:t>qu’il contribue au</w:t>
      </w:r>
      <w:r w:rsidRPr="001E45B4">
        <w:t xml:space="preserve"> transport, la manipulation et la mise en place des matériaux lourds avec les bras surélevés. D’ailleurs, il a également participé</w:t>
      </w:r>
      <w:r w:rsidR="00E157F8">
        <w:t>,</w:t>
      </w:r>
      <w:r w:rsidRPr="001E45B4">
        <w:t xml:space="preserve"> </w:t>
      </w:r>
      <w:r w:rsidR="00E157F8">
        <w:t xml:space="preserve">au fil des années, </w:t>
      </w:r>
      <w:r w:rsidRPr="001E45B4">
        <w:t xml:space="preserve">à des travaux de démolition qui nécessitaient </w:t>
      </w:r>
      <w:r>
        <w:t>l’utilisation d’un marteau-piqueur</w:t>
      </w:r>
      <w:r w:rsidR="00E157F8">
        <w:t>, et ce,</w:t>
      </w:r>
      <w:r>
        <w:t xml:space="preserve"> en travaillant beaucoup avec les bras </w:t>
      </w:r>
      <w:r w:rsidR="00E157F8">
        <w:t xml:space="preserve">surélevés et même </w:t>
      </w:r>
      <w:r>
        <w:t xml:space="preserve">au-dessus de la tête. </w:t>
      </w:r>
    </w:p>
    <w:p w:rsidR="001E45B4" w:rsidRPr="001E45B4" w:rsidRDefault="001E45B4" w:rsidP="006A4A1B">
      <w:pPr>
        <w:pStyle w:val="corpsdedcision"/>
        <w:tabs>
          <w:tab w:val="clear" w:pos="360"/>
          <w:tab w:val="clear" w:pos="720"/>
        </w:tabs>
      </w:pPr>
      <w:r>
        <w:t>Sur le plan résidentiel, la preuve a également révélé que même si les tâches étaient moins exigeantes</w:t>
      </w:r>
      <w:r w:rsidR="00E157F8">
        <w:t xml:space="preserve"> physiquement</w:t>
      </w:r>
      <w:r>
        <w:t xml:space="preserve">, le travailleur effectuait plusieurs gestes à risque. </w:t>
      </w:r>
      <w:r w:rsidR="00F75245">
        <w:t>Le transport et la pose de matériaux nécessitaient qu’il travaille avec les bras surélevés, parfois en supportant des charges.</w:t>
      </w:r>
    </w:p>
    <w:p w:rsidR="00B40688" w:rsidRDefault="006A4A1B" w:rsidP="00F75245">
      <w:pPr>
        <w:pStyle w:val="corpsdedcision"/>
        <w:tabs>
          <w:tab w:val="clear" w:pos="360"/>
          <w:tab w:val="clear" w:pos="720"/>
        </w:tabs>
      </w:pPr>
      <w:r w:rsidRPr="001E45B4">
        <w:t xml:space="preserve">Il en est de même pour la nature du travail effectué </w:t>
      </w:r>
      <w:r w:rsidR="001E45B4" w:rsidRPr="001E45B4">
        <w:t xml:space="preserve">au cours des </w:t>
      </w:r>
      <w:r w:rsidRPr="001E45B4">
        <w:t xml:space="preserve">dernières </w:t>
      </w:r>
      <w:r w:rsidR="001E45B4" w:rsidRPr="001E45B4">
        <w:t xml:space="preserve">années précédant la survenance de la déchirure au niveau du tendon du sous-épineux de l’épaule gauche et droite. </w:t>
      </w:r>
      <w:r w:rsidR="001E45B4">
        <w:t>Depuis 2009, le travailleur travaillait exclusivement par la compagnie Construction RIC</w:t>
      </w:r>
      <w:r w:rsidR="005B52EC">
        <w:t xml:space="preserve"> 2006 inc. et, selon son témoignage, a participé à des projets qui représentaient les mêmes risques. D’ailleurs, il mentionne que l’emploi de matériaux en métal ainsi que l’utilisation de feuilles de gypse plus grandes faisai</w:t>
      </w:r>
      <w:r w:rsidR="009406DF">
        <w:t>en</w:t>
      </w:r>
      <w:r w:rsidR="005B52EC">
        <w:t>t en sorte qu’il devait manipuler des matériaux pesants. Il devait travailler avec les bras en élévation, surtout lors de la pose des plafonds.</w:t>
      </w:r>
      <w:r w:rsidR="00F75245">
        <w:t xml:space="preserve"> D’ailleurs, il a témoigné que depuis 2013, il devait travailler davantage avec les mains au-dessus de la tête. </w:t>
      </w:r>
    </w:p>
    <w:p w:rsidR="00F75245" w:rsidRPr="001E45B4" w:rsidRDefault="00F75245" w:rsidP="00F75245">
      <w:pPr>
        <w:pStyle w:val="corpsdedcision"/>
        <w:tabs>
          <w:tab w:val="clear" w:pos="360"/>
          <w:tab w:val="clear" w:pos="720"/>
        </w:tabs>
      </w:pPr>
      <w:r>
        <w:t xml:space="preserve">En plus de l’exposition aux risques, le Tribunal est d’avis que </w:t>
      </w:r>
      <w:r w:rsidR="00651420">
        <w:t xml:space="preserve">l’évolution de la condition médicale du travailleur </w:t>
      </w:r>
      <w:r>
        <w:t xml:space="preserve">est compatible avec </w:t>
      </w:r>
      <w:r w:rsidR="00651420">
        <w:t xml:space="preserve">la présence </w:t>
      </w:r>
      <w:r>
        <w:t xml:space="preserve">d’une maladie professionnelle. </w:t>
      </w:r>
      <w:r w:rsidR="00246C69">
        <w:t>Le travailleur a été initialement incommodé par la douleur au niveau des épaules, laquelle variait selon la nature du travail accompli</w:t>
      </w:r>
      <w:r w:rsidR="00651420">
        <w:t xml:space="preserve">. À cet égard, dans son rapport médical </w:t>
      </w:r>
      <w:r w:rsidR="00246C69">
        <w:t xml:space="preserve">du 14 octobre 2009, la docteure Porlier note que les douleurs sont plus présentes à la fin de la journée ou lors des mouvements effectués au-dessus de la tête. </w:t>
      </w:r>
      <w:r w:rsidR="00642830">
        <w:t xml:space="preserve">De plus, </w:t>
      </w:r>
      <w:r w:rsidR="00651420">
        <w:t xml:space="preserve">au cours des années suivantes, la douleur s’intensifiait devant une exposition continue aux risques. Finalement, </w:t>
      </w:r>
      <w:r w:rsidR="00642830">
        <w:t>la mise en évidence de la déchirure des tendons à l’automne 2015 sui</w:t>
      </w:r>
      <w:r w:rsidR="002B219F">
        <w:t>vai</w:t>
      </w:r>
      <w:r w:rsidR="00642830">
        <w:t xml:space="preserve">t une période où le travailleur affirme avoir travaillé beaucoup avec les bras au-dessus de la tête. Pour le Tribunal, cette </w:t>
      </w:r>
      <w:r w:rsidR="002B219F">
        <w:t xml:space="preserve">évolution ou </w:t>
      </w:r>
      <w:r w:rsidR="00642830">
        <w:t xml:space="preserve">progression est compatible avec </w:t>
      </w:r>
      <w:r w:rsidR="002B219F">
        <w:t>un tableau</w:t>
      </w:r>
      <w:r w:rsidR="00642830">
        <w:t xml:space="preserve"> </w:t>
      </w:r>
      <w:r w:rsidR="002B219F">
        <w:t>de</w:t>
      </w:r>
      <w:r w:rsidR="00642830">
        <w:t xml:space="preserve"> maladie professionnelle. En </w:t>
      </w:r>
      <w:r w:rsidR="002B219F">
        <w:t>somme</w:t>
      </w:r>
      <w:r w:rsidR="00642830">
        <w:t>, le Tribunal est d’avis que l’exposition aux risques identifiés</w:t>
      </w:r>
      <w:r w:rsidR="002B219F">
        <w:t>, nonobstant la présence ou condition personnelle de dégénérescence, a, à tout le moins</w:t>
      </w:r>
      <w:r w:rsidR="00642830">
        <w:t>, contribué de façon significative et déterminante à la fragilisation de la coiffe. Tel que mentionné dans la doctrine médicale déposée, cette fragilisation « </w:t>
      </w:r>
      <w:r w:rsidR="00642830" w:rsidRPr="00642830">
        <w:rPr>
          <w:rStyle w:val="Citationintgre"/>
        </w:rPr>
        <w:t>est susceptible de se rompre sur un traumatisme minime ou un effort de soulèvement</w:t>
      </w:r>
      <w:r w:rsidR="00642830">
        <w:t> ».</w:t>
      </w:r>
    </w:p>
    <w:p w:rsidR="006A4A1B" w:rsidRPr="005B52EC" w:rsidRDefault="006A4A1B" w:rsidP="006A4A1B">
      <w:pPr>
        <w:numPr>
          <w:ilvl w:val="0"/>
          <w:numId w:val="1"/>
        </w:numPr>
        <w:tabs>
          <w:tab w:val="left" w:pos="720"/>
        </w:tabs>
        <w:spacing w:after="360"/>
        <w:jc w:val="both"/>
      </w:pPr>
      <w:r w:rsidRPr="005B52EC">
        <w:t xml:space="preserve">Comme l’a mentionné le Tribunal dans l’affaire </w:t>
      </w:r>
      <w:r w:rsidRPr="005B52EC">
        <w:rPr>
          <w:i/>
        </w:rPr>
        <w:t>Rousseau et al.</w:t>
      </w:r>
      <w:r w:rsidRPr="005B52EC">
        <w:t xml:space="preserve"> et </w:t>
      </w:r>
      <w:r w:rsidRPr="005B52EC">
        <w:rPr>
          <w:i/>
        </w:rPr>
        <w:t xml:space="preserve">Demathieu &amp; Bard-Cegerco senc </w:t>
      </w:r>
      <w:r w:rsidRPr="005B52EC">
        <w:t xml:space="preserve">et </w:t>
      </w:r>
      <w:r w:rsidRPr="005B52EC">
        <w:rPr>
          <w:i/>
        </w:rPr>
        <w:t>al</w:t>
      </w:r>
      <w:r w:rsidRPr="005B52EC">
        <w:t>.,</w:t>
      </w:r>
      <w:r w:rsidRPr="005B52EC">
        <w:rPr>
          <w:vertAlign w:val="superscript"/>
        </w:rPr>
        <w:footnoteReference w:id="19"/>
      </w:r>
      <w:r w:rsidRPr="005B52EC">
        <w:t xml:space="preserve"> le travailleur n’avait pas à fournir une preuve d’une certitude scientifique, mais une preuve prépondérante que sa maladie est reliée aux risques particuliers de son travail.</w:t>
      </w:r>
    </w:p>
    <w:p w:rsidR="006A4A1B" w:rsidRPr="005B52EC" w:rsidRDefault="006A4A1B" w:rsidP="006A4A1B">
      <w:pPr>
        <w:tabs>
          <w:tab w:val="left" w:pos="1440"/>
        </w:tabs>
        <w:ind w:left="720" w:right="720"/>
        <w:jc w:val="both"/>
        <w:rPr>
          <w:sz w:val="20"/>
        </w:rPr>
      </w:pPr>
      <w:r w:rsidRPr="005B52EC">
        <w:rPr>
          <w:sz w:val="20"/>
        </w:rPr>
        <w:t>[31]</w:t>
      </w:r>
      <w:r w:rsidRPr="005B52EC">
        <w:rPr>
          <w:sz w:val="20"/>
        </w:rPr>
        <w:tab/>
        <w:t>La loi ne précise aucun critère pour déterminer ce qu'est une maladie reliée directement aux risques particuliers de ce travail. La jurisprudence indique toutefois qu’il y a lieu de parler de risques particuliers lorsque l’exercice d’un travail fait encourir à celui qui s’en charge, en raison de sa nature ou de ses conditions habituelles d’exercice, un risque particulier de développer une maladie précise</w:t>
      </w:r>
      <w:r w:rsidRPr="005B52EC">
        <w:rPr>
          <w:sz w:val="20"/>
          <w:vertAlign w:val="superscript"/>
        </w:rPr>
        <w:t>2</w:t>
      </w:r>
      <w:r w:rsidRPr="005B52EC">
        <w:rPr>
          <w:sz w:val="20"/>
        </w:rPr>
        <w:t>.</w:t>
      </w:r>
    </w:p>
    <w:p w:rsidR="006A4A1B" w:rsidRPr="005B52EC" w:rsidRDefault="006A4A1B" w:rsidP="006A4A1B">
      <w:pPr>
        <w:ind w:left="720" w:right="720"/>
        <w:jc w:val="both"/>
        <w:rPr>
          <w:sz w:val="16"/>
          <w:szCs w:val="16"/>
        </w:rPr>
      </w:pPr>
    </w:p>
    <w:p w:rsidR="006A4A1B" w:rsidRPr="005B52EC" w:rsidRDefault="006A4A1B" w:rsidP="006A4A1B">
      <w:pPr>
        <w:tabs>
          <w:tab w:val="left" w:pos="1440"/>
        </w:tabs>
        <w:ind w:left="720" w:right="720"/>
        <w:jc w:val="both"/>
        <w:rPr>
          <w:sz w:val="20"/>
        </w:rPr>
      </w:pPr>
      <w:r w:rsidRPr="005B52EC">
        <w:rPr>
          <w:sz w:val="20"/>
        </w:rPr>
        <w:t>[32]</w:t>
      </w:r>
      <w:r w:rsidRPr="005B52EC">
        <w:rPr>
          <w:sz w:val="20"/>
        </w:rPr>
        <w:tab/>
        <w:t>La jurisprudence a, de plus, déterminé que l'utilisation du terme « risque », à l’article 30 de la loi, par opposition à « danger » indique bien que le législateur n'exige pas une preuve aussi forte. Pour le tribunal, le terme « danger » représente une probabilité plus grande que celle incluse dans le mot « risque ». Le mot « danger » représente plus qu'une simple possibilité, laquelle est davantage rattachée à la notion de risque</w:t>
      </w:r>
      <w:r w:rsidRPr="005B52EC">
        <w:rPr>
          <w:sz w:val="20"/>
          <w:vertAlign w:val="superscript"/>
        </w:rPr>
        <w:t>3</w:t>
      </w:r>
      <w:r w:rsidRPr="005B52EC">
        <w:rPr>
          <w:sz w:val="20"/>
        </w:rPr>
        <w:t>.</w:t>
      </w:r>
    </w:p>
    <w:p w:rsidR="006A4A1B" w:rsidRPr="005B52EC" w:rsidRDefault="006A4A1B" w:rsidP="006A4A1B">
      <w:pPr>
        <w:ind w:left="720" w:right="720"/>
        <w:jc w:val="both"/>
        <w:rPr>
          <w:sz w:val="16"/>
          <w:szCs w:val="16"/>
        </w:rPr>
      </w:pPr>
    </w:p>
    <w:p w:rsidR="006A4A1B" w:rsidRPr="005B52EC" w:rsidRDefault="006A4A1B" w:rsidP="006A4A1B">
      <w:pPr>
        <w:tabs>
          <w:tab w:val="left" w:pos="1440"/>
        </w:tabs>
        <w:ind w:left="720" w:right="720"/>
        <w:jc w:val="both"/>
        <w:rPr>
          <w:sz w:val="20"/>
        </w:rPr>
      </w:pPr>
      <w:r w:rsidRPr="005B52EC">
        <w:rPr>
          <w:sz w:val="20"/>
        </w:rPr>
        <w:t>[33]</w:t>
      </w:r>
      <w:r w:rsidRPr="005B52EC">
        <w:rPr>
          <w:sz w:val="20"/>
        </w:rPr>
        <w:tab/>
        <w:t>Par ailleurs, le risque particulier du travail doit avoir eu une contribution significative au développement ou à l’évolution de la maladie</w:t>
      </w:r>
      <w:r w:rsidRPr="005B52EC">
        <w:rPr>
          <w:sz w:val="20"/>
          <w:vertAlign w:val="superscript"/>
        </w:rPr>
        <w:t>4</w:t>
      </w:r>
      <w:r w:rsidRPr="005B52EC">
        <w:rPr>
          <w:sz w:val="20"/>
        </w:rPr>
        <w:t xml:space="preserve">. </w:t>
      </w:r>
    </w:p>
    <w:p w:rsidR="006A4A1B" w:rsidRPr="005B52EC" w:rsidRDefault="006A4A1B" w:rsidP="006A4A1B">
      <w:pPr>
        <w:ind w:left="720" w:right="720"/>
        <w:jc w:val="both"/>
        <w:rPr>
          <w:sz w:val="16"/>
          <w:szCs w:val="16"/>
        </w:rPr>
      </w:pPr>
    </w:p>
    <w:p w:rsidR="006A4A1B" w:rsidRPr="005B52EC" w:rsidRDefault="006A4A1B" w:rsidP="006A4A1B">
      <w:pPr>
        <w:tabs>
          <w:tab w:val="left" w:pos="1440"/>
        </w:tabs>
        <w:ind w:left="720" w:right="720"/>
        <w:jc w:val="both"/>
        <w:rPr>
          <w:sz w:val="20"/>
        </w:rPr>
      </w:pPr>
      <w:r w:rsidRPr="005B52EC">
        <w:rPr>
          <w:sz w:val="20"/>
        </w:rPr>
        <w:t>[34]</w:t>
      </w:r>
      <w:r w:rsidRPr="005B52EC">
        <w:rPr>
          <w:sz w:val="20"/>
        </w:rPr>
        <w:tab/>
        <w:t>Il importe de souligner que la démarche du tribunal ne consiste pas à identifier une cause à la maladie, mais simplement à déterminer si cette cause est un risque particulier du travail, le risque devant bien sûr être présent lors de son exécution</w:t>
      </w:r>
      <w:r w:rsidRPr="005B52EC">
        <w:rPr>
          <w:sz w:val="20"/>
          <w:vertAlign w:val="superscript"/>
        </w:rPr>
        <w:t>5</w:t>
      </w:r>
      <w:r w:rsidRPr="005B52EC">
        <w:rPr>
          <w:sz w:val="20"/>
        </w:rPr>
        <w:t>.</w:t>
      </w:r>
    </w:p>
    <w:p w:rsidR="006A4A1B" w:rsidRPr="005B52EC" w:rsidRDefault="006A4A1B" w:rsidP="006A4A1B">
      <w:pPr>
        <w:ind w:left="720" w:right="720"/>
        <w:jc w:val="both"/>
        <w:rPr>
          <w:sz w:val="16"/>
          <w:szCs w:val="16"/>
        </w:rPr>
      </w:pPr>
    </w:p>
    <w:p w:rsidR="006A4A1B" w:rsidRPr="005B52EC" w:rsidRDefault="006A4A1B" w:rsidP="006A4A1B">
      <w:pPr>
        <w:ind w:left="720" w:right="720"/>
        <w:jc w:val="both"/>
        <w:rPr>
          <w:sz w:val="20"/>
        </w:rPr>
      </w:pPr>
      <w:r w:rsidRPr="005B52EC">
        <w:rPr>
          <w:sz w:val="20"/>
        </w:rPr>
        <w:t>[35]</w:t>
      </w:r>
      <w:r w:rsidRPr="005B52EC">
        <w:rPr>
          <w:sz w:val="20"/>
        </w:rPr>
        <w:tab/>
        <w:t xml:space="preserve">En effet, aux termes de l'article 30 de la loi, le travailleur « est considéré atteint d’une maladie professionnelle s’il démontre à </w:t>
      </w:r>
      <w:smartTag w:uri="urn:schemas-microsoft-com:office:smarttags" w:element="PersonName">
        <w:smartTagPr>
          <w:attr w:name="ProductID" w:val="la Commission"/>
        </w:smartTagPr>
        <w:r w:rsidRPr="005B52EC">
          <w:rPr>
            <w:sz w:val="20"/>
          </w:rPr>
          <w:t>la Commission</w:t>
        </w:r>
      </w:smartTag>
      <w:r w:rsidRPr="005B52EC">
        <w:rPr>
          <w:sz w:val="20"/>
        </w:rPr>
        <w:t xml:space="preserve"> que sa maladie... est « reliée directement aux risques particuliers » de son travail.</w:t>
      </w:r>
    </w:p>
    <w:p w:rsidR="006A4A1B" w:rsidRPr="005B52EC" w:rsidRDefault="006A4A1B" w:rsidP="006A4A1B">
      <w:pPr>
        <w:ind w:left="720" w:right="720"/>
        <w:jc w:val="both"/>
        <w:rPr>
          <w:sz w:val="20"/>
        </w:rPr>
      </w:pPr>
    </w:p>
    <w:p w:rsidR="006A4A1B" w:rsidRPr="005B52EC" w:rsidRDefault="006A4A1B" w:rsidP="006A4A1B">
      <w:pPr>
        <w:ind w:left="720" w:right="720"/>
        <w:jc w:val="both"/>
        <w:rPr>
          <w:sz w:val="20"/>
        </w:rPr>
      </w:pPr>
      <w:r w:rsidRPr="005B52EC">
        <w:rPr>
          <w:sz w:val="20"/>
        </w:rPr>
        <w:t>[36]</w:t>
      </w:r>
      <w:r w:rsidRPr="005B52EC">
        <w:rPr>
          <w:sz w:val="20"/>
        </w:rPr>
        <w:tab/>
        <w:t>Le travailleur doit fournir une preuve prépondérante et non celle d’une certitude scientifique.</w:t>
      </w:r>
    </w:p>
    <w:p w:rsidR="006A4A1B" w:rsidRPr="005B52EC" w:rsidRDefault="006A4A1B" w:rsidP="006A4A1B">
      <w:pPr>
        <w:ind w:left="720" w:right="720"/>
        <w:jc w:val="both"/>
        <w:rPr>
          <w:sz w:val="20"/>
          <w:u w:val="single"/>
        </w:rPr>
      </w:pPr>
      <w:r w:rsidRPr="005B52EC">
        <w:rPr>
          <w:sz w:val="20"/>
          <w:u w:val="single"/>
        </w:rPr>
        <w:tab/>
      </w:r>
      <w:r w:rsidRPr="005B52EC">
        <w:rPr>
          <w:sz w:val="20"/>
          <w:u w:val="single"/>
        </w:rPr>
        <w:tab/>
      </w:r>
      <w:r w:rsidRPr="005B52EC">
        <w:rPr>
          <w:sz w:val="20"/>
          <w:u w:val="single"/>
        </w:rPr>
        <w:tab/>
      </w:r>
    </w:p>
    <w:p w:rsidR="006A4A1B" w:rsidRPr="005B52EC" w:rsidRDefault="006A4A1B" w:rsidP="006A4A1B">
      <w:pPr>
        <w:ind w:left="1276" w:right="810" w:hanging="567"/>
        <w:jc w:val="both"/>
        <w:rPr>
          <w:rFonts w:cs="Arial"/>
          <w:i/>
          <w:sz w:val="16"/>
          <w:szCs w:val="16"/>
        </w:rPr>
      </w:pPr>
      <w:r w:rsidRPr="005B52EC">
        <w:rPr>
          <w:sz w:val="20"/>
          <w:vertAlign w:val="superscript"/>
        </w:rPr>
        <w:t>2</w:t>
      </w:r>
      <w:r w:rsidRPr="005B52EC">
        <w:rPr>
          <w:sz w:val="16"/>
          <w:szCs w:val="16"/>
        </w:rPr>
        <w:tab/>
      </w:r>
      <w:r w:rsidRPr="005B52EC">
        <w:rPr>
          <w:i/>
          <w:sz w:val="16"/>
          <w:szCs w:val="16"/>
        </w:rPr>
        <w:t>Charlebois-Larose</w:t>
      </w:r>
      <w:r w:rsidRPr="005B52EC">
        <w:rPr>
          <w:sz w:val="16"/>
          <w:szCs w:val="16"/>
        </w:rPr>
        <w:t xml:space="preserve"> et </w:t>
      </w:r>
      <w:r w:rsidRPr="005B52EC">
        <w:rPr>
          <w:i/>
          <w:sz w:val="16"/>
          <w:szCs w:val="16"/>
        </w:rPr>
        <w:t>D.R.H.C. Direction du travail</w:t>
      </w:r>
      <w:r w:rsidRPr="005B52EC">
        <w:rPr>
          <w:sz w:val="16"/>
          <w:szCs w:val="16"/>
        </w:rPr>
        <w:t>, 119264-07-9906, 01-06-</w:t>
      </w:r>
      <w:smartTag w:uri="urn:schemas-microsoft-com:office:smarttags" w:element="metricconverter">
        <w:smartTagPr>
          <w:attr w:name="ProductID" w:val="19, M"/>
        </w:smartTagPr>
        <w:r w:rsidRPr="005B52EC">
          <w:rPr>
            <w:sz w:val="16"/>
            <w:szCs w:val="16"/>
          </w:rPr>
          <w:t>19, M</w:t>
        </w:r>
      </w:smartTag>
      <w:r w:rsidRPr="005B52EC">
        <w:rPr>
          <w:sz w:val="16"/>
          <w:szCs w:val="16"/>
        </w:rPr>
        <w:t>. Billard.</w:t>
      </w:r>
    </w:p>
    <w:p w:rsidR="006A4A1B" w:rsidRPr="005B52EC" w:rsidRDefault="006A4A1B" w:rsidP="006A4A1B">
      <w:pPr>
        <w:ind w:left="1276" w:right="810" w:hanging="567"/>
        <w:jc w:val="both"/>
        <w:rPr>
          <w:sz w:val="16"/>
          <w:szCs w:val="16"/>
        </w:rPr>
      </w:pPr>
      <w:r w:rsidRPr="005B52EC">
        <w:rPr>
          <w:sz w:val="20"/>
          <w:vertAlign w:val="superscript"/>
        </w:rPr>
        <w:t>3</w:t>
      </w:r>
      <w:r w:rsidRPr="005B52EC">
        <w:rPr>
          <w:i/>
          <w:sz w:val="16"/>
          <w:szCs w:val="16"/>
        </w:rPr>
        <w:tab/>
        <w:t xml:space="preserve">Société canadienne des postes </w:t>
      </w:r>
      <w:r w:rsidRPr="005B52EC">
        <w:rPr>
          <w:sz w:val="16"/>
          <w:szCs w:val="16"/>
        </w:rPr>
        <w:t>et</w:t>
      </w:r>
      <w:r w:rsidRPr="005B52EC">
        <w:rPr>
          <w:i/>
          <w:sz w:val="16"/>
          <w:szCs w:val="16"/>
        </w:rPr>
        <w:t xml:space="preserve"> Côté, </w:t>
      </w:r>
      <w:r w:rsidRPr="005B52EC">
        <w:rPr>
          <w:sz w:val="16"/>
          <w:szCs w:val="16"/>
        </w:rPr>
        <w:t>C.L.P.</w:t>
      </w:r>
      <w:r w:rsidRPr="005B52EC">
        <w:rPr>
          <w:i/>
          <w:sz w:val="16"/>
          <w:szCs w:val="16"/>
        </w:rPr>
        <w:t xml:space="preserve"> </w:t>
      </w:r>
      <w:r w:rsidRPr="005B52EC">
        <w:rPr>
          <w:sz w:val="16"/>
          <w:szCs w:val="16"/>
        </w:rPr>
        <w:t xml:space="preserve">88086-05-9704, 12 novembre </w:t>
      </w:r>
      <w:smartTag w:uri="urn:schemas-microsoft-com:office:smarttags" w:element="metricconverter">
        <w:smartTagPr>
          <w:attr w:name="ProductID" w:val="1999, F"/>
        </w:smartTagPr>
        <w:r w:rsidRPr="005B52EC">
          <w:rPr>
            <w:sz w:val="16"/>
            <w:szCs w:val="16"/>
          </w:rPr>
          <w:t>1999</w:t>
        </w:r>
        <w:r w:rsidRPr="005B52EC">
          <w:rPr>
            <w:i/>
            <w:sz w:val="16"/>
            <w:szCs w:val="16"/>
          </w:rPr>
          <w:t xml:space="preserve">, </w:t>
        </w:r>
        <w:r w:rsidRPr="005B52EC">
          <w:rPr>
            <w:sz w:val="16"/>
            <w:szCs w:val="16"/>
          </w:rPr>
          <w:t>F</w:t>
        </w:r>
      </w:smartTag>
      <w:r w:rsidRPr="005B52EC">
        <w:rPr>
          <w:sz w:val="16"/>
          <w:szCs w:val="16"/>
        </w:rPr>
        <w:t>. Ranger</w:t>
      </w:r>
      <w:r w:rsidRPr="005B52EC">
        <w:rPr>
          <w:i/>
          <w:sz w:val="16"/>
          <w:szCs w:val="16"/>
        </w:rPr>
        <w:t>: Marché Fortier ltée</w:t>
      </w:r>
      <w:r w:rsidRPr="005B52EC">
        <w:rPr>
          <w:sz w:val="16"/>
          <w:szCs w:val="16"/>
        </w:rPr>
        <w:t xml:space="preserve"> et </w:t>
      </w:r>
      <w:r w:rsidRPr="005B52EC">
        <w:rPr>
          <w:i/>
          <w:sz w:val="16"/>
          <w:szCs w:val="16"/>
        </w:rPr>
        <w:t>Fournier</w:t>
      </w:r>
      <w:r w:rsidRPr="005B52EC">
        <w:rPr>
          <w:sz w:val="16"/>
          <w:szCs w:val="16"/>
        </w:rPr>
        <w:t xml:space="preserve">, [2001] C.L.P. 693; </w:t>
      </w:r>
      <w:r w:rsidRPr="005B52EC">
        <w:rPr>
          <w:i/>
          <w:sz w:val="16"/>
          <w:szCs w:val="16"/>
        </w:rPr>
        <w:t>Entreprises d'émondage LDL inc</w:t>
      </w:r>
      <w:r w:rsidRPr="005B52EC">
        <w:rPr>
          <w:sz w:val="16"/>
          <w:szCs w:val="16"/>
        </w:rPr>
        <w:t xml:space="preserve">. et </w:t>
      </w:r>
      <w:r w:rsidRPr="005B52EC">
        <w:rPr>
          <w:i/>
          <w:sz w:val="16"/>
          <w:szCs w:val="16"/>
        </w:rPr>
        <w:t>Rousseau</w:t>
      </w:r>
      <w:r w:rsidRPr="005B52EC">
        <w:rPr>
          <w:sz w:val="16"/>
          <w:szCs w:val="16"/>
        </w:rPr>
        <w:t xml:space="preserve">, C.L.P. 214662-04-0308, 4 avril 2005, J. </w:t>
      </w:r>
      <w:r w:rsidRPr="005B52EC">
        <w:rPr>
          <w:sz w:val="16"/>
          <w:szCs w:val="16"/>
        </w:rPr>
        <w:noBreakHyphen/>
        <w:t>F. Clément.</w:t>
      </w:r>
    </w:p>
    <w:p w:rsidR="006A4A1B" w:rsidRPr="005B52EC" w:rsidRDefault="006A4A1B" w:rsidP="006A4A1B">
      <w:pPr>
        <w:ind w:left="1276" w:right="810" w:hanging="567"/>
        <w:jc w:val="both"/>
        <w:rPr>
          <w:rFonts w:cs="Arial"/>
          <w:sz w:val="16"/>
          <w:szCs w:val="16"/>
        </w:rPr>
      </w:pPr>
      <w:r w:rsidRPr="005B52EC">
        <w:rPr>
          <w:sz w:val="20"/>
          <w:vertAlign w:val="superscript"/>
        </w:rPr>
        <w:t>4</w:t>
      </w:r>
      <w:r w:rsidRPr="005B52EC">
        <w:rPr>
          <w:sz w:val="16"/>
          <w:szCs w:val="16"/>
        </w:rPr>
        <w:tab/>
      </w:r>
      <w:r w:rsidRPr="005B52EC">
        <w:rPr>
          <w:rFonts w:cs="Arial"/>
          <w:i/>
          <w:iCs/>
          <w:sz w:val="16"/>
          <w:szCs w:val="16"/>
        </w:rPr>
        <w:t>Sheir</w:t>
      </w:r>
      <w:r w:rsidRPr="005B52EC">
        <w:rPr>
          <w:rFonts w:cs="Arial"/>
          <w:iCs/>
          <w:sz w:val="16"/>
          <w:szCs w:val="16"/>
        </w:rPr>
        <w:t xml:space="preserve"> et </w:t>
      </w:r>
      <w:r w:rsidRPr="005B52EC">
        <w:rPr>
          <w:rFonts w:cs="Arial"/>
          <w:i/>
          <w:iCs/>
          <w:sz w:val="16"/>
          <w:szCs w:val="16"/>
        </w:rPr>
        <w:t>Via Rail Canada</w:t>
      </w:r>
      <w:r w:rsidRPr="005B52EC">
        <w:rPr>
          <w:rFonts w:cs="Arial"/>
          <w:iCs/>
          <w:sz w:val="16"/>
          <w:szCs w:val="16"/>
        </w:rPr>
        <w:t>,</w:t>
      </w:r>
      <w:r w:rsidRPr="005B52EC">
        <w:rPr>
          <w:rFonts w:cs="Arial"/>
          <w:sz w:val="16"/>
          <w:szCs w:val="16"/>
        </w:rPr>
        <w:t xml:space="preserve"> [1995] C.A.L.P. 1755.</w:t>
      </w:r>
    </w:p>
    <w:p w:rsidR="006A4A1B" w:rsidRPr="005B52EC" w:rsidRDefault="006A4A1B" w:rsidP="006A4A1B">
      <w:pPr>
        <w:spacing w:after="360"/>
        <w:ind w:left="1276" w:right="811" w:hanging="567"/>
        <w:jc w:val="both"/>
        <w:rPr>
          <w:sz w:val="16"/>
          <w:szCs w:val="16"/>
        </w:rPr>
      </w:pPr>
      <w:r w:rsidRPr="005B52EC">
        <w:rPr>
          <w:sz w:val="20"/>
          <w:vertAlign w:val="superscript"/>
        </w:rPr>
        <w:t>5</w:t>
      </w:r>
      <w:r w:rsidRPr="005B52EC">
        <w:rPr>
          <w:sz w:val="16"/>
          <w:szCs w:val="16"/>
        </w:rPr>
        <w:tab/>
      </w:r>
      <w:r w:rsidRPr="005B52EC">
        <w:rPr>
          <w:i/>
          <w:sz w:val="16"/>
          <w:szCs w:val="16"/>
        </w:rPr>
        <w:t xml:space="preserve">Lamoureux </w:t>
      </w:r>
      <w:r w:rsidRPr="005B52EC">
        <w:rPr>
          <w:sz w:val="16"/>
          <w:szCs w:val="16"/>
        </w:rPr>
        <w:t xml:space="preserve">et </w:t>
      </w:r>
      <w:r w:rsidRPr="005B52EC">
        <w:rPr>
          <w:i/>
          <w:sz w:val="16"/>
          <w:szCs w:val="16"/>
        </w:rPr>
        <w:t>ARTC Agence de personnel</w:t>
      </w:r>
      <w:r w:rsidRPr="005B52EC">
        <w:rPr>
          <w:sz w:val="16"/>
          <w:szCs w:val="16"/>
        </w:rPr>
        <w:t>, C.L.P. 259226-62-0504, 16 juin 2006. S. Mathieu. (CLP-55).</w:t>
      </w:r>
    </w:p>
    <w:p w:rsidR="006A4A1B" w:rsidRPr="005B52EC" w:rsidRDefault="006A4A1B" w:rsidP="006A4A1B">
      <w:pPr>
        <w:pStyle w:val="corpsdedcision"/>
        <w:tabs>
          <w:tab w:val="clear" w:pos="360"/>
          <w:tab w:val="clear" w:pos="720"/>
        </w:tabs>
      </w:pPr>
      <w:r w:rsidRPr="005B52EC">
        <w:t xml:space="preserve">Le Tribunal est d’avis que la preuve </w:t>
      </w:r>
      <w:r w:rsidR="002B219F">
        <w:t xml:space="preserve">prépondérante </w:t>
      </w:r>
      <w:r w:rsidRPr="005B52EC">
        <w:t xml:space="preserve">établit que le travailleur a été exposé durant plusieurs années à une variété de risques de nature professionnelle lorsqu’il travaillait dans des </w:t>
      </w:r>
      <w:r w:rsidR="00457AED" w:rsidRPr="002B219F">
        <w:t>positions</w:t>
      </w:r>
      <w:r w:rsidR="00457AED">
        <w:t xml:space="preserve"> </w:t>
      </w:r>
      <w:r w:rsidRPr="005B52EC">
        <w:t xml:space="preserve">contraignantes en </w:t>
      </w:r>
      <w:r w:rsidR="005B52EC">
        <w:t xml:space="preserve">transportant, manipulant et posant des matériaux avec les bras surélevés </w:t>
      </w:r>
      <w:r w:rsidR="00457AED">
        <w:t>et avec</w:t>
      </w:r>
      <w:r w:rsidR="005B52EC">
        <w:t xml:space="preserve"> </w:t>
      </w:r>
      <w:r w:rsidRPr="005B52EC">
        <w:t xml:space="preserve">l’application d’une certaine force. </w:t>
      </w:r>
      <w:r w:rsidR="00457AED">
        <w:t>Le Tribunal est d’avis que les mouvements que le travailleur</w:t>
      </w:r>
      <w:r w:rsidRPr="005B52EC">
        <w:t xml:space="preserve"> effectuait d’extension, de flexion et surtout de flexion antérieure et d’abduction, plusieurs heures par semaine</w:t>
      </w:r>
      <w:r w:rsidR="00474559">
        <w:t xml:space="preserve"> et au cours de nombreuses années</w:t>
      </w:r>
      <w:r w:rsidRPr="005B52EC">
        <w:t xml:space="preserve">, sont </w:t>
      </w:r>
      <w:r w:rsidR="005B52EC">
        <w:t>contributifs, de façon significative et déterminante</w:t>
      </w:r>
      <w:r w:rsidR="00474559">
        <w:t>,</w:t>
      </w:r>
      <w:r w:rsidR="005B52EC">
        <w:t xml:space="preserve"> aux déchirures d</w:t>
      </w:r>
      <w:r w:rsidR="00474559">
        <w:t>es</w:t>
      </w:r>
      <w:r w:rsidR="005B52EC">
        <w:t xml:space="preserve"> tendon</w:t>
      </w:r>
      <w:r w:rsidR="00474559">
        <w:t>s,</w:t>
      </w:r>
      <w:r w:rsidR="005B52EC">
        <w:t xml:space="preserve"> </w:t>
      </w:r>
      <w:r w:rsidR="00474559">
        <w:t xml:space="preserve">tant </w:t>
      </w:r>
      <w:r w:rsidR="005B52EC">
        <w:t>de</w:t>
      </w:r>
      <w:r w:rsidRPr="005B52EC">
        <w:t xml:space="preserve"> l’épaule gauche</w:t>
      </w:r>
      <w:r w:rsidR="00474559">
        <w:t xml:space="preserve"> que de l’épaule droite</w:t>
      </w:r>
      <w:r w:rsidRPr="005B52EC">
        <w:t>. Pour le Tribunal, l’exposition à l’ensemble des facteu</w:t>
      </w:r>
      <w:r w:rsidR="005B52EC">
        <w:t>rs identifiés durant de nombreuses</w:t>
      </w:r>
      <w:r w:rsidRPr="005B52EC">
        <w:t xml:space="preserve"> </w:t>
      </w:r>
      <w:r w:rsidR="005B52EC">
        <w:t xml:space="preserve">années </w:t>
      </w:r>
      <w:r w:rsidR="00474559">
        <w:t>augmentait le risque de l’</w:t>
      </w:r>
      <w:r w:rsidRPr="005B52EC">
        <w:t xml:space="preserve">apparition de </w:t>
      </w:r>
      <w:r w:rsidR="005B52EC">
        <w:t>la</w:t>
      </w:r>
      <w:r w:rsidRPr="005B52EC">
        <w:t xml:space="preserve"> maladie. Même s’il </w:t>
      </w:r>
      <w:r w:rsidR="002B219F">
        <w:t xml:space="preserve">y a d’autres facteurs contributifs, tels que la présence d’une atteinte dégénérative symétrique, </w:t>
      </w:r>
      <w:r w:rsidR="005B52EC">
        <w:t xml:space="preserve">tel que </w:t>
      </w:r>
      <w:r w:rsidR="00474559">
        <w:t>soulevé</w:t>
      </w:r>
      <w:r w:rsidR="005B52EC">
        <w:t xml:space="preserve"> par le médecin-conseil de la Commission, </w:t>
      </w:r>
      <w:r w:rsidRPr="005B52EC">
        <w:t xml:space="preserve">le Tribunal est d’avis que le travailleur a démontré qu’il était suffisamment exposé aux risques particuliers dans l’exécution de son travail </w:t>
      </w:r>
      <w:r w:rsidR="002B219F">
        <w:t xml:space="preserve">au cours de nombreuses années </w:t>
      </w:r>
      <w:r w:rsidRPr="005B52EC">
        <w:t xml:space="preserve">pour lui permettre de conclure qu’il est probable que sa maladie </w:t>
      </w:r>
      <w:r w:rsidR="005B52EC">
        <w:t>soi</w:t>
      </w:r>
      <w:r w:rsidRPr="005B52EC">
        <w:t xml:space="preserve">t reliée à son travail. </w:t>
      </w:r>
    </w:p>
    <w:p w:rsidR="006A4A1B" w:rsidRPr="005D276E" w:rsidRDefault="006A4A1B" w:rsidP="006A4A1B">
      <w:pPr>
        <w:pStyle w:val="corpsdedcision"/>
        <w:tabs>
          <w:tab w:val="clear" w:pos="360"/>
          <w:tab w:val="clear" w:pos="720"/>
        </w:tabs>
      </w:pPr>
      <w:r w:rsidRPr="005D276E">
        <w:t xml:space="preserve">Le Tribunal est donc d’avis </w:t>
      </w:r>
      <w:r w:rsidR="002B219F">
        <w:t xml:space="preserve">que les risques particuliers auxquels </w:t>
      </w:r>
      <w:r w:rsidRPr="005D276E">
        <w:t xml:space="preserve">le travailleur </w:t>
      </w:r>
      <w:r w:rsidR="002B219F">
        <w:t xml:space="preserve">a été exposé ont contribué de façon significative et déterminante à la survenance d’une </w:t>
      </w:r>
      <w:r w:rsidRPr="005D276E">
        <w:t xml:space="preserve">maladie professionnelle, c’est-à-dire </w:t>
      </w:r>
      <w:r w:rsidRPr="002B219F">
        <w:t xml:space="preserve">une déchirure </w:t>
      </w:r>
      <w:r w:rsidR="002B219F" w:rsidRPr="002B219F">
        <w:t>d</w:t>
      </w:r>
      <w:r w:rsidR="004E1163">
        <w:t>u</w:t>
      </w:r>
      <w:r w:rsidR="002B219F" w:rsidRPr="002B219F">
        <w:t xml:space="preserve"> sous-épineux de la coiffe des rotateurs au niveau de l’épaule droite et gauche. </w:t>
      </w:r>
      <w:r w:rsidR="00474559">
        <w:t xml:space="preserve">Le Tribunal est également d’avis que le travailleur est atteint d’une condition personnelle de dégénérescence </w:t>
      </w:r>
      <w:r w:rsidR="002B219F">
        <w:t xml:space="preserve">symétrique </w:t>
      </w:r>
      <w:r w:rsidR="00474559">
        <w:t>qui l’a prédisposé à la manifestation de cette maladie.</w:t>
      </w:r>
    </w:p>
    <w:p w:rsidR="00EC3112" w:rsidRDefault="00EC3112" w:rsidP="00AE1A1D">
      <w:pPr>
        <w:pStyle w:val="corpsdedcision"/>
        <w:numPr>
          <w:ilvl w:val="0"/>
          <w:numId w:val="0"/>
        </w:numPr>
      </w:pPr>
    </w:p>
    <w:p w:rsidR="001A0B2C" w:rsidRDefault="001A0B2C" w:rsidP="00AE1A1D">
      <w:pPr>
        <w:pStyle w:val="corpsdedcision"/>
        <w:numPr>
          <w:ilvl w:val="0"/>
          <w:numId w:val="0"/>
        </w:numPr>
      </w:pPr>
    </w:p>
    <w:p w:rsidR="00C74B6F" w:rsidRDefault="00C74B6F">
      <w:pPr>
        <w:pStyle w:val="Dispositif"/>
      </w:pPr>
      <w:r>
        <w:rPr>
          <w:b/>
        </w:rPr>
        <w:t>P</w:t>
      </w:r>
      <w:r w:rsidR="00D07FA6">
        <w:rPr>
          <w:b/>
        </w:rPr>
        <w:t>AR CES MOTIFS, LE TRIBUNAL ADMINISTRATIF DU TRAVAIL</w:t>
      </w:r>
      <w:r>
        <w:rPr>
          <w:b/>
        </w:rPr>
        <w:t> :</w:t>
      </w:r>
    </w:p>
    <w:p w:rsidR="006E18D0" w:rsidRDefault="006E18D0" w:rsidP="006E18D0">
      <w:pPr>
        <w:pStyle w:val="Dispositif"/>
      </w:pPr>
      <w:r>
        <w:rPr>
          <w:b/>
        </w:rPr>
        <w:t>ACCUEILLE</w:t>
      </w:r>
      <w:r>
        <w:t xml:space="preserve"> l’acte introductif de monsieur Rénald Guillemette, le travailleur;</w:t>
      </w:r>
    </w:p>
    <w:p w:rsidR="006E18D0" w:rsidRDefault="006E18D0" w:rsidP="006E18D0">
      <w:pPr>
        <w:pStyle w:val="Dispositif"/>
      </w:pPr>
      <w:r>
        <w:rPr>
          <w:b/>
        </w:rPr>
        <w:t>INFIRME</w:t>
      </w:r>
      <w:r>
        <w:t xml:space="preserve"> la décision rendue par la Commission des normes, de l’équité, de la santé et de la sécurité du travail le 7 octobre 2016, à la suite d’une révision administrative;</w:t>
      </w:r>
    </w:p>
    <w:p w:rsidR="006E18D0" w:rsidRDefault="006E18D0" w:rsidP="006E18D0">
      <w:pPr>
        <w:pStyle w:val="Dispositif"/>
        <w:rPr>
          <w:bCs/>
          <w:i/>
          <w:iCs/>
        </w:rPr>
      </w:pPr>
      <w:r>
        <w:rPr>
          <w:b/>
        </w:rPr>
        <w:t>DÉCLARE</w:t>
      </w:r>
      <w:r>
        <w:t xml:space="preserve"> que le travail</w:t>
      </w:r>
      <w:r w:rsidR="00770633">
        <w:t xml:space="preserve">leur a subi, le </w:t>
      </w:r>
      <w:r w:rsidR="00770633" w:rsidRPr="00647725">
        <w:t>12 mai 2016</w:t>
      </w:r>
      <w:r w:rsidRPr="00647725">
        <w:t>,</w:t>
      </w:r>
      <w:r>
        <w:t xml:space="preserve"> une lésion professionnelle, c’est-à-dire une déchirure</w:t>
      </w:r>
      <w:r w:rsidR="00770633">
        <w:t xml:space="preserve"> du sous-épineux </w:t>
      </w:r>
      <w:r>
        <w:t>de la coiffe des rotateurs</w:t>
      </w:r>
      <w:r w:rsidR="00770633">
        <w:t xml:space="preserve"> au niveau de l’épaule droite et gauche sur une atteinte dégénérative symétrique</w:t>
      </w:r>
      <w:r>
        <w:t xml:space="preserve">, et que ce dernier a droit aux bénéfices de </w:t>
      </w:r>
      <w:r w:rsidRPr="000A0C02">
        <w:rPr>
          <w:bCs/>
          <w:i/>
          <w:iCs/>
        </w:rPr>
        <w:t>Loi sur les accidents du travail et les maladies professionnelles</w:t>
      </w:r>
      <w:r>
        <w:rPr>
          <w:bCs/>
          <w:i/>
          <w:iCs/>
        </w:rPr>
        <w:t>.</w:t>
      </w:r>
    </w:p>
    <w:p w:rsidR="000D540D" w:rsidRPr="004316D9" w:rsidRDefault="000D540D">
      <w:pPr>
        <w:pStyle w:val="Dispositif"/>
        <w:rPr>
          <w:b/>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D27927">
            <w:r>
              <w:t>Delton Sams</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861F8B">
        <w:trPr>
          <w:cantSplit/>
        </w:trPr>
        <w:tc>
          <w:tcPr>
            <w:tcW w:w="9590" w:type="dxa"/>
            <w:gridSpan w:val="2"/>
          </w:tcPr>
          <w:p w:rsidR="00861F8B" w:rsidRDefault="009A78B0">
            <w:r>
              <w:t>Me Antoine Berthelot</w:t>
            </w:r>
          </w:p>
        </w:tc>
      </w:tr>
      <w:tr w:rsidR="00861F8B">
        <w:trPr>
          <w:cantSplit/>
        </w:trPr>
        <w:tc>
          <w:tcPr>
            <w:tcW w:w="9590" w:type="dxa"/>
            <w:gridSpan w:val="2"/>
          </w:tcPr>
          <w:p w:rsidR="00861F8B" w:rsidRDefault="009A78B0" w:rsidP="00D27927">
            <w:r>
              <w:t>F.N.C.M. (SECTION LOCALE 9)</w:t>
            </w:r>
          </w:p>
        </w:tc>
      </w:tr>
      <w:tr w:rsidR="00C74B6F">
        <w:trPr>
          <w:cantSplit/>
        </w:trPr>
        <w:tc>
          <w:tcPr>
            <w:tcW w:w="9590" w:type="dxa"/>
            <w:gridSpan w:val="2"/>
          </w:tcPr>
          <w:p w:rsidR="00C74B6F" w:rsidRDefault="009A78B0" w:rsidP="009A78B0">
            <w:r>
              <w:t>Pour la partie demanderesse</w:t>
            </w:r>
          </w:p>
        </w:tc>
      </w:tr>
      <w:tr w:rsidR="009A78B0">
        <w:trPr>
          <w:cantSplit/>
        </w:trPr>
        <w:tc>
          <w:tcPr>
            <w:tcW w:w="9590" w:type="dxa"/>
            <w:gridSpan w:val="2"/>
          </w:tcPr>
          <w:p w:rsidR="009A78B0" w:rsidRDefault="009A78B0">
            <w:r>
              <w:t>Me Mélanie Desjardins</w:t>
            </w:r>
          </w:p>
        </w:tc>
      </w:tr>
      <w:tr w:rsidR="009A78B0">
        <w:trPr>
          <w:cantSplit/>
        </w:trPr>
        <w:tc>
          <w:tcPr>
            <w:tcW w:w="9590" w:type="dxa"/>
            <w:gridSpan w:val="2"/>
          </w:tcPr>
          <w:p w:rsidR="009A78B0" w:rsidRDefault="009A78B0">
            <w:r>
              <w:t>BOURQUE, TÉTREAULT &amp; ASS.</w:t>
            </w:r>
          </w:p>
        </w:tc>
      </w:tr>
      <w:tr w:rsidR="009A78B0">
        <w:trPr>
          <w:cantSplit/>
        </w:trPr>
        <w:tc>
          <w:tcPr>
            <w:tcW w:w="9590" w:type="dxa"/>
            <w:gridSpan w:val="2"/>
          </w:tcPr>
          <w:p w:rsidR="009A78B0" w:rsidRDefault="009A78B0" w:rsidP="009A78B0">
            <w:r>
              <w:t>Pour Transelec / Common inc.</w:t>
            </w:r>
          </w:p>
        </w:tc>
      </w:tr>
      <w:tr w:rsidR="009A78B0">
        <w:trPr>
          <w:cantSplit/>
        </w:trPr>
        <w:tc>
          <w:tcPr>
            <w:tcW w:w="9590" w:type="dxa"/>
            <w:gridSpan w:val="2"/>
          </w:tcPr>
          <w:p w:rsidR="009A78B0" w:rsidRDefault="009A78B0"/>
        </w:tc>
      </w:tr>
      <w:tr w:rsidR="009A78B0">
        <w:trPr>
          <w:cantSplit/>
        </w:trPr>
        <w:tc>
          <w:tcPr>
            <w:tcW w:w="9590" w:type="dxa"/>
            <w:gridSpan w:val="2"/>
          </w:tcPr>
          <w:p w:rsidR="009A78B0" w:rsidRDefault="009A78B0">
            <w:r>
              <w:t>Me François Sigouin</w:t>
            </w:r>
          </w:p>
        </w:tc>
      </w:tr>
      <w:tr w:rsidR="009A78B0">
        <w:trPr>
          <w:cantSplit/>
        </w:trPr>
        <w:tc>
          <w:tcPr>
            <w:tcW w:w="9590" w:type="dxa"/>
            <w:gridSpan w:val="2"/>
          </w:tcPr>
          <w:p w:rsidR="009A78B0" w:rsidRDefault="009A78B0">
            <w:r>
              <w:t>LEBLANC LAMONTAGNE ET ASSOCIÉS</w:t>
            </w:r>
          </w:p>
        </w:tc>
      </w:tr>
      <w:tr w:rsidR="009A78B0">
        <w:trPr>
          <w:cantSplit/>
        </w:trPr>
        <w:tc>
          <w:tcPr>
            <w:tcW w:w="9590" w:type="dxa"/>
            <w:gridSpan w:val="2"/>
          </w:tcPr>
          <w:p w:rsidR="009A78B0" w:rsidRDefault="009A78B0">
            <w:r>
              <w:t>Pour Laval Fortin ltée</w:t>
            </w:r>
          </w:p>
        </w:tc>
      </w:tr>
      <w:tr w:rsidR="009A78B0">
        <w:trPr>
          <w:cantSplit/>
        </w:trPr>
        <w:tc>
          <w:tcPr>
            <w:tcW w:w="9590" w:type="dxa"/>
            <w:gridSpan w:val="2"/>
          </w:tcPr>
          <w:p w:rsidR="009A78B0" w:rsidRDefault="009A78B0"/>
        </w:tc>
      </w:tr>
      <w:tr w:rsidR="009A78B0">
        <w:trPr>
          <w:cantSplit/>
        </w:trPr>
        <w:tc>
          <w:tcPr>
            <w:tcW w:w="9590" w:type="dxa"/>
            <w:gridSpan w:val="2"/>
          </w:tcPr>
          <w:p w:rsidR="009A78B0" w:rsidRDefault="009A78B0">
            <w:r>
              <w:t>Me Marie-Ève Simard</w:t>
            </w:r>
          </w:p>
        </w:tc>
      </w:tr>
      <w:tr w:rsidR="009A78B0">
        <w:trPr>
          <w:cantSplit/>
        </w:trPr>
        <w:tc>
          <w:tcPr>
            <w:tcW w:w="9590" w:type="dxa"/>
            <w:gridSpan w:val="2"/>
          </w:tcPr>
          <w:p w:rsidR="009A78B0" w:rsidRDefault="009A78B0">
            <w:r>
              <w:t>MORNEAU SHEPELL</w:t>
            </w:r>
          </w:p>
        </w:tc>
      </w:tr>
      <w:tr w:rsidR="009A78B0">
        <w:trPr>
          <w:cantSplit/>
        </w:trPr>
        <w:tc>
          <w:tcPr>
            <w:tcW w:w="9590" w:type="dxa"/>
            <w:gridSpan w:val="2"/>
          </w:tcPr>
          <w:p w:rsidR="009A78B0" w:rsidRDefault="009A78B0">
            <w:r>
              <w:t>Pour Nordex enr.</w:t>
            </w:r>
          </w:p>
        </w:tc>
      </w:tr>
      <w:tr w:rsidR="009A78B0">
        <w:trPr>
          <w:cantSplit/>
        </w:trPr>
        <w:tc>
          <w:tcPr>
            <w:tcW w:w="9590" w:type="dxa"/>
            <w:gridSpan w:val="2"/>
          </w:tcPr>
          <w:p w:rsidR="009A78B0" w:rsidRDefault="009A78B0"/>
        </w:tc>
      </w:tr>
      <w:tr w:rsidR="00C74B6F">
        <w:trPr>
          <w:cantSplit/>
        </w:trPr>
        <w:tc>
          <w:tcPr>
            <w:tcW w:w="9590" w:type="dxa"/>
            <w:gridSpan w:val="2"/>
          </w:tcPr>
          <w:p w:rsidR="00C74B6F" w:rsidRDefault="00D27927">
            <w:pPr>
              <w:pStyle w:val="zSoquijdatNomProcureurInt"/>
            </w:pPr>
            <w:r>
              <w:t>Me René Fréchette</w:t>
            </w:r>
          </w:p>
        </w:tc>
      </w:tr>
      <w:tr w:rsidR="00C74B6F">
        <w:trPr>
          <w:cantSplit/>
        </w:trPr>
        <w:tc>
          <w:tcPr>
            <w:tcW w:w="9590" w:type="dxa"/>
            <w:gridSpan w:val="2"/>
          </w:tcPr>
          <w:p w:rsidR="00C74B6F" w:rsidRDefault="00D27927">
            <w:pPr>
              <w:pStyle w:val="zSoquijdatCabinetProcureurInt"/>
            </w:pPr>
            <w:r>
              <w:t>PAQUET TELLIER</w:t>
            </w:r>
          </w:p>
        </w:tc>
      </w:tr>
      <w:tr w:rsidR="00C74B6F">
        <w:trPr>
          <w:cantSplit/>
        </w:trPr>
        <w:tc>
          <w:tcPr>
            <w:tcW w:w="9590" w:type="dxa"/>
            <w:gridSpan w:val="2"/>
          </w:tcPr>
          <w:p w:rsidR="00C74B6F" w:rsidRDefault="007569DE" w:rsidP="00D27927">
            <w:pPr>
              <w:pStyle w:val="zSoquijlblProcureurInt"/>
            </w:pPr>
            <w:r>
              <w:t xml:space="preserve">Pour la partie </w:t>
            </w:r>
            <w:r w:rsidR="00D27927">
              <w:t>intervenante</w:t>
            </w:r>
          </w:p>
        </w:tc>
      </w:tr>
      <w:tr w:rsidR="00C15A3F">
        <w:trPr>
          <w:cantSplit/>
        </w:trPr>
        <w:tc>
          <w:tcPr>
            <w:tcW w:w="9590" w:type="dxa"/>
            <w:gridSpan w:val="2"/>
          </w:tcPr>
          <w:p w:rsidR="00C15A3F" w:rsidRDefault="00C15A3F">
            <w:pPr>
              <w:pStyle w:val="zSoquijlblProcureurInt"/>
            </w:pPr>
          </w:p>
        </w:tc>
      </w:tr>
      <w:tr w:rsidR="00C15A3F">
        <w:trPr>
          <w:cantSplit/>
        </w:trPr>
        <w:tc>
          <w:tcPr>
            <w:tcW w:w="9590" w:type="dxa"/>
            <w:gridSpan w:val="2"/>
          </w:tcPr>
          <w:p w:rsidR="00C15A3F" w:rsidRDefault="00C15A3F" w:rsidP="009A78B0">
            <w:pPr>
              <w:pStyle w:val="zSoquijdatDateAudience"/>
              <w:tabs>
                <w:tab w:val="left" w:pos="2260"/>
              </w:tabs>
            </w:pPr>
            <w:r>
              <w:t xml:space="preserve">Date de </w:t>
            </w:r>
            <w:r w:rsidR="00D27927">
              <w:t>l</w:t>
            </w:r>
            <w:r w:rsidR="009A78B0">
              <w:t xml:space="preserve">a dernière </w:t>
            </w:r>
            <w:r>
              <w:t>audience :</w:t>
            </w:r>
            <w:r w:rsidR="00597016">
              <w:tab/>
            </w:r>
            <w:r w:rsidR="009A78B0">
              <w:t>27 septembre</w:t>
            </w:r>
            <w:r w:rsidR="00D27927">
              <w:t xml:space="preserve"> 2019</w:t>
            </w:r>
          </w:p>
        </w:tc>
      </w:tr>
    </w:tbl>
    <w:p w:rsidR="009A135C" w:rsidRDefault="009A135C" w:rsidP="009A135C">
      <w:pPr>
        <w:pStyle w:val="articlesdelaLSST"/>
        <w:ind w:left="0"/>
      </w:pPr>
    </w:p>
    <w:sectPr w:rsidR="009A135C" w:rsidSect="00155BEE">
      <w:headerReference w:type="default" r:id="rId9"/>
      <w:type w:val="continuous"/>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486A" w:rsidRDefault="0061486A">
      <w:r>
        <w:separator/>
      </w:r>
    </w:p>
  </w:endnote>
  <w:endnote w:type="continuationSeparator" w:id="0">
    <w:p w:rsidR="0061486A" w:rsidRDefault="00614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486A" w:rsidRDefault="0061486A">
      <w:r>
        <w:separator/>
      </w:r>
    </w:p>
  </w:footnote>
  <w:footnote w:type="continuationSeparator" w:id="0">
    <w:p w:rsidR="0061486A" w:rsidRDefault="0061486A">
      <w:r>
        <w:continuationSeparator/>
      </w:r>
    </w:p>
  </w:footnote>
  <w:footnote w:id="1">
    <w:p w:rsidR="0061486A" w:rsidRPr="00D46058" w:rsidRDefault="0061486A" w:rsidP="00AE1A1D">
      <w:pPr>
        <w:rPr>
          <w:rFonts w:cs="Arial"/>
          <w:sz w:val="20"/>
        </w:rPr>
      </w:pPr>
      <w:r>
        <w:rPr>
          <w:rStyle w:val="Appelnotedebasdep"/>
        </w:rPr>
        <w:footnoteRef/>
      </w:r>
      <w:r>
        <w:t xml:space="preserve"> </w:t>
      </w:r>
      <w:r>
        <w:rPr>
          <w:rFonts w:cs="Arial"/>
          <w:sz w:val="20"/>
        </w:rPr>
        <w:tab/>
        <w:t>RLRQ, c. A-3.001.</w:t>
      </w:r>
    </w:p>
  </w:footnote>
  <w:footnote w:id="2">
    <w:p w:rsidR="0061486A" w:rsidRPr="009E4045" w:rsidRDefault="0061486A" w:rsidP="009E404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 xml:space="preserve">André ROY </w:t>
      </w:r>
      <w:r>
        <w:rPr>
          <w:rFonts w:cs="Arial"/>
          <w:i/>
          <w:iCs/>
          <w:color w:val="000000"/>
          <w:sz w:val="20"/>
        </w:rPr>
        <w:t xml:space="preserve">et al., </w:t>
      </w:r>
      <w:r>
        <w:rPr>
          <w:rFonts w:cs="Arial"/>
          <w:color w:val="000000"/>
          <w:sz w:val="20"/>
        </w:rPr>
        <w:t xml:space="preserve">chap. 11 : « Épaule », dans Yves BERGERON, Luc FORTIN et Richard LECLAIRE (dir.), </w:t>
      </w:r>
      <w:r>
        <w:rPr>
          <w:rFonts w:cs="Arial"/>
          <w:i/>
          <w:iCs/>
          <w:color w:val="000000"/>
          <w:sz w:val="20"/>
        </w:rPr>
        <w:t xml:space="preserve">Pathologie médicale de l'appareil locomoteur, </w:t>
      </w:r>
      <w:r>
        <w:rPr>
          <w:rFonts w:cs="Arial"/>
          <w:color w:val="000000"/>
          <w:sz w:val="20"/>
        </w:rPr>
        <w:t>2</w:t>
      </w:r>
      <w:r>
        <w:rPr>
          <w:rFonts w:cs="Arial"/>
          <w:color w:val="000000"/>
          <w:sz w:val="20"/>
          <w:vertAlign w:val="superscript"/>
        </w:rPr>
        <w:t>e</w:t>
      </w:r>
      <w:r>
        <w:rPr>
          <w:rFonts w:cs="Arial"/>
          <w:color w:val="000000"/>
          <w:sz w:val="20"/>
        </w:rPr>
        <w:t xml:space="preserve"> éd., Saint-Hyacinthe, Edisem, Paris, Maloine, 2008, pp. 561-638.</w:t>
      </w:r>
    </w:p>
  </w:footnote>
  <w:footnote w:id="3">
    <w:p w:rsidR="0061486A" w:rsidRPr="00EF3FC9" w:rsidRDefault="0061486A" w:rsidP="00EF3FC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Daniel IMBEAU, « Facteurs de risque et évaluation des troubles </w:t>
      </w:r>
      <w:r w:rsidRPr="00945E9C">
        <w:rPr>
          <w:rFonts w:cs="Arial"/>
          <w:sz w:val="20"/>
        </w:rPr>
        <w:t>musculo-squelettique</w:t>
      </w:r>
      <w:r>
        <w:rPr>
          <w:rFonts w:cs="Arial"/>
          <w:sz w:val="20"/>
        </w:rPr>
        <w:t xml:space="preserve">s de l’épaule », </w:t>
      </w:r>
      <w:r w:rsidRPr="00945E9C">
        <w:rPr>
          <w:rFonts w:cs="Arial"/>
          <w:i/>
          <w:sz w:val="20"/>
        </w:rPr>
        <w:t>Le Médecin du Québec</w:t>
      </w:r>
      <w:r>
        <w:rPr>
          <w:rFonts w:cs="Arial"/>
          <w:sz w:val="20"/>
        </w:rPr>
        <w:t>, volume 38, numéro 2, février 2003, pp. 111-114.</w:t>
      </w:r>
    </w:p>
  </w:footnote>
  <w:footnote w:id="4">
    <w:p w:rsidR="0061486A" w:rsidRPr="002017DF" w:rsidRDefault="0061486A" w:rsidP="004F2A8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017DF">
        <w:rPr>
          <w:rFonts w:eastAsiaTheme="minorHAnsi" w:cs="Arial"/>
          <w:sz w:val="20"/>
          <w:lang w:val="fr-FR" w:eastAsia="en-US"/>
        </w:rPr>
        <w:t xml:space="preserve">COHN, C., </w:t>
      </w:r>
      <w:r w:rsidRPr="002017DF">
        <w:rPr>
          <w:rFonts w:eastAsiaTheme="minorHAnsi" w:cs="Arial"/>
          <w:i/>
          <w:iCs/>
          <w:sz w:val="20"/>
          <w:lang w:val="fr-FR" w:eastAsia="en-US"/>
        </w:rPr>
        <w:t>Pathologie de la coiffe des rotateurs de l’épaule</w:t>
      </w:r>
      <w:r w:rsidRPr="002017DF">
        <w:rPr>
          <w:rFonts w:eastAsiaTheme="minorHAnsi" w:cs="Arial"/>
          <w:sz w:val="20"/>
          <w:lang w:val="fr-FR" w:eastAsia="en-US"/>
        </w:rPr>
        <w:t xml:space="preserve">, Multimedia et Chirurgie, Institut A. TZANCK, 2007 HometechMedia Contact, </w:t>
      </w:r>
      <w:r w:rsidRPr="002017DF">
        <w:rPr>
          <w:rFonts w:eastAsiaTheme="minorHAnsi" w:cs="Arial"/>
          <w:sz w:val="20"/>
          <w:lang w:eastAsia="en-US"/>
        </w:rPr>
        <w:t>[En ligne], &lt;</w:t>
      </w:r>
      <w:hyperlink r:id="rId1" w:history="1">
        <w:r w:rsidRPr="002017DF">
          <w:rPr>
            <w:rFonts w:eastAsiaTheme="minorHAnsi" w:cs="Arial"/>
            <w:color w:val="0563C1" w:themeColor="hyperlink"/>
            <w:sz w:val="20"/>
            <w:u w:val="single"/>
            <w:lang w:val="fr-FR" w:eastAsia="en-US"/>
          </w:rPr>
          <w:t>http://www.much.org/page1/page7/page5/page5.html</w:t>
        </w:r>
      </w:hyperlink>
      <w:r w:rsidRPr="002017DF">
        <w:rPr>
          <w:rFonts w:eastAsiaTheme="minorHAnsi" w:cs="Arial"/>
          <w:sz w:val="20"/>
          <w:lang w:val="fr-FR" w:eastAsia="en-US"/>
        </w:rPr>
        <w:t>&gt;</w:t>
      </w:r>
      <w:r w:rsidRPr="002017DF">
        <w:rPr>
          <w:rFonts w:eastAsiaTheme="minorHAnsi" w:cs="Arial"/>
          <w:sz w:val="20"/>
          <w:lang w:eastAsia="en-US"/>
        </w:rPr>
        <w:t>, (Page consultée le 19 août 2010).</w:t>
      </w:r>
    </w:p>
  </w:footnote>
  <w:footnote w:id="5">
    <w:p w:rsidR="0061486A" w:rsidRPr="002017DF" w:rsidRDefault="0061486A" w:rsidP="00AE1A1D">
      <w:pPr>
        <w:rPr>
          <w:rFonts w:cs="Arial"/>
          <w:sz w:val="20"/>
        </w:rPr>
      </w:pPr>
      <w:r w:rsidRPr="002017DF">
        <w:rPr>
          <w:rStyle w:val="Appelnotedebasdep"/>
          <w:rFonts w:cs="Arial"/>
        </w:rPr>
        <w:footnoteRef/>
      </w:r>
      <w:r w:rsidRPr="002017DF">
        <w:rPr>
          <w:rFonts w:cs="Arial"/>
        </w:rPr>
        <w:t xml:space="preserve"> </w:t>
      </w:r>
      <w:r w:rsidRPr="002017DF">
        <w:rPr>
          <w:rFonts w:cs="Arial"/>
          <w:sz w:val="20"/>
        </w:rPr>
        <w:tab/>
        <w:t>RLRQ, c. A-3.001.</w:t>
      </w:r>
    </w:p>
  </w:footnote>
  <w:footnote w:id="6">
    <w:p w:rsidR="0061486A" w:rsidRPr="004B71FE"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71899">
        <w:rPr>
          <w:rFonts w:cs="Arial"/>
          <w:i/>
          <w:sz w:val="20"/>
        </w:rPr>
        <w:t>Laurin</w:t>
      </w:r>
      <w:r>
        <w:rPr>
          <w:rFonts w:cs="Arial"/>
          <w:sz w:val="20"/>
        </w:rPr>
        <w:t xml:space="preserve"> et </w:t>
      </w:r>
      <w:r w:rsidRPr="00071899">
        <w:rPr>
          <w:rFonts w:cs="Arial"/>
          <w:i/>
          <w:sz w:val="20"/>
        </w:rPr>
        <w:t>CSSS du Nord de Lanaudière</w:t>
      </w:r>
      <w:r>
        <w:rPr>
          <w:rFonts w:cs="Arial"/>
          <w:sz w:val="20"/>
        </w:rPr>
        <w:t>, C.L.P. 330036-63-0710, 13 janvier 2009, J.-P. Arseneault.</w:t>
      </w:r>
    </w:p>
  </w:footnote>
  <w:footnote w:id="7">
    <w:p w:rsidR="0061486A" w:rsidRPr="000960A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960AF">
        <w:rPr>
          <w:rFonts w:cs="Arial"/>
          <w:i/>
          <w:sz w:val="20"/>
        </w:rPr>
        <w:t>Versabec</w:t>
      </w:r>
      <w:r>
        <w:rPr>
          <w:rFonts w:cs="Arial"/>
          <w:sz w:val="20"/>
        </w:rPr>
        <w:t xml:space="preserve"> et </w:t>
      </w:r>
      <w:r w:rsidRPr="000960AF">
        <w:rPr>
          <w:rFonts w:cs="Arial"/>
          <w:i/>
          <w:sz w:val="20"/>
        </w:rPr>
        <w:t>Levasseur</w:t>
      </w:r>
      <w:r>
        <w:rPr>
          <w:rFonts w:cs="Arial"/>
          <w:sz w:val="20"/>
        </w:rPr>
        <w:t xml:space="preserve">, C.A.L.P. 39198-60-9204, 29 juin 1994, L. Thibault. </w:t>
      </w:r>
    </w:p>
  </w:footnote>
  <w:footnote w:id="8">
    <w:p w:rsidR="0061486A" w:rsidRPr="00767A58"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67A58">
        <w:rPr>
          <w:rFonts w:cs="Arial"/>
          <w:i/>
          <w:sz w:val="20"/>
        </w:rPr>
        <w:t>Farel</w:t>
      </w:r>
      <w:r>
        <w:rPr>
          <w:rFonts w:cs="Arial"/>
          <w:i/>
          <w:sz w:val="20"/>
        </w:rPr>
        <w:t xml:space="preserve"> </w:t>
      </w:r>
      <w:r w:rsidRPr="00767A58">
        <w:rPr>
          <w:rFonts w:cs="Arial"/>
          <w:sz w:val="20"/>
        </w:rPr>
        <w:t>et</w:t>
      </w:r>
      <w:r w:rsidRPr="00767A58">
        <w:rPr>
          <w:rFonts w:cs="Arial"/>
          <w:i/>
          <w:sz w:val="20"/>
        </w:rPr>
        <w:t xml:space="preserve"> Synel</w:t>
      </w:r>
      <w:r>
        <w:rPr>
          <w:rFonts w:cs="Arial"/>
          <w:sz w:val="20"/>
        </w:rPr>
        <w:t xml:space="preserve">, [1990] 2 R.C.S. 311, </w:t>
      </w:r>
      <w:hyperlink r:id="rId2" w:history="1">
        <w:r>
          <w:rPr>
            <w:rStyle w:val="reflex3-block"/>
            <w:rFonts w:cs="Arial"/>
            <w:color w:val="027ABB"/>
            <w:sz w:val="20"/>
            <w:lang w:val="fr-FR"/>
          </w:rPr>
          <w:t>1990 CanLII 70 (CSC)</w:t>
        </w:r>
      </w:hyperlink>
      <w:r>
        <w:rPr>
          <w:rFonts w:cs="Arial"/>
          <w:sz w:val="20"/>
        </w:rPr>
        <w:t>.</w:t>
      </w:r>
    </w:p>
  </w:footnote>
  <w:footnote w:id="9">
    <w:p w:rsidR="0061486A" w:rsidRPr="00BC1E4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C-1991.</w:t>
      </w:r>
    </w:p>
  </w:footnote>
  <w:footnote w:id="10">
    <w:p w:rsidR="0061486A" w:rsidRPr="00BC1E4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sz w:val="20"/>
        </w:rPr>
        <w:t xml:space="preserve">BARREAU DU QUÉBEC, ÉCOLE ET BELLEAU, Charles (et autres), </w:t>
      </w:r>
      <w:r w:rsidRPr="008F463E">
        <w:rPr>
          <w:i/>
          <w:sz w:val="20"/>
        </w:rPr>
        <w:t>Preuve et procédure</w:t>
      </w:r>
      <w:r>
        <w:rPr>
          <w:sz w:val="20"/>
        </w:rPr>
        <w:t>, coll.  « Collection de droit 2008-2009 de l’École du Barreau du Québec », Cowansville, Édition Yvon Blais, 2008, 405 p., p. 266.</w:t>
      </w:r>
    </w:p>
  </w:footnote>
  <w:footnote w:id="11">
    <w:p w:rsidR="0061486A" w:rsidRPr="00BC1E4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228D1">
        <w:rPr>
          <w:rFonts w:cs="Arial"/>
          <w:sz w:val="20"/>
        </w:rPr>
        <w:t xml:space="preserve">DUCHARME, Léo, </w:t>
      </w:r>
      <w:r w:rsidRPr="006228D1">
        <w:rPr>
          <w:rFonts w:cs="Arial"/>
          <w:i/>
          <w:iCs/>
          <w:sz w:val="20"/>
        </w:rPr>
        <w:t>Précis de la preuve</w:t>
      </w:r>
      <w:r>
        <w:rPr>
          <w:rFonts w:cs="Arial"/>
          <w:i/>
          <w:iCs/>
          <w:sz w:val="20"/>
        </w:rPr>
        <w:t xml:space="preserve">, </w:t>
      </w:r>
      <w:r w:rsidRPr="006228D1">
        <w:rPr>
          <w:rFonts w:cs="Arial"/>
          <w:sz w:val="20"/>
        </w:rPr>
        <w:t>coll. « Collection bleue », 6</w:t>
      </w:r>
      <w:r w:rsidRPr="006228D1">
        <w:rPr>
          <w:rFonts w:cs="Arial"/>
          <w:sz w:val="20"/>
          <w:vertAlign w:val="superscript"/>
        </w:rPr>
        <w:t>e</w:t>
      </w:r>
      <w:r w:rsidRPr="006228D1">
        <w:rPr>
          <w:rFonts w:cs="Arial"/>
          <w:sz w:val="20"/>
        </w:rPr>
        <w:t xml:space="preserve"> éd., Montréal, Wilson &amp; Lafleur, 2005, 702 p.</w:t>
      </w:r>
      <w:r>
        <w:rPr>
          <w:rFonts w:cs="Arial"/>
          <w:sz w:val="20"/>
        </w:rPr>
        <w:t>, p. 215 et 216.</w:t>
      </w:r>
    </w:p>
  </w:footnote>
  <w:footnote w:id="12">
    <w:p w:rsidR="0061486A" w:rsidRPr="00BC1E4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C7469">
        <w:rPr>
          <w:rFonts w:cs="Arial"/>
          <w:sz w:val="20"/>
        </w:rPr>
        <w:t>AUBIN, Jean-Paul, «</w:t>
      </w:r>
      <w:r w:rsidRPr="002C7469">
        <w:rPr>
          <w:sz w:val="20"/>
        </w:rPr>
        <w:t xml:space="preserve"> </w:t>
      </w:r>
      <w:r w:rsidRPr="002C7469">
        <w:rPr>
          <w:rFonts w:cs="Arial"/>
          <w:sz w:val="20"/>
        </w:rPr>
        <w:t>L'appréciation des témoignages (témoins ordinaires) (texte révisé octobre</w:t>
      </w:r>
      <w:r>
        <w:rPr>
          <w:rFonts w:cs="Arial"/>
          <w:sz w:val="20"/>
        </w:rPr>
        <w:t> </w:t>
      </w:r>
      <w:r w:rsidRPr="002C7469">
        <w:rPr>
          <w:rStyle w:val="Appelnotedebasdep"/>
          <w:sz w:val="20"/>
          <w:vertAlign w:val="baseline"/>
        </w:rPr>
        <w:t>2004) »,</w:t>
      </w:r>
      <w:r w:rsidRPr="002C7469">
        <w:rPr>
          <w:rStyle w:val="Appelnotedebasdep"/>
          <w:sz w:val="20"/>
        </w:rPr>
        <w:t xml:space="preserve"> </w:t>
      </w:r>
      <w:r w:rsidRPr="00BC1E4F">
        <w:rPr>
          <w:rFonts w:cs="Arial"/>
          <w:iCs/>
          <w:sz w:val="20"/>
        </w:rPr>
        <w:t>dans</w:t>
      </w:r>
      <w:r w:rsidRPr="002C7469">
        <w:rPr>
          <w:rFonts w:cs="Arial"/>
          <w:i/>
          <w:iCs/>
          <w:sz w:val="20"/>
        </w:rPr>
        <w:t xml:space="preserve"> CONFÉRENCE DES JUGES ADM</w:t>
      </w:r>
      <w:r>
        <w:rPr>
          <w:rFonts w:cs="Arial"/>
          <w:i/>
          <w:iCs/>
          <w:sz w:val="20"/>
        </w:rPr>
        <w:t xml:space="preserve">INISTRATIFS DU QUÉBEC, </w:t>
      </w:r>
      <w:r w:rsidRPr="00BC1E4F">
        <w:rPr>
          <w:rFonts w:cs="Arial"/>
          <w:iCs/>
          <w:sz w:val="20"/>
        </w:rPr>
        <w:t>Colloque 2005, Conférence des juges administratifs du Québec : 10 et 11 novembre 2005, S.l.: La Conférence,</w:t>
      </w:r>
      <w:r w:rsidRPr="002C7469">
        <w:rPr>
          <w:rFonts w:cs="Arial"/>
          <w:i/>
          <w:iCs/>
          <w:sz w:val="20"/>
        </w:rPr>
        <w:t xml:space="preserve"> </w:t>
      </w:r>
      <w:r w:rsidRPr="00BC1E4F">
        <w:rPr>
          <w:rFonts w:cs="Arial"/>
          <w:iCs/>
          <w:sz w:val="20"/>
        </w:rPr>
        <w:t>s.</w:t>
      </w:r>
      <w:r>
        <w:rPr>
          <w:rFonts w:cs="Arial"/>
          <w:iCs/>
          <w:sz w:val="20"/>
        </w:rPr>
        <w:t xml:space="preserve"> </w:t>
      </w:r>
      <w:r w:rsidRPr="00BC1E4F">
        <w:rPr>
          <w:rFonts w:cs="Arial"/>
          <w:iCs/>
          <w:sz w:val="20"/>
        </w:rPr>
        <w:t>d.</w:t>
      </w:r>
      <w:r>
        <w:rPr>
          <w:rFonts w:cs="Arial"/>
          <w:iCs/>
          <w:sz w:val="20"/>
        </w:rPr>
        <w:t>,</w:t>
      </w:r>
      <w:r w:rsidRPr="00BC1E4F">
        <w:rPr>
          <w:rFonts w:cs="Arial"/>
          <w:iCs/>
          <w:sz w:val="20"/>
        </w:rPr>
        <w:t xml:space="preserve"> 121 p., p. 12.</w:t>
      </w:r>
    </w:p>
  </w:footnote>
  <w:footnote w:id="13">
    <w:p w:rsidR="0061486A" w:rsidRPr="00036DD9"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 xml:space="preserve">V. FATTORUSSO et O. RITTER, </w:t>
      </w:r>
      <w:r>
        <w:rPr>
          <w:rFonts w:cs="Arial"/>
          <w:i/>
          <w:iCs/>
          <w:color w:val="000000"/>
          <w:sz w:val="20"/>
        </w:rPr>
        <w:t xml:space="preserve">Vademecum clinique: du diagnostic au traitement, </w:t>
      </w:r>
      <w:r>
        <w:rPr>
          <w:rFonts w:cs="Arial"/>
          <w:color w:val="000000"/>
          <w:sz w:val="20"/>
        </w:rPr>
        <w:t>15</w:t>
      </w:r>
      <w:r>
        <w:rPr>
          <w:rFonts w:cs="Arial"/>
          <w:color w:val="000000"/>
          <w:sz w:val="20"/>
          <w:vertAlign w:val="superscript"/>
        </w:rPr>
        <w:t>e</w:t>
      </w:r>
      <w:r>
        <w:rPr>
          <w:rFonts w:cs="Arial"/>
          <w:color w:val="000000"/>
          <w:sz w:val="20"/>
        </w:rPr>
        <w:t xml:space="preserve"> éd., Paris, Masson, 1998, 1785 p.</w:t>
      </w:r>
    </w:p>
  </w:footnote>
  <w:footnote w:id="14">
    <w:p w:rsidR="0061486A" w:rsidRPr="00782AFF"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color w:val="000000"/>
          <w:sz w:val="20"/>
        </w:rPr>
        <w:t xml:space="preserve">Larousse médical, </w:t>
      </w:r>
      <w:r>
        <w:rPr>
          <w:rFonts w:cs="Arial"/>
          <w:color w:val="000000"/>
          <w:sz w:val="20"/>
        </w:rPr>
        <w:t>Paris, Larousse, 2012.</w:t>
      </w:r>
    </w:p>
  </w:footnote>
  <w:footnote w:id="15">
    <w:p w:rsidR="0061486A" w:rsidRPr="00A324F4"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324F4">
        <w:rPr>
          <w:rFonts w:cs="Arial"/>
          <w:i/>
          <w:sz w:val="20"/>
        </w:rPr>
        <w:t>Marché Fortier ltée</w:t>
      </w:r>
      <w:r>
        <w:rPr>
          <w:rFonts w:cs="Arial"/>
          <w:sz w:val="20"/>
        </w:rPr>
        <w:t xml:space="preserve"> et </w:t>
      </w:r>
      <w:r w:rsidRPr="00A324F4">
        <w:rPr>
          <w:rFonts w:cs="Arial"/>
          <w:i/>
          <w:sz w:val="20"/>
        </w:rPr>
        <w:t>Fournier</w:t>
      </w:r>
      <w:r>
        <w:rPr>
          <w:rFonts w:cs="Arial"/>
          <w:sz w:val="20"/>
        </w:rPr>
        <w:t>, [2001] C.L.P. 693,</w:t>
      </w:r>
      <w:r w:rsidRPr="00A324F4">
        <w:rPr>
          <w:rFonts w:cs="Arial"/>
          <w:sz w:val="20"/>
          <w:lang w:val="fr-FR"/>
        </w:rPr>
        <w:t xml:space="preserve"> </w:t>
      </w:r>
      <w:hyperlink r:id="rId3" w:history="1">
        <w:r>
          <w:rPr>
            <w:rStyle w:val="solexhl"/>
            <w:rFonts w:cs="Arial"/>
            <w:color w:val="027ABB"/>
            <w:sz w:val="20"/>
            <w:lang w:val="fr-FR"/>
          </w:rPr>
          <w:t>2002</w:t>
        </w:r>
        <w:r>
          <w:rPr>
            <w:rStyle w:val="reflex3-block"/>
            <w:rFonts w:cs="Arial"/>
            <w:color w:val="027ABB"/>
            <w:sz w:val="20"/>
            <w:lang w:val="fr-FR"/>
          </w:rPr>
          <w:t xml:space="preserve"> </w:t>
        </w:r>
        <w:r>
          <w:rPr>
            <w:rStyle w:val="solexhl"/>
            <w:rFonts w:cs="Arial"/>
            <w:color w:val="027ABB"/>
            <w:sz w:val="20"/>
            <w:lang w:val="fr-FR"/>
          </w:rPr>
          <w:t>CanLII</w:t>
        </w:r>
        <w:r>
          <w:rPr>
            <w:rStyle w:val="reflex3-block"/>
            <w:rFonts w:cs="Arial"/>
            <w:color w:val="027ABB"/>
            <w:sz w:val="20"/>
            <w:lang w:val="fr-FR"/>
          </w:rPr>
          <w:t xml:space="preserve"> </w:t>
        </w:r>
        <w:r>
          <w:rPr>
            <w:rStyle w:val="solexhl"/>
            <w:rFonts w:cs="Arial"/>
            <w:color w:val="027ABB"/>
            <w:sz w:val="20"/>
            <w:lang w:val="fr-FR"/>
          </w:rPr>
          <w:t>66357</w:t>
        </w:r>
        <w:r>
          <w:rPr>
            <w:rStyle w:val="reflex3-block"/>
            <w:rFonts w:cs="Arial"/>
            <w:color w:val="027ABB"/>
            <w:sz w:val="20"/>
            <w:lang w:val="fr-FR"/>
          </w:rPr>
          <w:t xml:space="preserve"> (</w:t>
        </w:r>
        <w:r>
          <w:rPr>
            <w:rStyle w:val="solexhl"/>
            <w:rFonts w:cs="Arial"/>
            <w:color w:val="027ABB"/>
            <w:sz w:val="20"/>
            <w:lang w:val="fr-FR"/>
          </w:rPr>
          <w:t>QC</w:t>
        </w:r>
        <w:r>
          <w:rPr>
            <w:rStyle w:val="reflex3-block"/>
            <w:rFonts w:cs="Arial"/>
            <w:color w:val="027ABB"/>
            <w:sz w:val="20"/>
            <w:lang w:val="fr-FR"/>
          </w:rPr>
          <w:t xml:space="preserve"> </w:t>
        </w:r>
        <w:r>
          <w:rPr>
            <w:rStyle w:val="solexhl"/>
            <w:rFonts w:cs="Arial"/>
            <w:color w:val="027ABB"/>
            <w:sz w:val="20"/>
            <w:lang w:val="fr-FR"/>
          </w:rPr>
          <w:t>CLP</w:t>
        </w:r>
        <w:r>
          <w:rPr>
            <w:rStyle w:val="reflex3-block"/>
            <w:rFonts w:cs="Arial"/>
            <w:color w:val="027ABB"/>
            <w:sz w:val="20"/>
            <w:lang w:val="fr-FR"/>
          </w:rPr>
          <w:t>)</w:t>
        </w:r>
      </w:hyperlink>
      <w:r>
        <w:rPr>
          <w:rFonts w:cs="Arial"/>
          <w:sz w:val="20"/>
        </w:rPr>
        <w:t>.</w:t>
      </w:r>
    </w:p>
  </w:footnote>
  <w:footnote w:id="16">
    <w:p w:rsidR="0061486A" w:rsidRPr="00A324F4" w:rsidRDefault="0061486A" w:rsidP="00AE1A1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324F4">
        <w:rPr>
          <w:rFonts w:cs="Arial"/>
          <w:i/>
          <w:sz w:val="20"/>
        </w:rPr>
        <w:t xml:space="preserve">Rajotte </w:t>
      </w:r>
      <w:r>
        <w:rPr>
          <w:rFonts w:cs="Arial"/>
          <w:sz w:val="20"/>
        </w:rPr>
        <w:t xml:space="preserve">et </w:t>
      </w:r>
      <w:r w:rsidRPr="00A324F4">
        <w:rPr>
          <w:rFonts w:cs="Arial"/>
          <w:i/>
          <w:sz w:val="20"/>
        </w:rPr>
        <w:t>2428-8524 Québec inc.</w:t>
      </w:r>
      <w:r>
        <w:rPr>
          <w:rFonts w:cs="Arial"/>
          <w:sz w:val="20"/>
        </w:rPr>
        <w:t xml:space="preserve">, [2006] C.L.P. 1338; </w:t>
      </w:r>
      <w:r w:rsidRPr="00702E33">
        <w:rPr>
          <w:rFonts w:cs="Arial"/>
          <w:i/>
          <w:sz w:val="20"/>
        </w:rPr>
        <w:t>Succession Lucien Tremblay</w:t>
      </w:r>
      <w:r>
        <w:rPr>
          <w:rFonts w:cs="Arial"/>
          <w:sz w:val="20"/>
        </w:rPr>
        <w:t xml:space="preserve"> et </w:t>
      </w:r>
      <w:r w:rsidRPr="00702E33">
        <w:rPr>
          <w:rFonts w:cs="Arial"/>
          <w:i/>
          <w:sz w:val="20"/>
        </w:rPr>
        <w:t>Alcan inc</w:t>
      </w:r>
      <w:r>
        <w:rPr>
          <w:rFonts w:cs="Arial"/>
          <w:sz w:val="20"/>
        </w:rPr>
        <w:t>., [2007] C.L.P. 577, (formation de trois juges).</w:t>
      </w:r>
    </w:p>
  </w:footnote>
  <w:footnote w:id="17">
    <w:p w:rsidR="0061486A" w:rsidRPr="00000060" w:rsidRDefault="0061486A" w:rsidP="00970E3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259044-61-0504, 29 juillet 2005, L. Nadeau.</w:t>
      </w:r>
    </w:p>
  </w:footnote>
  <w:footnote w:id="18">
    <w:p w:rsidR="0061486A" w:rsidRPr="008B1896" w:rsidRDefault="0061486A" w:rsidP="008B189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B1896">
        <w:rPr>
          <w:rFonts w:cs="Arial"/>
          <w:bCs/>
          <w:i/>
          <w:sz w:val="20"/>
        </w:rPr>
        <w:t>Construction Marcel Breault inc.</w:t>
      </w:r>
      <w:r>
        <w:rPr>
          <w:sz w:val="20"/>
        </w:rPr>
        <w:t xml:space="preserve"> et</w:t>
      </w:r>
      <w:r w:rsidRPr="008B1896">
        <w:rPr>
          <w:bCs/>
        </w:rPr>
        <w:t xml:space="preserve"> </w:t>
      </w:r>
      <w:r w:rsidRPr="008B1896">
        <w:rPr>
          <w:bCs/>
          <w:i/>
          <w:sz w:val="20"/>
        </w:rPr>
        <w:t>Constructions &amp; rénovations Claude Fiset</w:t>
      </w:r>
      <w:r>
        <w:rPr>
          <w:bCs/>
          <w:i/>
          <w:sz w:val="20"/>
        </w:rPr>
        <w:t xml:space="preserve"> et al.</w:t>
      </w:r>
      <w:r>
        <w:rPr>
          <w:sz w:val="20"/>
        </w:rPr>
        <w:t xml:space="preserve">, </w:t>
      </w:r>
      <w:r w:rsidRPr="008B1896">
        <w:rPr>
          <w:sz w:val="20"/>
        </w:rPr>
        <w:t>2016 QCTAT 3638</w:t>
      </w:r>
      <w:r>
        <w:rPr>
          <w:sz w:val="20"/>
        </w:rPr>
        <w:t>.</w:t>
      </w:r>
    </w:p>
  </w:footnote>
  <w:footnote w:id="19">
    <w:p w:rsidR="0061486A" w:rsidRPr="00464417" w:rsidRDefault="0061486A" w:rsidP="006A4A1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A49D0">
        <w:rPr>
          <w:rFonts w:ascii="Helv" w:hAnsi="Helv" w:cs="Helv"/>
          <w:i/>
          <w:color w:val="000000"/>
          <w:sz w:val="20"/>
        </w:rPr>
        <w:t>Daniel Rousseau, Stéphan Hould, Marius Roberge, Patrick Tremblay, René Lafond</w:t>
      </w:r>
      <w:r w:rsidRPr="003A49D0">
        <w:rPr>
          <w:rFonts w:ascii="Helv" w:hAnsi="Helv" w:cs="Helv"/>
          <w:color w:val="000000"/>
          <w:sz w:val="20"/>
        </w:rPr>
        <w:t xml:space="preserve"> et </w:t>
      </w:r>
      <w:r w:rsidRPr="003A49D0">
        <w:rPr>
          <w:rFonts w:ascii="Helv" w:hAnsi="Helv" w:cs="Helv"/>
          <w:i/>
          <w:color w:val="000000"/>
          <w:sz w:val="20"/>
        </w:rPr>
        <w:t xml:space="preserve">Demathieu &amp; </w:t>
      </w:r>
      <w:r>
        <w:rPr>
          <w:rFonts w:ascii="Helv" w:hAnsi="Helv" w:cs="Helv"/>
          <w:i/>
          <w:color w:val="000000"/>
          <w:sz w:val="20"/>
        </w:rPr>
        <w:t>Bard-Cegerco senc</w:t>
      </w:r>
      <w:r w:rsidRPr="003A49D0">
        <w:rPr>
          <w:rFonts w:ascii="Helv" w:hAnsi="Helv" w:cs="Helv"/>
          <w:i/>
          <w:color w:val="000000"/>
          <w:sz w:val="20"/>
        </w:rPr>
        <w:t>, Construction et Rénovation G.L., J. Euclide Perron ltée</w:t>
      </w:r>
      <w:r w:rsidRPr="003A49D0">
        <w:rPr>
          <w:rFonts w:ascii="Helv" w:hAnsi="Helv" w:cs="Helv"/>
          <w:color w:val="000000"/>
          <w:sz w:val="20"/>
        </w:rPr>
        <w:t xml:space="preserve">, </w:t>
      </w:r>
      <w:r w:rsidRPr="003A49D0">
        <w:rPr>
          <w:rFonts w:cs="Arial"/>
          <w:sz w:val="20"/>
        </w:rPr>
        <w:t xml:space="preserve">C.L.P. 312245-05-0703, 9 mars 2009, requête en révision rejetée, 15 mars </w:t>
      </w:r>
      <w:smartTag w:uri="urn:schemas-microsoft-com:office:smarttags" w:element="metricconverter">
        <w:smartTagPr>
          <w:attr w:name="ProductID" w:val="2010, L"/>
        </w:smartTagPr>
        <w:r w:rsidRPr="003A49D0">
          <w:rPr>
            <w:rFonts w:cs="Arial"/>
            <w:sz w:val="20"/>
          </w:rPr>
          <w:t>2010, L</w:t>
        </w:r>
      </w:smartTag>
      <w:r w:rsidRPr="003A49D0">
        <w:rPr>
          <w:rFonts w:cs="Arial"/>
          <w:sz w:val="20"/>
        </w:rPr>
        <w:t>. Boucher</w:t>
      </w:r>
      <w:r>
        <w:rPr>
          <w:rFonts w:cs="Arial"/>
          <w:sz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61486A" w:rsidTr="00D27927">
      <w:tc>
        <w:tcPr>
          <w:tcW w:w="8730" w:type="dxa"/>
        </w:tcPr>
        <w:p w:rsidR="0061486A" w:rsidRDefault="0061486A">
          <w:pPr>
            <w:pStyle w:val="En-tte"/>
            <w:ind w:left="-90"/>
          </w:pPr>
        </w:p>
      </w:tc>
      <w:tc>
        <w:tcPr>
          <w:tcW w:w="860" w:type="dxa"/>
        </w:tcPr>
        <w:p w:rsidR="0061486A" w:rsidRDefault="0061486A">
          <w:pPr>
            <w:pStyle w:val="En-tte"/>
            <w:ind w:left="-90"/>
          </w:pPr>
        </w:p>
      </w:tc>
    </w:tr>
    <w:tr w:rsidR="00816F25" w:rsidTr="00D27927">
      <w:tc>
        <w:tcPr>
          <w:tcW w:w="8730" w:type="dxa"/>
        </w:tcPr>
        <w:p w:rsidR="00816F25" w:rsidRDefault="00816F25" w:rsidP="00816F25">
          <w:pPr>
            <w:pStyle w:val="zSoquijdatNoDossier"/>
          </w:pPr>
          <w:r>
            <w:t>619795-09-</w:t>
          </w:r>
          <w:r w:rsidRPr="001733F5">
            <w:t>16</w:t>
          </w:r>
          <w:r>
            <w:t>10</w:t>
          </w:r>
        </w:p>
      </w:tc>
      <w:tc>
        <w:tcPr>
          <w:tcW w:w="860" w:type="dxa"/>
        </w:tcPr>
        <w:p w:rsidR="00816F25" w:rsidRDefault="00816F25" w:rsidP="00816F25">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904159">
            <w:rPr>
              <w:rStyle w:val="Numrodepage"/>
              <w:noProof/>
            </w:rPr>
            <w:t>3</w:t>
          </w:r>
          <w:r>
            <w:rPr>
              <w:rStyle w:val="Numrodepage"/>
            </w:rPr>
            <w:fldChar w:fldCharType="end"/>
          </w:r>
        </w:p>
      </w:tc>
    </w:tr>
    <w:tr w:rsidR="00816F25" w:rsidTr="00D27927">
      <w:tc>
        <w:tcPr>
          <w:tcW w:w="8730" w:type="dxa"/>
        </w:tcPr>
        <w:p w:rsidR="00816F25" w:rsidRDefault="00816F25" w:rsidP="00816F25"/>
      </w:tc>
      <w:tc>
        <w:tcPr>
          <w:tcW w:w="860" w:type="dxa"/>
        </w:tcPr>
        <w:p w:rsidR="00816F25" w:rsidRDefault="00816F25" w:rsidP="00816F25">
          <w:pPr>
            <w:pStyle w:val="En-tte"/>
            <w:ind w:left="-90"/>
            <w:jc w:val="right"/>
          </w:pPr>
        </w:p>
      </w:tc>
    </w:tr>
  </w:tbl>
  <w:p w:rsidR="0061486A" w:rsidRDefault="0061486A">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61486A" w:rsidTr="00D27927">
      <w:tc>
        <w:tcPr>
          <w:tcW w:w="8730" w:type="dxa"/>
        </w:tcPr>
        <w:p w:rsidR="0061486A" w:rsidRDefault="0061486A">
          <w:pPr>
            <w:pStyle w:val="En-tte"/>
            <w:ind w:left="-90"/>
          </w:pPr>
        </w:p>
      </w:tc>
      <w:tc>
        <w:tcPr>
          <w:tcW w:w="860" w:type="dxa"/>
        </w:tcPr>
        <w:p w:rsidR="0061486A" w:rsidRDefault="0061486A">
          <w:pPr>
            <w:pStyle w:val="En-tte"/>
            <w:ind w:left="-90"/>
          </w:pPr>
        </w:p>
      </w:tc>
    </w:tr>
    <w:tr w:rsidR="0061486A" w:rsidTr="00D27927">
      <w:tc>
        <w:tcPr>
          <w:tcW w:w="8730" w:type="dxa"/>
        </w:tcPr>
        <w:p w:rsidR="0061486A" w:rsidRDefault="0061486A" w:rsidP="00DB2A4C">
          <w:pPr>
            <w:pStyle w:val="zSoquijdatNoDossier"/>
          </w:pPr>
          <w:r>
            <w:t>619795-09-</w:t>
          </w:r>
          <w:r w:rsidRPr="001733F5">
            <w:t>16</w:t>
          </w:r>
          <w:r w:rsidR="00816F25">
            <w:t>10</w:t>
          </w:r>
        </w:p>
      </w:tc>
      <w:tc>
        <w:tcPr>
          <w:tcW w:w="860" w:type="dxa"/>
        </w:tcPr>
        <w:p w:rsidR="0061486A" w:rsidRDefault="0061486A" w:rsidP="00DB2A4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904159">
            <w:rPr>
              <w:rStyle w:val="Numrodepage"/>
              <w:noProof/>
            </w:rPr>
            <w:t>4</w:t>
          </w:r>
          <w:r>
            <w:rPr>
              <w:rStyle w:val="Numrodepage"/>
            </w:rPr>
            <w:fldChar w:fldCharType="end"/>
          </w:r>
        </w:p>
      </w:tc>
    </w:tr>
    <w:tr w:rsidR="0061486A" w:rsidTr="00D27927">
      <w:tc>
        <w:tcPr>
          <w:tcW w:w="8730" w:type="dxa"/>
        </w:tcPr>
        <w:p w:rsidR="0061486A" w:rsidRDefault="0061486A" w:rsidP="00DB2A4C"/>
      </w:tc>
      <w:tc>
        <w:tcPr>
          <w:tcW w:w="860" w:type="dxa"/>
        </w:tcPr>
        <w:p w:rsidR="0061486A" w:rsidRDefault="0061486A" w:rsidP="00DB2A4C">
          <w:pPr>
            <w:pStyle w:val="En-tte"/>
            <w:ind w:left="-90"/>
            <w:jc w:val="right"/>
          </w:pPr>
        </w:p>
      </w:tc>
    </w:tr>
  </w:tbl>
  <w:p w:rsidR="0061486A" w:rsidRDefault="0061486A">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82237"/>
    <w:multiLevelType w:val="hybridMultilevel"/>
    <w:tmpl w:val="9C2E2E22"/>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
    <w:nsid w:val="19656DB4"/>
    <w:multiLevelType w:val="hybridMultilevel"/>
    <w:tmpl w:val="D720A2D6"/>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
    <w:nsid w:val="26640769"/>
    <w:multiLevelType w:val="hybridMultilevel"/>
    <w:tmpl w:val="DCAA1458"/>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nsid w:val="3CB479F3"/>
    <w:multiLevelType w:val="hybridMultilevel"/>
    <w:tmpl w:val="AB2E80EE"/>
    <w:lvl w:ilvl="0" w:tplc="31D0833A">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nsid w:val="518807CA"/>
    <w:multiLevelType w:val="hybridMultilevel"/>
    <w:tmpl w:val="0E4CE7D6"/>
    <w:lvl w:ilvl="0" w:tplc="256E7236">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5"/>
  </w:num>
  <w:num w:numId="5">
    <w:abstractNumId w:val="9"/>
  </w:num>
  <w:num w:numId="6">
    <w:abstractNumId w:val="9"/>
  </w:num>
  <w:num w:numId="7">
    <w:abstractNumId w:val="1"/>
  </w:num>
  <w:num w:numId="8">
    <w:abstractNumId w:val="3"/>
  </w:num>
  <w:num w:numId="9">
    <w:abstractNumId w:val="4"/>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927"/>
    <w:rsid w:val="000034B0"/>
    <w:rsid w:val="000041A1"/>
    <w:rsid w:val="00006D80"/>
    <w:rsid w:val="000158FC"/>
    <w:rsid w:val="00021B30"/>
    <w:rsid w:val="00021E4C"/>
    <w:rsid w:val="00022556"/>
    <w:rsid w:val="000366EC"/>
    <w:rsid w:val="00043E4D"/>
    <w:rsid w:val="00056393"/>
    <w:rsid w:val="00063024"/>
    <w:rsid w:val="00063FF0"/>
    <w:rsid w:val="00065F31"/>
    <w:rsid w:val="0007225E"/>
    <w:rsid w:val="00076D81"/>
    <w:rsid w:val="0008378A"/>
    <w:rsid w:val="0008784D"/>
    <w:rsid w:val="00090018"/>
    <w:rsid w:val="00090306"/>
    <w:rsid w:val="00093ACD"/>
    <w:rsid w:val="00095814"/>
    <w:rsid w:val="00097AD3"/>
    <w:rsid w:val="00097D81"/>
    <w:rsid w:val="000A4AD0"/>
    <w:rsid w:val="000A77C5"/>
    <w:rsid w:val="000B7F1B"/>
    <w:rsid w:val="000D3417"/>
    <w:rsid w:val="000D3948"/>
    <w:rsid w:val="000D540D"/>
    <w:rsid w:val="000E0264"/>
    <w:rsid w:val="000E0C28"/>
    <w:rsid w:val="000E1320"/>
    <w:rsid w:val="000E219A"/>
    <w:rsid w:val="000E56A6"/>
    <w:rsid w:val="000F2532"/>
    <w:rsid w:val="000F3423"/>
    <w:rsid w:val="000F48EF"/>
    <w:rsid w:val="0010249C"/>
    <w:rsid w:val="001050B4"/>
    <w:rsid w:val="0012224D"/>
    <w:rsid w:val="001225BC"/>
    <w:rsid w:val="00122A9E"/>
    <w:rsid w:val="0012326A"/>
    <w:rsid w:val="00131BFD"/>
    <w:rsid w:val="001407FC"/>
    <w:rsid w:val="00142085"/>
    <w:rsid w:val="00147A49"/>
    <w:rsid w:val="00147B8B"/>
    <w:rsid w:val="0015125A"/>
    <w:rsid w:val="00152464"/>
    <w:rsid w:val="0015539F"/>
    <w:rsid w:val="00155BEE"/>
    <w:rsid w:val="00160597"/>
    <w:rsid w:val="001664C8"/>
    <w:rsid w:val="00167AD0"/>
    <w:rsid w:val="00172E76"/>
    <w:rsid w:val="00173184"/>
    <w:rsid w:val="001733F5"/>
    <w:rsid w:val="00175079"/>
    <w:rsid w:val="00175D8D"/>
    <w:rsid w:val="00182285"/>
    <w:rsid w:val="00183515"/>
    <w:rsid w:val="0019027A"/>
    <w:rsid w:val="00197542"/>
    <w:rsid w:val="001A03BE"/>
    <w:rsid w:val="001A067E"/>
    <w:rsid w:val="001A0B2C"/>
    <w:rsid w:val="001A1FD0"/>
    <w:rsid w:val="001A2900"/>
    <w:rsid w:val="001A4081"/>
    <w:rsid w:val="001A65F1"/>
    <w:rsid w:val="001A76FC"/>
    <w:rsid w:val="001B2B40"/>
    <w:rsid w:val="001B3E9D"/>
    <w:rsid w:val="001B4A40"/>
    <w:rsid w:val="001C2B0B"/>
    <w:rsid w:val="001C44E9"/>
    <w:rsid w:val="001D0C0C"/>
    <w:rsid w:val="001D59DB"/>
    <w:rsid w:val="001E45B4"/>
    <w:rsid w:val="001F1927"/>
    <w:rsid w:val="002017DF"/>
    <w:rsid w:val="00227040"/>
    <w:rsid w:val="00230CFC"/>
    <w:rsid w:val="00231C1D"/>
    <w:rsid w:val="00241CED"/>
    <w:rsid w:val="00242FB4"/>
    <w:rsid w:val="00245119"/>
    <w:rsid w:val="00245605"/>
    <w:rsid w:val="00246C69"/>
    <w:rsid w:val="0024749C"/>
    <w:rsid w:val="002563F0"/>
    <w:rsid w:val="00266064"/>
    <w:rsid w:val="00267C8D"/>
    <w:rsid w:val="002701DD"/>
    <w:rsid w:val="00272EF7"/>
    <w:rsid w:val="002769B5"/>
    <w:rsid w:val="00276B59"/>
    <w:rsid w:val="00281319"/>
    <w:rsid w:val="00284EFB"/>
    <w:rsid w:val="00286149"/>
    <w:rsid w:val="0028668D"/>
    <w:rsid w:val="00290289"/>
    <w:rsid w:val="00292FA0"/>
    <w:rsid w:val="002932E8"/>
    <w:rsid w:val="00296645"/>
    <w:rsid w:val="00296A4B"/>
    <w:rsid w:val="00297284"/>
    <w:rsid w:val="002A0077"/>
    <w:rsid w:val="002A374B"/>
    <w:rsid w:val="002A5A0B"/>
    <w:rsid w:val="002A73E9"/>
    <w:rsid w:val="002B0890"/>
    <w:rsid w:val="002B219F"/>
    <w:rsid w:val="002B2FC3"/>
    <w:rsid w:val="002B35F0"/>
    <w:rsid w:val="002B5766"/>
    <w:rsid w:val="002B58AF"/>
    <w:rsid w:val="002B7B76"/>
    <w:rsid w:val="002C3748"/>
    <w:rsid w:val="002C5E89"/>
    <w:rsid w:val="002D71A9"/>
    <w:rsid w:val="002F7507"/>
    <w:rsid w:val="002F7AA9"/>
    <w:rsid w:val="00302FB4"/>
    <w:rsid w:val="00305273"/>
    <w:rsid w:val="003054CD"/>
    <w:rsid w:val="003057FC"/>
    <w:rsid w:val="00307C85"/>
    <w:rsid w:val="00307CC4"/>
    <w:rsid w:val="003112B3"/>
    <w:rsid w:val="00312983"/>
    <w:rsid w:val="003248CB"/>
    <w:rsid w:val="00327CEC"/>
    <w:rsid w:val="00331EA7"/>
    <w:rsid w:val="003332B8"/>
    <w:rsid w:val="00344465"/>
    <w:rsid w:val="003473BA"/>
    <w:rsid w:val="0034740A"/>
    <w:rsid w:val="003501AD"/>
    <w:rsid w:val="0035375B"/>
    <w:rsid w:val="00355D8A"/>
    <w:rsid w:val="00365F25"/>
    <w:rsid w:val="003664E9"/>
    <w:rsid w:val="00366D1E"/>
    <w:rsid w:val="00373EE5"/>
    <w:rsid w:val="003817E7"/>
    <w:rsid w:val="00382E55"/>
    <w:rsid w:val="003961B2"/>
    <w:rsid w:val="003A14E1"/>
    <w:rsid w:val="003A41AD"/>
    <w:rsid w:val="003B152B"/>
    <w:rsid w:val="003B1734"/>
    <w:rsid w:val="003B1735"/>
    <w:rsid w:val="003B6CBF"/>
    <w:rsid w:val="003C1748"/>
    <w:rsid w:val="003C47A7"/>
    <w:rsid w:val="003C6774"/>
    <w:rsid w:val="003C6E65"/>
    <w:rsid w:val="003D0826"/>
    <w:rsid w:val="003D3C93"/>
    <w:rsid w:val="003E00D5"/>
    <w:rsid w:val="003E02BA"/>
    <w:rsid w:val="003F669C"/>
    <w:rsid w:val="003F7F38"/>
    <w:rsid w:val="0040399B"/>
    <w:rsid w:val="00406F0C"/>
    <w:rsid w:val="0040764E"/>
    <w:rsid w:val="00407D7A"/>
    <w:rsid w:val="00412585"/>
    <w:rsid w:val="0041363B"/>
    <w:rsid w:val="00414AE4"/>
    <w:rsid w:val="00415D5D"/>
    <w:rsid w:val="0042650F"/>
    <w:rsid w:val="00427565"/>
    <w:rsid w:val="004316D9"/>
    <w:rsid w:val="00431E0B"/>
    <w:rsid w:val="00432469"/>
    <w:rsid w:val="004337FE"/>
    <w:rsid w:val="00433E98"/>
    <w:rsid w:val="00435738"/>
    <w:rsid w:val="00437137"/>
    <w:rsid w:val="004403B8"/>
    <w:rsid w:val="00441ADA"/>
    <w:rsid w:val="0044371C"/>
    <w:rsid w:val="0044627E"/>
    <w:rsid w:val="0045114F"/>
    <w:rsid w:val="00452365"/>
    <w:rsid w:val="004529D3"/>
    <w:rsid w:val="00453F31"/>
    <w:rsid w:val="00454787"/>
    <w:rsid w:val="00456B0C"/>
    <w:rsid w:val="00457AED"/>
    <w:rsid w:val="004617CF"/>
    <w:rsid w:val="0046538B"/>
    <w:rsid w:val="004668EE"/>
    <w:rsid w:val="00471C92"/>
    <w:rsid w:val="004739AC"/>
    <w:rsid w:val="00474559"/>
    <w:rsid w:val="004751A0"/>
    <w:rsid w:val="00475FEF"/>
    <w:rsid w:val="0047776F"/>
    <w:rsid w:val="00477FF8"/>
    <w:rsid w:val="00480B19"/>
    <w:rsid w:val="00483A59"/>
    <w:rsid w:val="004870EA"/>
    <w:rsid w:val="00487F13"/>
    <w:rsid w:val="00495C46"/>
    <w:rsid w:val="00496193"/>
    <w:rsid w:val="004A01E6"/>
    <w:rsid w:val="004A02AF"/>
    <w:rsid w:val="004A679B"/>
    <w:rsid w:val="004A6E27"/>
    <w:rsid w:val="004C0FB4"/>
    <w:rsid w:val="004C1811"/>
    <w:rsid w:val="004C29CF"/>
    <w:rsid w:val="004C4047"/>
    <w:rsid w:val="004C4555"/>
    <w:rsid w:val="004D6CEA"/>
    <w:rsid w:val="004E1163"/>
    <w:rsid w:val="004E3564"/>
    <w:rsid w:val="004E51C0"/>
    <w:rsid w:val="004E64BE"/>
    <w:rsid w:val="004F2A8A"/>
    <w:rsid w:val="005034E6"/>
    <w:rsid w:val="00503B8D"/>
    <w:rsid w:val="00503EE3"/>
    <w:rsid w:val="0050520F"/>
    <w:rsid w:val="00505811"/>
    <w:rsid w:val="00515DE7"/>
    <w:rsid w:val="00517EB0"/>
    <w:rsid w:val="00520138"/>
    <w:rsid w:val="005205CB"/>
    <w:rsid w:val="00534879"/>
    <w:rsid w:val="005352F1"/>
    <w:rsid w:val="00540094"/>
    <w:rsid w:val="00545CFF"/>
    <w:rsid w:val="00546147"/>
    <w:rsid w:val="0055489A"/>
    <w:rsid w:val="00555800"/>
    <w:rsid w:val="00556DBB"/>
    <w:rsid w:val="00560781"/>
    <w:rsid w:val="0056268F"/>
    <w:rsid w:val="005662E9"/>
    <w:rsid w:val="00566F05"/>
    <w:rsid w:val="00572AAF"/>
    <w:rsid w:val="005801AE"/>
    <w:rsid w:val="005808F6"/>
    <w:rsid w:val="0058189E"/>
    <w:rsid w:val="00582868"/>
    <w:rsid w:val="00582ECC"/>
    <w:rsid w:val="0058399B"/>
    <w:rsid w:val="0058692F"/>
    <w:rsid w:val="00587045"/>
    <w:rsid w:val="00587C22"/>
    <w:rsid w:val="00590449"/>
    <w:rsid w:val="00592183"/>
    <w:rsid w:val="0059436D"/>
    <w:rsid w:val="005945C0"/>
    <w:rsid w:val="00595A50"/>
    <w:rsid w:val="00597016"/>
    <w:rsid w:val="005974B7"/>
    <w:rsid w:val="005A0D51"/>
    <w:rsid w:val="005A181B"/>
    <w:rsid w:val="005A1CB3"/>
    <w:rsid w:val="005A3073"/>
    <w:rsid w:val="005A33A5"/>
    <w:rsid w:val="005A70A0"/>
    <w:rsid w:val="005B0612"/>
    <w:rsid w:val="005B13F0"/>
    <w:rsid w:val="005B30F6"/>
    <w:rsid w:val="005B45BA"/>
    <w:rsid w:val="005B52EC"/>
    <w:rsid w:val="005B5689"/>
    <w:rsid w:val="005B6774"/>
    <w:rsid w:val="005C0A89"/>
    <w:rsid w:val="005C3BC4"/>
    <w:rsid w:val="005D0BFA"/>
    <w:rsid w:val="005D276E"/>
    <w:rsid w:val="005D59B1"/>
    <w:rsid w:val="005D764B"/>
    <w:rsid w:val="005E2367"/>
    <w:rsid w:val="005E5E90"/>
    <w:rsid w:val="005E654C"/>
    <w:rsid w:val="005F05F6"/>
    <w:rsid w:val="0060499F"/>
    <w:rsid w:val="00604AFD"/>
    <w:rsid w:val="00605734"/>
    <w:rsid w:val="00607F9C"/>
    <w:rsid w:val="0061486A"/>
    <w:rsid w:val="0061488E"/>
    <w:rsid w:val="0061574B"/>
    <w:rsid w:val="00622670"/>
    <w:rsid w:val="00623044"/>
    <w:rsid w:val="00623A1A"/>
    <w:rsid w:val="00626E8D"/>
    <w:rsid w:val="00631D0A"/>
    <w:rsid w:val="00632DA8"/>
    <w:rsid w:val="00634AA6"/>
    <w:rsid w:val="00634E6E"/>
    <w:rsid w:val="00640563"/>
    <w:rsid w:val="00641445"/>
    <w:rsid w:val="00642830"/>
    <w:rsid w:val="0064342A"/>
    <w:rsid w:val="00643A28"/>
    <w:rsid w:val="006452FA"/>
    <w:rsid w:val="00647725"/>
    <w:rsid w:val="0065093D"/>
    <w:rsid w:val="00651420"/>
    <w:rsid w:val="00653823"/>
    <w:rsid w:val="00655193"/>
    <w:rsid w:val="00655459"/>
    <w:rsid w:val="00656FB2"/>
    <w:rsid w:val="00661454"/>
    <w:rsid w:val="006631FF"/>
    <w:rsid w:val="0066642D"/>
    <w:rsid w:val="006725DB"/>
    <w:rsid w:val="00675E85"/>
    <w:rsid w:val="0067750F"/>
    <w:rsid w:val="0068401E"/>
    <w:rsid w:val="006841A4"/>
    <w:rsid w:val="0068643F"/>
    <w:rsid w:val="006877A1"/>
    <w:rsid w:val="00692150"/>
    <w:rsid w:val="00692F0C"/>
    <w:rsid w:val="006957C5"/>
    <w:rsid w:val="00696E7C"/>
    <w:rsid w:val="006A0C54"/>
    <w:rsid w:val="006A4A1B"/>
    <w:rsid w:val="006A579A"/>
    <w:rsid w:val="006A7C53"/>
    <w:rsid w:val="006B309C"/>
    <w:rsid w:val="006B727F"/>
    <w:rsid w:val="006C16E5"/>
    <w:rsid w:val="006C6D3A"/>
    <w:rsid w:val="006C7B36"/>
    <w:rsid w:val="006C7B7F"/>
    <w:rsid w:val="006D19E8"/>
    <w:rsid w:val="006E04B5"/>
    <w:rsid w:val="006E18D0"/>
    <w:rsid w:val="006E330C"/>
    <w:rsid w:val="006E3DD8"/>
    <w:rsid w:val="006E793F"/>
    <w:rsid w:val="006F0154"/>
    <w:rsid w:val="006F7944"/>
    <w:rsid w:val="00704121"/>
    <w:rsid w:val="00705BB5"/>
    <w:rsid w:val="0071326F"/>
    <w:rsid w:val="007153D7"/>
    <w:rsid w:val="00720ED4"/>
    <w:rsid w:val="00725F1E"/>
    <w:rsid w:val="0074488F"/>
    <w:rsid w:val="00745AA8"/>
    <w:rsid w:val="007510EC"/>
    <w:rsid w:val="0075233C"/>
    <w:rsid w:val="0075256A"/>
    <w:rsid w:val="007569DE"/>
    <w:rsid w:val="0075723C"/>
    <w:rsid w:val="00770633"/>
    <w:rsid w:val="00775690"/>
    <w:rsid w:val="00782C8F"/>
    <w:rsid w:val="00785F78"/>
    <w:rsid w:val="0078659D"/>
    <w:rsid w:val="007869EC"/>
    <w:rsid w:val="007A1E58"/>
    <w:rsid w:val="007A5C7E"/>
    <w:rsid w:val="007A6E2F"/>
    <w:rsid w:val="007B3BC5"/>
    <w:rsid w:val="007B43AD"/>
    <w:rsid w:val="007D03DF"/>
    <w:rsid w:val="007D4727"/>
    <w:rsid w:val="007D4953"/>
    <w:rsid w:val="007D50F4"/>
    <w:rsid w:val="007D7173"/>
    <w:rsid w:val="007E0214"/>
    <w:rsid w:val="007E1216"/>
    <w:rsid w:val="007E4CD4"/>
    <w:rsid w:val="007F0E8E"/>
    <w:rsid w:val="00806E1F"/>
    <w:rsid w:val="008079DD"/>
    <w:rsid w:val="0081130F"/>
    <w:rsid w:val="008144B7"/>
    <w:rsid w:val="00816F25"/>
    <w:rsid w:val="00824430"/>
    <w:rsid w:val="00825B1F"/>
    <w:rsid w:val="00827D55"/>
    <w:rsid w:val="00835CEA"/>
    <w:rsid w:val="00840EDD"/>
    <w:rsid w:val="0084255F"/>
    <w:rsid w:val="00854FB3"/>
    <w:rsid w:val="008566B3"/>
    <w:rsid w:val="00860F13"/>
    <w:rsid w:val="00861F8B"/>
    <w:rsid w:val="008647D1"/>
    <w:rsid w:val="0086561F"/>
    <w:rsid w:val="00865FE1"/>
    <w:rsid w:val="00873B28"/>
    <w:rsid w:val="008748C7"/>
    <w:rsid w:val="0087521A"/>
    <w:rsid w:val="008808C0"/>
    <w:rsid w:val="00890BB0"/>
    <w:rsid w:val="00890BDE"/>
    <w:rsid w:val="008962E7"/>
    <w:rsid w:val="008A1118"/>
    <w:rsid w:val="008A281F"/>
    <w:rsid w:val="008A4AF6"/>
    <w:rsid w:val="008A4FF8"/>
    <w:rsid w:val="008A5ED1"/>
    <w:rsid w:val="008A7FD1"/>
    <w:rsid w:val="008B042E"/>
    <w:rsid w:val="008B1896"/>
    <w:rsid w:val="008B211E"/>
    <w:rsid w:val="008B2928"/>
    <w:rsid w:val="008B6D48"/>
    <w:rsid w:val="008C1673"/>
    <w:rsid w:val="008C7660"/>
    <w:rsid w:val="008C79A7"/>
    <w:rsid w:val="008D555F"/>
    <w:rsid w:val="008D625D"/>
    <w:rsid w:val="008D650E"/>
    <w:rsid w:val="008E4D80"/>
    <w:rsid w:val="008E6A41"/>
    <w:rsid w:val="008F4524"/>
    <w:rsid w:val="00900ED6"/>
    <w:rsid w:val="00903990"/>
    <w:rsid w:val="00904159"/>
    <w:rsid w:val="00904950"/>
    <w:rsid w:val="0090707C"/>
    <w:rsid w:val="00915E5E"/>
    <w:rsid w:val="009166B8"/>
    <w:rsid w:val="00922DB7"/>
    <w:rsid w:val="00923AF7"/>
    <w:rsid w:val="0092684A"/>
    <w:rsid w:val="00937FAB"/>
    <w:rsid w:val="009406DF"/>
    <w:rsid w:val="00940816"/>
    <w:rsid w:val="0094094D"/>
    <w:rsid w:val="00942AB8"/>
    <w:rsid w:val="00945CAF"/>
    <w:rsid w:val="00945E9C"/>
    <w:rsid w:val="00947448"/>
    <w:rsid w:val="00952B38"/>
    <w:rsid w:val="00952C99"/>
    <w:rsid w:val="00957DB9"/>
    <w:rsid w:val="00965333"/>
    <w:rsid w:val="00970E37"/>
    <w:rsid w:val="009712EF"/>
    <w:rsid w:val="009727BF"/>
    <w:rsid w:val="00973321"/>
    <w:rsid w:val="00975C2E"/>
    <w:rsid w:val="00977270"/>
    <w:rsid w:val="00981FD4"/>
    <w:rsid w:val="009824F2"/>
    <w:rsid w:val="00983080"/>
    <w:rsid w:val="00986AA3"/>
    <w:rsid w:val="009915FF"/>
    <w:rsid w:val="00993305"/>
    <w:rsid w:val="00993B24"/>
    <w:rsid w:val="0099611F"/>
    <w:rsid w:val="009A083F"/>
    <w:rsid w:val="009A135C"/>
    <w:rsid w:val="009A67E7"/>
    <w:rsid w:val="009A78B0"/>
    <w:rsid w:val="009B3547"/>
    <w:rsid w:val="009C603A"/>
    <w:rsid w:val="009C74CD"/>
    <w:rsid w:val="009D048F"/>
    <w:rsid w:val="009D401F"/>
    <w:rsid w:val="009D68FA"/>
    <w:rsid w:val="009E025A"/>
    <w:rsid w:val="009E0847"/>
    <w:rsid w:val="009E32CF"/>
    <w:rsid w:val="009E4045"/>
    <w:rsid w:val="009E4246"/>
    <w:rsid w:val="009E4FC2"/>
    <w:rsid w:val="009E7D1B"/>
    <w:rsid w:val="009F44AE"/>
    <w:rsid w:val="009F4F82"/>
    <w:rsid w:val="009F55FF"/>
    <w:rsid w:val="00A02529"/>
    <w:rsid w:val="00A02EF2"/>
    <w:rsid w:val="00A04D5E"/>
    <w:rsid w:val="00A10DDF"/>
    <w:rsid w:val="00A10EA6"/>
    <w:rsid w:val="00A11172"/>
    <w:rsid w:val="00A12E55"/>
    <w:rsid w:val="00A1726B"/>
    <w:rsid w:val="00A242E4"/>
    <w:rsid w:val="00A24437"/>
    <w:rsid w:val="00A24CA0"/>
    <w:rsid w:val="00A3362A"/>
    <w:rsid w:val="00A3562A"/>
    <w:rsid w:val="00A37B70"/>
    <w:rsid w:val="00A40AC7"/>
    <w:rsid w:val="00A435C7"/>
    <w:rsid w:val="00A45F2E"/>
    <w:rsid w:val="00A52C79"/>
    <w:rsid w:val="00A53675"/>
    <w:rsid w:val="00A53852"/>
    <w:rsid w:val="00A569B2"/>
    <w:rsid w:val="00A60552"/>
    <w:rsid w:val="00A611A4"/>
    <w:rsid w:val="00A64496"/>
    <w:rsid w:val="00A6695B"/>
    <w:rsid w:val="00A67C0D"/>
    <w:rsid w:val="00A7264B"/>
    <w:rsid w:val="00A72703"/>
    <w:rsid w:val="00A727F6"/>
    <w:rsid w:val="00A72E71"/>
    <w:rsid w:val="00A76432"/>
    <w:rsid w:val="00A77844"/>
    <w:rsid w:val="00A84FC6"/>
    <w:rsid w:val="00A8528E"/>
    <w:rsid w:val="00A94A49"/>
    <w:rsid w:val="00A95452"/>
    <w:rsid w:val="00AA1815"/>
    <w:rsid w:val="00AA1D3E"/>
    <w:rsid w:val="00AA39F9"/>
    <w:rsid w:val="00AB0931"/>
    <w:rsid w:val="00AB129B"/>
    <w:rsid w:val="00AB5C9B"/>
    <w:rsid w:val="00AC0276"/>
    <w:rsid w:val="00AC0312"/>
    <w:rsid w:val="00AC0449"/>
    <w:rsid w:val="00AD2497"/>
    <w:rsid w:val="00AD5084"/>
    <w:rsid w:val="00AD5EB4"/>
    <w:rsid w:val="00AE044A"/>
    <w:rsid w:val="00AE1A1D"/>
    <w:rsid w:val="00AE3DE2"/>
    <w:rsid w:val="00AE63E2"/>
    <w:rsid w:val="00AF04C9"/>
    <w:rsid w:val="00AF26B6"/>
    <w:rsid w:val="00AF2979"/>
    <w:rsid w:val="00AF3B21"/>
    <w:rsid w:val="00B0375C"/>
    <w:rsid w:val="00B052CB"/>
    <w:rsid w:val="00B1208A"/>
    <w:rsid w:val="00B156C3"/>
    <w:rsid w:val="00B15F67"/>
    <w:rsid w:val="00B1624F"/>
    <w:rsid w:val="00B224C5"/>
    <w:rsid w:val="00B325CD"/>
    <w:rsid w:val="00B40688"/>
    <w:rsid w:val="00B42395"/>
    <w:rsid w:val="00B4768D"/>
    <w:rsid w:val="00B518E5"/>
    <w:rsid w:val="00B51E1F"/>
    <w:rsid w:val="00B60222"/>
    <w:rsid w:val="00B62CFB"/>
    <w:rsid w:val="00B662F5"/>
    <w:rsid w:val="00B7000C"/>
    <w:rsid w:val="00B760D5"/>
    <w:rsid w:val="00B770A7"/>
    <w:rsid w:val="00B83B2C"/>
    <w:rsid w:val="00B85FAB"/>
    <w:rsid w:val="00B9054A"/>
    <w:rsid w:val="00B94740"/>
    <w:rsid w:val="00B97F75"/>
    <w:rsid w:val="00BA024A"/>
    <w:rsid w:val="00BA1CAE"/>
    <w:rsid w:val="00BA33BB"/>
    <w:rsid w:val="00BA4830"/>
    <w:rsid w:val="00BA6E22"/>
    <w:rsid w:val="00BB362C"/>
    <w:rsid w:val="00BB6E24"/>
    <w:rsid w:val="00BC0A03"/>
    <w:rsid w:val="00BD4139"/>
    <w:rsid w:val="00BD5137"/>
    <w:rsid w:val="00BE059A"/>
    <w:rsid w:val="00BE0D39"/>
    <w:rsid w:val="00BE1981"/>
    <w:rsid w:val="00BE1F2E"/>
    <w:rsid w:val="00BE56E9"/>
    <w:rsid w:val="00BE63CF"/>
    <w:rsid w:val="00BE7014"/>
    <w:rsid w:val="00BF25C7"/>
    <w:rsid w:val="00C009B7"/>
    <w:rsid w:val="00C01640"/>
    <w:rsid w:val="00C04E32"/>
    <w:rsid w:val="00C15A3F"/>
    <w:rsid w:val="00C20630"/>
    <w:rsid w:val="00C22F7A"/>
    <w:rsid w:val="00C265D5"/>
    <w:rsid w:val="00C2666F"/>
    <w:rsid w:val="00C32020"/>
    <w:rsid w:val="00C33615"/>
    <w:rsid w:val="00C3408C"/>
    <w:rsid w:val="00C351CC"/>
    <w:rsid w:val="00C35435"/>
    <w:rsid w:val="00C4175B"/>
    <w:rsid w:val="00C432FD"/>
    <w:rsid w:val="00C43CDF"/>
    <w:rsid w:val="00C5028B"/>
    <w:rsid w:val="00C512B2"/>
    <w:rsid w:val="00C619B9"/>
    <w:rsid w:val="00C62B69"/>
    <w:rsid w:val="00C644B7"/>
    <w:rsid w:val="00C64564"/>
    <w:rsid w:val="00C662C8"/>
    <w:rsid w:val="00C72570"/>
    <w:rsid w:val="00C73C87"/>
    <w:rsid w:val="00C74B6F"/>
    <w:rsid w:val="00C82783"/>
    <w:rsid w:val="00C87EF3"/>
    <w:rsid w:val="00C9015F"/>
    <w:rsid w:val="00C912F9"/>
    <w:rsid w:val="00C9241B"/>
    <w:rsid w:val="00C97569"/>
    <w:rsid w:val="00CA199D"/>
    <w:rsid w:val="00CA2C20"/>
    <w:rsid w:val="00CA4D9C"/>
    <w:rsid w:val="00CB05A7"/>
    <w:rsid w:val="00CB06A4"/>
    <w:rsid w:val="00CB325B"/>
    <w:rsid w:val="00CB56F0"/>
    <w:rsid w:val="00CB5FA2"/>
    <w:rsid w:val="00CB64FF"/>
    <w:rsid w:val="00CB7078"/>
    <w:rsid w:val="00CC014B"/>
    <w:rsid w:val="00CC21D8"/>
    <w:rsid w:val="00CC3369"/>
    <w:rsid w:val="00CC5343"/>
    <w:rsid w:val="00CC667B"/>
    <w:rsid w:val="00CC78DE"/>
    <w:rsid w:val="00CD0BC8"/>
    <w:rsid w:val="00CD0F93"/>
    <w:rsid w:val="00CD6D6E"/>
    <w:rsid w:val="00CD6F23"/>
    <w:rsid w:val="00CE38C4"/>
    <w:rsid w:val="00CF640B"/>
    <w:rsid w:val="00D027AF"/>
    <w:rsid w:val="00D06652"/>
    <w:rsid w:val="00D07FA6"/>
    <w:rsid w:val="00D17C53"/>
    <w:rsid w:val="00D17D57"/>
    <w:rsid w:val="00D2341D"/>
    <w:rsid w:val="00D25E0E"/>
    <w:rsid w:val="00D27927"/>
    <w:rsid w:val="00D302EB"/>
    <w:rsid w:val="00D31679"/>
    <w:rsid w:val="00D320C8"/>
    <w:rsid w:val="00D34CF1"/>
    <w:rsid w:val="00D3672F"/>
    <w:rsid w:val="00D40ABA"/>
    <w:rsid w:val="00D40FE2"/>
    <w:rsid w:val="00D440FA"/>
    <w:rsid w:val="00D44BCF"/>
    <w:rsid w:val="00D44DA1"/>
    <w:rsid w:val="00D46E73"/>
    <w:rsid w:val="00D5548D"/>
    <w:rsid w:val="00D60F81"/>
    <w:rsid w:val="00D63951"/>
    <w:rsid w:val="00D63BF2"/>
    <w:rsid w:val="00D67348"/>
    <w:rsid w:val="00D75FEC"/>
    <w:rsid w:val="00D76B98"/>
    <w:rsid w:val="00D80D1E"/>
    <w:rsid w:val="00D86306"/>
    <w:rsid w:val="00D86F2C"/>
    <w:rsid w:val="00DA36F6"/>
    <w:rsid w:val="00DB2A4C"/>
    <w:rsid w:val="00DC1611"/>
    <w:rsid w:val="00DD2944"/>
    <w:rsid w:val="00DF0774"/>
    <w:rsid w:val="00DF1036"/>
    <w:rsid w:val="00DF2CCC"/>
    <w:rsid w:val="00DF2F9C"/>
    <w:rsid w:val="00DF4F61"/>
    <w:rsid w:val="00E01F10"/>
    <w:rsid w:val="00E05451"/>
    <w:rsid w:val="00E05651"/>
    <w:rsid w:val="00E11BA5"/>
    <w:rsid w:val="00E157F8"/>
    <w:rsid w:val="00E20425"/>
    <w:rsid w:val="00E25DCB"/>
    <w:rsid w:val="00E35E7C"/>
    <w:rsid w:val="00E4156E"/>
    <w:rsid w:val="00E453F2"/>
    <w:rsid w:val="00E460AD"/>
    <w:rsid w:val="00E5614D"/>
    <w:rsid w:val="00E61925"/>
    <w:rsid w:val="00E65C0E"/>
    <w:rsid w:val="00E730FC"/>
    <w:rsid w:val="00E7442E"/>
    <w:rsid w:val="00E746F0"/>
    <w:rsid w:val="00E82A15"/>
    <w:rsid w:val="00E83270"/>
    <w:rsid w:val="00E86E21"/>
    <w:rsid w:val="00E87589"/>
    <w:rsid w:val="00E875C8"/>
    <w:rsid w:val="00E938FF"/>
    <w:rsid w:val="00EA34DC"/>
    <w:rsid w:val="00EA5017"/>
    <w:rsid w:val="00EA54E5"/>
    <w:rsid w:val="00EA6BED"/>
    <w:rsid w:val="00EB14F0"/>
    <w:rsid w:val="00EB3844"/>
    <w:rsid w:val="00EB5A9F"/>
    <w:rsid w:val="00EC1783"/>
    <w:rsid w:val="00EC3112"/>
    <w:rsid w:val="00EC5C8D"/>
    <w:rsid w:val="00ED106C"/>
    <w:rsid w:val="00ED2D34"/>
    <w:rsid w:val="00ED4805"/>
    <w:rsid w:val="00ED6C51"/>
    <w:rsid w:val="00EE7004"/>
    <w:rsid w:val="00EF182E"/>
    <w:rsid w:val="00EF3FC9"/>
    <w:rsid w:val="00EF4258"/>
    <w:rsid w:val="00F02237"/>
    <w:rsid w:val="00F22423"/>
    <w:rsid w:val="00F24C72"/>
    <w:rsid w:val="00F31D22"/>
    <w:rsid w:val="00F348B2"/>
    <w:rsid w:val="00F34BF0"/>
    <w:rsid w:val="00F4095A"/>
    <w:rsid w:val="00F45845"/>
    <w:rsid w:val="00F50189"/>
    <w:rsid w:val="00F508FC"/>
    <w:rsid w:val="00F54044"/>
    <w:rsid w:val="00F576E7"/>
    <w:rsid w:val="00F62C6F"/>
    <w:rsid w:val="00F63DF9"/>
    <w:rsid w:val="00F70AD6"/>
    <w:rsid w:val="00F75245"/>
    <w:rsid w:val="00F763FC"/>
    <w:rsid w:val="00F772C1"/>
    <w:rsid w:val="00F8026D"/>
    <w:rsid w:val="00F80613"/>
    <w:rsid w:val="00F8245F"/>
    <w:rsid w:val="00F91629"/>
    <w:rsid w:val="00F91E2A"/>
    <w:rsid w:val="00FA060F"/>
    <w:rsid w:val="00FA153F"/>
    <w:rsid w:val="00FA1D78"/>
    <w:rsid w:val="00FA1F7E"/>
    <w:rsid w:val="00FA280F"/>
    <w:rsid w:val="00FB2186"/>
    <w:rsid w:val="00FB394E"/>
    <w:rsid w:val="00FB6C8E"/>
    <w:rsid w:val="00FC50F8"/>
    <w:rsid w:val="00FD0133"/>
    <w:rsid w:val="00FD18C4"/>
    <w:rsid w:val="00FD6206"/>
    <w:rsid w:val="00FD7CB1"/>
    <w:rsid w:val="00FF32C3"/>
    <w:rsid w:val="00FF6168"/>
    <w:rsid w:val="00FF6D2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link w:val="En-tteCar"/>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reflex3-block">
    <w:name w:val="reflex3-block"/>
    <w:basedOn w:val="Policepardfaut"/>
    <w:rsid w:val="00AE1A1D"/>
  </w:style>
  <w:style w:type="character" w:customStyle="1" w:styleId="solexhl">
    <w:name w:val="solexhl"/>
    <w:basedOn w:val="Policepardfaut"/>
    <w:rsid w:val="00AE1A1D"/>
  </w:style>
  <w:style w:type="character" w:styleId="Marquedecommentaire">
    <w:name w:val="annotation reference"/>
    <w:basedOn w:val="Policepardfaut"/>
    <w:rsid w:val="008647D1"/>
    <w:rPr>
      <w:sz w:val="16"/>
      <w:szCs w:val="16"/>
    </w:rPr>
  </w:style>
  <w:style w:type="paragraph" w:styleId="Commentaire">
    <w:name w:val="annotation text"/>
    <w:basedOn w:val="Normal"/>
    <w:link w:val="CommentaireCar"/>
    <w:rsid w:val="008647D1"/>
    <w:rPr>
      <w:sz w:val="20"/>
    </w:rPr>
  </w:style>
  <w:style w:type="character" w:customStyle="1" w:styleId="CommentaireCar">
    <w:name w:val="Commentaire Car"/>
    <w:basedOn w:val="Policepardfaut"/>
    <w:link w:val="Commentaire"/>
    <w:rsid w:val="008647D1"/>
    <w:rPr>
      <w:rFonts w:ascii="Arial" w:hAnsi="Arial"/>
    </w:rPr>
  </w:style>
  <w:style w:type="paragraph" w:styleId="Objetducommentaire">
    <w:name w:val="annotation subject"/>
    <w:basedOn w:val="Commentaire"/>
    <w:next w:val="Commentaire"/>
    <w:link w:val="ObjetducommentaireCar"/>
    <w:rsid w:val="008647D1"/>
    <w:rPr>
      <w:b/>
      <w:bCs/>
    </w:rPr>
  </w:style>
  <w:style w:type="character" w:customStyle="1" w:styleId="ObjetducommentaireCar">
    <w:name w:val="Objet du commentaire Car"/>
    <w:basedOn w:val="CommentaireCar"/>
    <w:link w:val="Objetducommentaire"/>
    <w:rsid w:val="008647D1"/>
    <w:rPr>
      <w:rFonts w:ascii="Arial" w:hAnsi="Arial"/>
      <w:b/>
      <w:bCs/>
    </w:rPr>
  </w:style>
  <w:style w:type="paragraph" w:styleId="Textedebulles">
    <w:name w:val="Balloon Text"/>
    <w:basedOn w:val="Normal"/>
    <w:link w:val="TextedebullesCar"/>
    <w:rsid w:val="008647D1"/>
    <w:rPr>
      <w:rFonts w:ascii="Segoe UI" w:hAnsi="Segoe UI" w:cs="Segoe UI"/>
      <w:sz w:val="18"/>
      <w:szCs w:val="18"/>
    </w:rPr>
  </w:style>
  <w:style w:type="character" w:customStyle="1" w:styleId="TextedebullesCar">
    <w:name w:val="Texte de bulles Car"/>
    <w:basedOn w:val="Policepardfaut"/>
    <w:link w:val="Textedebulles"/>
    <w:rsid w:val="008647D1"/>
    <w:rPr>
      <w:rFonts w:ascii="Segoe UI" w:hAnsi="Segoe UI" w:cs="Segoe UI"/>
      <w:sz w:val="18"/>
      <w:szCs w:val="18"/>
    </w:rPr>
  </w:style>
  <w:style w:type="character" w:customStyle="1" w:styleId="En-tteCar">
    <w:name w:val="En-tête Car"/>
    <w:basedOn w:val="Policepardfaut"/>
    <w:link w:val="En-tte"/>
    <w:rsid w:val="000F2532"/>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link w:val="En-tteCar"/>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reflex3-block">
    <w:name w:val="reflex3-block"/>
    <w:basedOn w:val="Policepardfaut"/>
    <w:rsid w:val="00AE1A1D"/>
  </w:style>
  <w:style w:type="character" w:customStyle="1" w:styleId="solexhl">
    <w:name w:val="solexhl"/>
    <w:basedOn w:val="Policepardfaut"/>
    <w:rsid w:val="00AE1A1D"/>
  </w:style>
  <w:style w:type="character" w:styleId="Marquedecommentaire">
    <w:name w:val="annotation reference"/>
    <w:basedOn w:val="Policepardfaut"/>
    <w:rsid w:val="008647D1"/>
    <w:rPr>
      <w:sz w:val="16"/>
      <w:szCs w:val="16"/>
    </w:rPr>
  </w:style>
  <w:style w:type="paragraph" w:styleId="Commentaire">
    <w:name w:val="annotation text"/>
    <w:basedOn w:val="Normal"/>
    <w:link w:val="CommentaireCar"/>
    <w:rsid w:val="008647D1"/>
    <w:rPr>
      <w:sz w:val="20"/>
    </w:rPr>
  </w:style>
  <w:style w:type="character" w:customStyle="1" w:styleId="CommentaireCar">
    <w:name w:val="Commentaire Car"/>
    <w:basedOn w:val="Policepardfaut"/>
    <w:link w:val="Commentaire"/>
    <w:rsid w:val="008647D1"/>
    <w:rPr>
      <w:rFonts w:ascii="Arial" w:hAnsi="Arial"/>
    </w:rPr>
  </w:style>
  <w:style w:type="paragraph" w:styleId="Objetducommentaire">
    <w:name w:val="annotation subject"/>
    <w:basedOn w:val="Commentaire"/>
    <w:next w:val="Commentaire"/>
    <w:link w:val="ObjetducommentaireCar"/>
    <w:rsid w:val="008647D1"/>
    <w:rPr>
      <w:b/>
      <w:bCs/>
    </w:rPr>
  </w:style>
  <w:style w:type="character" w:customStyle="1" w:styleId="ObjetducommentaireCar">
    <w:name w:val="Objet du commentaire Car"/>
    <w:basedOn w:val="CommentaireCar"/>
    <w:link w:val="Objetducommentaire"/>
    <w:rsid w:val="008647D1"/>
    <w:rPr>
      <w:rFonts w:ascii="Arial" w:hAnsi="Arial"/>
      <w:b/>
      <w:bCs/>
    </w:rPr>
  </w:style>
  <w:style w:type="paragraph" w:styleId="Textedebulles">
    <w:name w:val="Balloon Text"/>
    <w:basedOn w:val="Normal"/>
    <w:link w:val="TextedebullesCar"/>
    <w:rsid w:val="008647D1"/>
    <w:rPr>
      <w:rFonts w:ascii="Segoe UI" w:hAnsi="Segoe UI" w:cs="Segoe UI"/>
      <w:sz w:val="18"/>
      <w:szCs w:val="18"/>
    </w:rPr>
  </w:style>
  <w:style w:type="character" w:customStyle="1" w:styleId="TextedebullesCar">
    <w:name w:val="Texte de bulles Car"/>
    <w:basedOn w:val="Policepardfaut"/>
    <w:link w:val="Textedebulles"/>
    <w:rsid w:val="008647D1"/>
    <w:rPr>
      <w:rFonts w:ascii="Segoe UI" w:hAnsi="Segoe UI" w:cs="Segoe UI"/>
      <w:sz w:val="18"/>
      <w:szCs w:val="18"/>
    </w:rPr>
  </w:style>
  <w:style w:type="character" w:customStyle="1" w:styleId="En-tteCar">
    <w:name w:val="En-tête Car"/>
    <w:basedOn w:val="Policepardfaut"/>
    <w:link w:val="En-tte"/>
    <w:rsid w:val="000F253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182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canlii.org/fr/qc/qcclp/doc/2002/2002canlii66357/2002canlii66357.html" TargetMode="External"/><Relationship Id="rId2" Type="http://schemas.openxmlformats.org/officeDocument/2006/relationships/hyperlink" Target="https://www.canlii.org/fr/ca/csc/doc/1990/1990canlii70/1990canlii70.html" TargetMode="External"/><Relationship Id="rId1" Type="http://schemas.openxmlformats.org/officeDocument/2006/relationships/hyperlink" Target="http://www.much.org/page1/page7/page5/page5.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9849</Words>
  <Characters>54175</Characters>
  <Application>Microsoft Office Word</Application>
  <DocSecurity>0</DocSecurity>
  <Lines>451</Lines>
  <Paragraphs>127</Paragraphs>
  <ScaleCrop>false</ScaleCrop>
  <Company/>
  <LinksUpToDate>false</LinksUpToDate>
  <CharactersWithSpaces>63897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2020-01-30T18:55:00Z</dcterms:created>
  <dcterms:modified xsi:type="dcterms:W3CDTF">2020-01-30T18:55:00Z</dcterms:modified>
</cp:coreProperties>
</file>