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trPr>
          <w:cantSplit/>
        </w:trPr>
        <w:tc>
          <w:tcPr>
            <w:tcW w:w="4795" w:type="dxa"/>
          </w:tcPr>
          <w:p w:rsidR="008A7FD1" w:rsidRPr="007C6797" w:rsidRDefault="007C6797" w:rsidP="007C6797">
            <w:pPr>
              <w:pStyle w:val="zSoquijdatRepertorie"/>
              <w:rPr>
                <w:rFonts w:cs="Arial"/>
              </w:rPr>
            </w:pPr>
            <w:bookmarkStart w:id="0" w:name="_GoBack"/>
            <w:bookmarkEnd w:id="0"/>
            <w:r>
              <w:rPr>
                <w:rFonts w:cs="Arial"/>
              </w:rPr>
              <w:t>Layette-Lajoie et Coffrages Chalifoux inc.</w:t>
            </w:r>
          </w:p>
        </w:tc>
        <w:tc>
          <w:tcPr>
            <w:tcW w:w="2477" w:type="dxa"/>
          </w:tcPr>
          <w:p w:rsidR="008A7FD1" w:rsidRPr="005830A9" w:rsidRDefault="005830A9" w:rsidP="005830A9">
            <w:pPr>
              <w:pStyle w:val="zSoquijdatRefNeutre"/>
              <w:rPr>
                <w:rFonts w:cs="Arial"/>
              </w:rPr>
            </w:pPr>
            <w:r w:rsidRPr="005830A9">
              <w:rPr>
                <w:rFonts w:cs="Arial"/>
              </w:rPr>
              <w:t>2019 QCTAT 4539</w:t>
            </w:r>
          </w:p>
        </w:tc>
      </w:tr>
    </w:tbl>
    <w:p w:rsidR="008A7FD1" w:rsidRDefault="008A7FD1"/>
    <w:tbl>
      <w:tblPr>
        <w:tblW w:w="9568" w:type="dxa"/>
        <w:tblLayout w:type="fixed"/>
        <w:tblCellMar>
          <w:left w:w="70" w:type="dxa"/>
          <w:right w:w="70" w:type="dxa"/>
        </w:tblCellMar>
        <w:tblLook w:val="0000" w:firstRow="0" w:lastRow="0" w:firstColumn="0" w:lastColumn="0" w:noHBand="0" w:noVBand="0"/>
      </w:tblPr>
      <w:tblGrid>
        <w:gridCol w:w="3614"/>
        <w:gridCol w:w="1134"/>
        <w:gridCol w:w="709"/>
        <w:gridCol w:w="4111"/>
      </w:tblGrid>
      <w:tr w:rsidR="00C74B6F" w:rsidTr="002A374B">
        <w:trPr>
          <w:cantSplit/>
        </w:trPr>
        <w:tc>
          <w:tcPr>
            <w:tcW w:w="9568" w:type="dxa"/>
            <w:gridSpan w:val="4"/>
          </w:tcPr>
          <w:p w:rsidR="00C74B6F" w:rsidRPr="00BE1981" w:rsidRDefault="00C74B6F">
            <w:pPr>
              <w:rPr>
                <w:szCs w:val="24"/>
              </w:rPr>
            </w:pPr>
          </w:p>
        </w:tc>
      </w:tr>
      <w:tr w:rsidR="00C74B6F" w:rsidTr="002A374B">
        <w:trPr>
          <w:cantSplit/>
        </w:trPr>
        <w:tc>
          <w:tcPr>
            <w:tcW w:w="9568" w:type="dxa"/>
            <w:gridSpan w:val="4"/>
            <w:vAlign w:val="center"/>
          </w:tcPr>
          <w:p w:rsidR="00C74B6F" w:rsidRPr="000E1320" w:rsidRDefault="000E1320">
            <w:pPr>
              <w:jc w:val="center"/>
              <w:rPr>
                <w:sz w:val="36"/>
                <w:szCs w:val="36"/>
              </w:rPr>
            </w:pPr>
            <w:r w:rsidRPr="000E1320">
              <w:rPr>
                <w:b/>
                <w:sz w:val="36"/>
                <w:szCs w:val="36"/>
              </w:rPr>
              <w:t>TRIBUNAL ADMINISTRATIF DU TRAVAIL</w:t>
            </w:r>
          </w:p>
        </w:tc>
      </w:tr>
      <w:tr w:rsidR="00C74B6F" w:rsidTr="002A374B">
        <w:trPr>
          <w:cantSplit/>
        </w:trPr>
        <w:tc>
          <w:tcPr>
            <w:tcW w:w="9568" w:type="dxa"/>
            <w:gridSpan w:val="4"/>
          </w:tcPr>
          <w:p w:rsidR="00C74B6F" w:rsidRPr="00BE7014" w:rsidRDefault="006F0154" w:rsidP="009A67E7">
            <w:pPr>
              <w:pStyle w:val="zSoquijdatDivision"/>
            </w:pPr>
            <w:r w:rsidRPr="00BE7014">
              <w:t>(</w:t>
            </w:r>
            <w:r w:rsidR="00EB4C3C" w:rsidRPr="00441ADA">
              <w:t>Division de la santé et de la sécurité du travail</w:t>
            </w:r>
            <w:r w:rsidRPr="00BE7014">
              <w:t>)</w:t>
            </w:r>
          </w:p>
        </w:tc>
      </w:tr>
      <w:tr w:rsidR="00C74B6F" w:rsidTr="002A374B">
        <w:trPr>
          <w:cantSplit/>
        </w:trPr>
        <w:tc>
          <w:tcPr>
            <w:tcW w:w="9568" w:type="dxa"/>
            <w:gridSpan w:val="4"/>
          </w:tcPr>
          <w:p w:rsidR="002B2FC3" w:rsidRDefault="002B2FC3" w:rsidP="002B2FC3"/>
        </w:tc>
      </w:tr>
      <w:tr w:rsidR="00A84FC6" w:rsidTr="002A374B">
        <w:trPr>
          <w:cantSplit/>
        </w:trPr>
        <w:tc>
          <w:tcPr>
            <w:tcW w:w="9568" w:type="dxa"/>
            <w:gridSpan w:val="4"/>
          </w:tcPr>
          <w:p w:rsidR="00A84FC6" w:rsidRDefault="00A84FC6" w:rsidP="002B2FC3"/>
        </w:tc>
      </w:tr>
      <w:tr w:rsidR="00C74B6F" w:rsidTr="005E654C">
        <w:tc>
          <w:tcPr>
            <w:tcW w:w="3614" w:type="dxa"/>
          </w:tcPr>
          <w:p w:rsidR="00C74B6F" w:rsidRDefault="0084255F">
            <w:bookmarkStart w:id="1" w:name="region" w:colFirst="1" w:colLast="1"/>
            <w:r>
              <w:t>Région :</w:t>
            </w:r>
          </w:p>
        </w:tc>
        <w:tc>
          <w:tcPr>
            <w:tcW w:w="5954" w:type="dxa"/>
            <w:gridSpan w:val="3"/>
          </w:tcPr>
          <w:p w:rsidR="00C74B6F" w:rsidRDefault="00EB4C3C" w:rsidP="00F4095A">
            <w:pPr>
              <w:pStyle w:val="zSoquijdatGreffe"/>
            </w:pPr>
            <w:r>
              <w:t>Lanaudière</w:t>
            </w:r>
          </w:p>
        </w:tc>
      </w:tr>
      <w:bookmarkEnd w:id="1"/>
      <w:tr w:rsidR="00C74B6F" w:rsidTr="002A374B">
        <w:trPr>
          <w:cantSplit/>
        </w:trPr>
        <w:tc>
          <w:tcPr>
            <w:tcW w:w="9568" w:type="dxa"/>
            <w:gridSpan w:val="4"/>
          </w:tcPr>
          <w:p w:rsidR="00C74B6F" w:rsidRDefault="00C74B6F"/>
        </w:tc>
      </w:tr>
      <w:tr w:rsidR="00C74B6F" w:rsidTr="005E654C">
        <w:tc>
          <w:tcPr>
            <w:tcW w:w="3614" w:type="dxa"/>
          </w:tcPr>
          <w:p w:rsidR="00C74B6F" w:rsidRDefault="0084255F">
            <w:bookmarkStart w:id="2" w:name="ref_dossier" w:colFirst="1" w:colLast="1"/>
            <w:r>
              <w:t>Dossier</w:t>
            </w:r>
            <w:bookmarkStart w:id="3" w:name="dossiers"/>
            <w:bookmarkEnd w:id="3"/>
            <w:r w:rsidR="00D57171">
              <w:t>s</w:t>
            </w:r>
            <w:r>
              <w:t> :</w:t>
            </w:r>
          </w:p>
        </w:tc>
        <w:tc>
          <w:tcPr>
            <w:tcW w:w="5954" w:type="dxa"/>
            <w:gridSpan w:val="3"/>
          </w:tcPr>
          <w:p w:rsidR="00C74B6F" w:rsidRDefault="00EB4C3C" w:rsidP="00747034">
            <w:pPr>
              <w:pStyle w:val="zSoquijdatNoDossier"/>
            </w:pPr>
            <w:r>
              <w:t>686354</w:t>
            </w:r>
            <w:r w:rsidR="00747034">
              <w:t>-</w:t>
            </w:r>
            <w:r>
              <w:t>63</w:t>
            </w:r>
            <w:r w:rsidR="00747034">
              <w:t>-</w:t>
            </w:r>
            <w:r>
              <w:t>1812</w:t>
            </w:r>
          </w:p>
        </w:tc>
      </w:tr>
      <w:bookmarkEnd w:id="2"/>
      <w:tr w:rsidR="00C74B6F" w:rsidTr="002A374B">
        <w:trPr>
          <w:cantSplit/>
        </w:trPr>
        <w:tc>
          <w:tcPr>
            <w:tcW w:w="9568" w:type="dxa"/>
            <w:gridSpan w:val="4"/>
          </w:tcPr>
          <w:p w:rsidR="00C74B6F" w:rsidRDefault="00D44BCF">
            <w:r>
              <w:fldChar w:fldCharType="begin"/>
            </w:r>
            <w:r>
              <w:instrText xml:space="preserve"> AUTOTEXTLIST  \* Upper  \* MERGEFORMAT </w:instrText>
            </w:r>
            <w:r>
              <w:fldChar w:fldCharType="end"/>
            </w:r>
          </w:p>
        </w:tc>
      </w:tr>
      <w:tr w:rsidR="00C74B6F" w:rsidTr="005E654C">
        <w:tc>
          <w:tcPr>
            <w:tcW w:w="3614" w:type="dxa"/>
          </w:tcPr>
          <w:p w:rsidR="00C74B6F" w:rsidRDefault="008C79A7" w:rsidP="00EB4C3C">
            <w:pPr>
              <w:ind w:right="46"/>
            </w:pPr>
            <w:r>
              <w:t xml:space="preserve">Dossier </w:t>
            </w:r>
            <w:r w:rsidR="00EB4C3C">
              <w:t>CNESST</w:t>
            </w:r>
            <w:r w:rsidRPr="008C79A7">
              <w:rPr>
                <w:szCs w:val="24"/>
              </w:rPr>
              <w:t xml:space="preserve"> :</w:t>
            </w:r>
          </w:p>
        </w:tc>
        <w:tc>
          <w:tcPr>
            <w:tcW w:w="5954" w:type="dxa"/>
            <w:gridSpan w:val="3"/>
          </w:tcPr>
          <w:p w:rsidR="00C74B6F" w:rsidRDefault="00EB4C3C" w:rsidP="004D6CEA">
            <w:pPr>
              <w:pStyle w:val="zSoquijdatNCSST"/>
            </w:pPr>
            <w:r w:rsidRPr="00EB4C3C">
              <w:t>141654202</w:t>
            </w:r>
          </w:p>
        </w:tc>
      </w:tr>
      <w:tr w:rsidR="00C74B6F" w:rsidTr="002A374B">
        <w:trPr>
          <w:cantSplit/>
        </w:trPr>
        <w:tc>
          <w:tcPr>
            <w:tcW w:w="9568" w:type="dxa"/>
            <w:gridSpan w:val="4"/>
          </w:tcPr>
          <w:p w:rsidR="00C74B6F" w:rsidRDefault="00C74B6F"/>
        </w:tc>
      </w:tr>
      <w:tr w:rsidR="006E3DD8" w:rsidTr="005E654C">
        <w:trPr>
          <w:cantSplit/>
        </w:trPr>
        <w:tc>
          <w:tcPr>
            <w:tcW w:w="3614" w:type="dxa"/>
          </w:tcPr>
          <w:p w:rsidR="006E3DD8" w:rsidRDefault="00EB4C3C" w:rsidP="006E3DD8">
            <w:pPr>
              <w:tabs>
                <w:tab w:val="left" w:pos="2672"/>
              </w:tabs>
            </w:pPr>
            <w:r>
              <w:t>Joliette</w:t>
            </w:r>
            <w:r w:rsidR="00C04E32">
              <w:t>,</w:t>
            </w:r>
          </w:p>
        </w:tc>
        <w:tc>
          <w:tcPr>
            <w:tcW w:w="5954" w:type="dxa"/>
            <w:gridSpan w:val="3"/>
          </w:tcPr>
          <w:p w:rsidR="006E3DD8" w:rsidRDefault="00C04E32" w:rsidP="00896E79">
            <w:pPr>
              <w:pStyle w:val="zSoquijdatDateJugement"/>
            </w:pPr>
            <w:r>
              <w:t xml:space="preserve">le </w:t>
            </w:r>
            <w:r w:rsidR="00896E79">
              <w:t>9 octobre 2019</w:t>
            </w:r>
          </w:p>
        </w:tc>
      </w:tr>
      <w:tr w:rsidR="00942AB8" w:rsidTr="002A374B">
        <w:trPr>
          <w:cantSplit/>
        </w:trPr>
        <w:tc>
          <w:tcPr>
            <w:tcW w:w="9568" w:type="dxa"/>
            <w:gridSpan w:val="4"/>
          </w:tcPr>
          <w:p w:rsidR="00942AB8" w:rsidRDefault="00942AB8" w:rsidP="00FA153F">
            <w:r>
              <w:t>______________________________________________________________________</w:t>
            </w:r>
          </w:p>
        </w:tc>
      </w:tr>
      <w:tr w:rsidR="00942AB8" w:rsidTr="002A374B">
        <w:trPr>
          <w:cantSplit/>
          <w:trHeight w:val="148"/>
        </w:trPr>
        <w:tc>
          <w:tcPr>
            <w:tcW w:w="9568" w:type="dxa"/>
            <w:gridSpan w:val="4"/>
          </w:tcPr>
          <w:p w:rsidR="00942AB8" w:rsidRDefault="00942AB8" w:rsidP="00FA153F"/>
        </w:tc>
      </w:tr>
      <w:tr w:rsidR="0035375B" w:rsidTr="00A12E55">
        <w:trPr>
          <w:cantSplit/>
          <w:trHeight w:val="148"/>
        </w:trPr>
        <w:tc>
          <w:tcPr>
            <w:tcW w:w="5457" w:type="dxa"/>
            <w:gridSpan w:val="3"/>
          </w:tcPr>
          <w:p w:rsidR="0035375B" w:rsidRPr="00942AB8" w:rsidRDefault="0035375B" w:rsidP="00EB4C3C">
            <w:pPr>
              <w:rPr>
                <w:b/>
                <w:bCs/>
              </w:rPr>
            </w:pPr>
            <w:bookmarkStart w:id="4" w:name="ref_commissaire" w:colFirst="1" w:colLast="1"/>
            <w:r w:rsidRPr="00942AB8">
              <w:rPr>
                <w:b/>
                <w:bCs/>
              </w:rPr>
              <w:t>DEVANT L</w:t>
            </w:r>
            <w:r w:rsidR="00EB4C3C">
              <w:rPr>
                <w:b/>
                <w:bCs/>
              </w:rPr>
              <w:t>E</w:t>
            </w:r>
            <w:r w:rsidRPr="00942AB8">
              <w:rPr>
                <w:b/>
                <w:bCs/>
              </w:rPr>
              <w:t xml:space="preserve"> JUGE ADMINISTRATI</w:t>
            </w:r>
            <w:r w:rsidR="00EB4C3C">
              <w:rPr>
                <w:b/>
                <w:bCs/>
              </w:rPr>
              <w:t>F</w:t>
            </w:r>
            <w:r w:rsidRPr="00942AB8">
              <w:rPr>
                <w:b/>
                <w:bCs/>
              </w:rPr>
              <w:t> :</w:t>
            </w:r>
          </w:p>
        </w:tc>
        <w:tc>
          <w:tcPr>
            <w:tcW w:w="4111" w:type="dxa"/>
          </w:tcPr>
          <w:p w:rsidR="0035375B" w:rsidRPr="00942AB8" w:rsidRDefault="00EB4C3C" w:rsidP="005B5689">
            <w:pPr>
              <w:pStyle w:val="zSoquijdatJuge"/>
              <w:rPr>
                <w:bCs/>
              </w:rPr>
            </w:pPr>
            <w:r>
              <w:t>Daniel Pelletier</w:t>
            </w:r>
          </w:p>
        </w:tc>
      </w:tr>
      <w:bookmarkEnd w:id="4"/>
      <w:tr w:rsidR="00942AB8" w:rsidTr="002A374B">
        <w:trPr>
          <w:cantSplit/>
          <w:trHeight w:val="148"/>
        </w:trPr>
        <w:tc>
          <w:tcPr>
            <w:tcW w:w="9568" w:type="dxa"/>
            <w:gridSpan w:val="4"/>
          </w:tcPr>
          <w:p w:rsidR="00942AB8" w:rsidRDefault="00942AB8" w:rsidP="00FA153F">
            <w:r>
              <w:t>______________________________________________________________________</w:t>
            </w:r>
          </w:p>
        </w:tc>
      </w:tr>
      <w:tr w:rsidR="00942AB8" w:rsidTr="002A374B">
        <w:tc>
          <w:tcPr>
            <w:tcW w:w="9568" w:type="dxa"/>
            <w:gridSpan w:val="4"/>
          </w:tcPr>
          <w:p w:rsidR="00942AB8" w:rsidRDefault="00942AB8"/>
        </w:tc>
      </w:tr>
      <w:tr w:rsidR="00D57171" w:rsidTr="00D40ABA">
        <w:tc>
          <w:tcPr>
            <w:tcW w:w="4748" w:type="dxa"/>
            <w:gridSpan w:val="2"/>
          </w:tcPr>
          <w:p w:rsidR="00D57171" w:rsidRDefault="00D57171"/>
        </w:tc>
        <w:tc>
          <w:tcPr>
            <w:tcW w:w="4820" w:type="dxa"/>
            <w:gridSpan w:val="2"/>
          </w:tcPr>
          <w:p w:rsidR="00D57171" w:rsidRDefault="00D57171"/>
        </w:tc>
      </w:tr>
      <w:tr w:rsidR="00942AB8" w:rsidTr="00D40ABA">
        <w:tc>
          <w:tcPr>
            <w:tcW w:w="4748" w:type="dxa"/>
            <w:gridSpan w:val="2"/>
          </w:tcPr>
          <w:p w:rsidR="00942AB8" w:rsidRDefault="00942AB8">
            <w:bookmarkStart w:id="5" w:name="bloc_parties_gauche"/>
            <w:bookmarkEnd w:id="5"/>
          </w:p>
        </w:tc>
        <w:tc>
          <w:tcPr>
            <w:tcW w:w="4820" w:type="dxa"/>
            <w:gridSpan w:val="2"/>
          </w:tcPr>
          <w:p w:rsidR="00942AB8" w:rsidRDefault="00942AB8"/>
        </w:tc>
      </w:tr>
      <w:tr w:rsidR="00942AB8" w:rsidTr="00D40ABA">
        <w:tc>
          <w:tcPr>
            <w:tcW w:w="4748" w:type="dxa"/>
            <w:gridSpan w:val="2"/>
          </w:tcPr>
          <w:p w:rsidR="00942AB8" w:rsidRDefault="00EB4C3C">
            <w:pPr>
              <w:pStyle w:val="zSoquijdatNomPartieDem"/>
              <w:rPr>
                <w:b/>
              </w:rPr>
            </w:pPr>
            <w:r>
              <w:rPr>
                <w:b/>
              </w:rPr>
              <w:t>Francis Layette-Lajoie</w:t>
            </w:r>
          </w:p>
        </w:tc>
        <w:tc>
          <w:tcPr>
            <w:tcW w:w="4820" w:type="dxa"/>
            <w:gridSpan w:val="2"/>
          </w:tcPr>
          <w:p w:rsidR="00942AB8" w:rsidRPr="00D57171" w:rsidRDefault="00942AB8" w:rsidP="00D57171">
            <w:pPr>
              <w:pStyle w:val="zSoquijdatNomPartieDem"/>
              <w:rPr>
                <w:b/>
              </w:rPr>
            </w:pPr>
          </w:p>
        </w:tc>
      </w:tr>
      <w:tr w:rsidR="00942AB8" w:rsidTr="00D40ABA">
        <w:tc>
          <w:tcPr>
            <w:tcW w:w="4748" w:type="dxa"/>
            <w:gridSpan w:val="2"/>
          </w:tcPr>
          <w:p w:rsidR="00942AB8" w:rsidRDefault="00EB4C3C">
            <w:pPr>
              <w:pStyle w:val="zSoquijdatQtePartieDem"/>
              <w:ind w:left="708"/>
            </w:pPr>
            <w:r>
              <w:t>Partie demanderesse</w:t>
            </w:r>
          </w:p>
        </w:tc>
        <w:tc>
          <w:tcPr>
            <w:tcW w:w="4820" w:type="dxa"/>
            <w:gridSpan w:val="2"/>
          </w:tcPr>
          <w:p w:rsidR="00942AB8" w:rsidRDefault="00942AB8" w:rsidP="00B41059">
            <w:pPr>
              <w:pStyle w:val="zSoquijdatQtePartieDem"/>
            </w:pPr>
          </w:p>
        </w:tc>
      </w:tr>
      <w:tr w:rsidR="00942AB8" w:rsidTr="00D40ABA">
        <w:tc>
          <w:tcPr>
            <w:tcW w:w="4748" w:type="dxa"/>
            <w:gridSpan w:val="2"/>
          </w:tcPr>
          <w:p w:rsidR="00942AB8" w:rsidRDefault="00942AB8"/>
        </w:tc>
        <w:tc>
          <w:tcPr>
            <w:tcW w:w="4820" w:type="dxa"/>
            <w:gridSpan w:val="2"/>
          </w:tcPr>
          <w:p w:rsidR="00942AB8" w:rsidRDefault="00942AB8"/>
        </w:tc>
      </w:tr>
      <w:tr w:rsidR="00942AB8" w:rsidTr="00D40ABA">
        <w:tc>
          <w:tcPr>
            <w:tcW w:w="4748" w:type="dxa"/>
            <w:gridSpan w:val="2"/>
          </w:tcPr>
          <w:p w:rsidR="00942AB8" w:rsidRDefault="00EB4C3C" w:rsidP="00D06652">
            <w:pPr>
              <w:pStyle w:val="zSoquijlblLienParties"/>
            </w:pPr>
            <w:r>
              <w:t>et</w:t>
            </w:r>
          </w:p>
        </w:tc>
        <w:tc>
          <w:tcPr>
            <w:tcW w:w="4820" w:type="dxa"/>
            <w:gridSpan w:val="2"/>
          </w:tcPr>
          <w:p w:rsidR="00942AB8" w:rsidRDefault="00942AB8"/>
        </w:tc>
      </w:tr>
      <w:tr w:rsidR="00942AB8" w:rsidTr="00D40ABA">
        <w:tc>
          <w:tcPr>
            <w:tcW w:w="4748" w:type="dxa"/>
            <w:gridSpan w:val="2"/>
          </w:tcPr>
          <w:p w:rsidR="00942AB8" w:rsidRDefault="00942AB8"/>
        </w:tc>
        <w:tc>
          <w:tcPr>
            <w:tcW w:w="4820" w:type="dxa"/>
            <w:gridSpan w:val="2"/>
          </w:tcPr>
          <w:p w:rsidR="00942AB8" w:rsidRDefault="00942AB8"/>
        </w:tc>
      </w:tr>
      <w:tr w:rsidR="00942AB8" w:rsidTr="00D40ABA">
        <w:tc>
          <w:tcPr>
            <w:tcW w:w="4748" w:type="dxa"/>
            <w:gridSpan w:val="2"/>
          </w:tcPr>
          <w:p w:rsidR="00942AB8" w:rsidRDefault="00732CBC">
            <w:pPr>
              <w:pStyle w:val="zSoquijdatNomPartieDef"/>
              <w:rPr>
                <w:b/>
              </w:rPr>
            </w:pPr>
            <w:r>
              <w:rPr>
                <w:b/>
              </w:rPr>
              <w:t xml:space="preserve">Les </w:t>
            </w:r>
            <w:r w:rsidR="00EB4C3C">
              <w:rPr>
                <w:b/>
              </w:rPr>
              <w:t>Coffrages Chalifoux inc.</w:t>
            </w:r>
          </w:p>
        </w:tc>
        <w:tc>
          <w:tcPr>
            <w:tcW w:w="4820" w:type="dxa"/>
            <w:gridSpan w:val="2"/>
          </w:tcPr>
          <w:p w:rsidR="00942AB8" w:rsidRPr="00D57171" w:rsidRDefault="00942AB8" w:rsidP="00D57171">
            <w:pPr>
              <w:pStyle w:val="zSoquijdatNomPartieDef"/>
              <w:rPr>
                <w:b/>
              </w:rPr>
            </w:pPr>
          </w:p>
        </w:tc>
      </w:tr>
      <w:tr w:rsidR="00942AB8" w:rsidTr="00D40ABA">
        <w:tc>
          <w:tcPr>
            <w:tcW w:w="4748" w:type="dxa"/>
            <w:gridSpan w:val="2"/>
          </w:tcPr>
          <w:p w:rsidR="00942AB8" w:rsidRDefault="00EB4C3C">
            <w:pPr>
              <w:pStyle w:val="zSoquijdatQtePartieDef"/>
              <w:ind w:left="708"/>
            </w:pPr>
            <w:r>
              <w:t>Partie mise en cause</w:t>
            </w:r>
          </w:p>
        </w:tc>
        <w:tc>
          <w:tcPr>
            <w:tcW w:w="4820" w:type="dxa"/>
            <w:gridSpan w:val="2"/>
          </w:tcPr>
          <w:p w:rsidR="00942AB8" w:rsidRDefault="00942AB8" w:rsidP="00B41059">
            <w:pPr>
              <w:pStyle w:val="zSoquijdatQtePartieDef"/>
            </w:pPr>
          </w:p>
        </w:tc>
      </w:tr>
      <w:tr w:rsidR="00EB4C3C" w:rsidTr="00D40ABA">
        <w:tc>
          <w:tcPr>
            <w:tcW w:w="4748" w:type="dxa"/>
            <w:gridSpan w:val="2"/>
          </w:tcPr>
          <w:p w:rsidR="00EB4C3C" w:rsidRDefault="00EB4C3C"/>
        </w:tc>
        <w:tc>
          <w:tcPr>
            <w:tcW w:w="4820" w:type="dxa"/>
            <w:gridSpan w:val="2"/>
          </w:tcPr>
          <w:p w:rsidR="00EB4C3C" w:rsidRDefault="00EB4C3C"/>
        </w:tc>
      </w:tr>
      <w:tr w:rsidR="00EB4C3C" w:rsidTr="00D40ABA">
        <w:tc>
          <w:tcPr>
            <w:tcW w:w="4748" w:type="dxa"/>
            <w:gridSpan w:val="2"/>
          </w:tcPr>
          <w:p w:rsidR="00EB4C3C" w:rsidRDefault="00EB4C3C">
            <w:r>
              <w:t>et</w:t>
            </w:r>
          </w:p>
        </w:tc>
        <w:tc>
          <w:tcPr>
            <w:tcW w:w="4820" w:type="dxa"/>
            <w:gridSpan w:val="2"/>
          </w:tcPr>
          <w:p w:rsidR="00EB4C3C" w:rsidRPr="00D57171" w:rsidRDefault="00EB4C3C" w:rsidP="00D57171">
            <w:pPr>
              <w:pStyle w:val="zSoquijdatNomPartieInt"/>
              <w:rPr>
                <w:b/>
              </w:rPr>
            </w:pPr>
          </w:p>
        </w:tc>
      </w:tr>
      <w:tr w:rsidR="0065093D" w:rsidTr="00D40ABA">
        <w:tc>
          <w:tcPr>
            <w:tcW w:w="4748" w:type="dxa"/>
            <w:gridSpan w:val="2"/>
          </w:tcPr>
          <w:p w:rsidR="0065093D" w:rsidRDefault="0065093D"/>
        </w:tc>
        <w:tc>
          <w:tcPr>
            <w:tcW w:w="4820" w:type="dxa"/>
            <w:gridSpan w:val="2"/>
          </w:tcPr>
          <w:p w:rsidR="0065093D" w:rsidRDefault="0065093D" w:rsidP="00B41059">
            <w:pPr>
              <w:pStyle w:val="zSoquijdatQtePartieInt"/>
            </w:pPr>
          </w:p>
        </w:tc>
      </w:tr>
      <w:tr w:rsidR="00942AB8" w:rsidTr="00D40ABA">
        <w:tc>
          <w:tcPr>
            <w:tcW w:w="4748" w:type="dxa"/>
            <w:gridSpan w:val="2"/>
          </w:tcPr>
          <w:p w:rsidR="00942AB8" w:rsidRDefault="00732CBC">
            <w:pPr>
              <w:pStyle w:val="zSoquijdatNomPartieInt"/>
              <w:rPr>
                <w:b/>
              </w:rPr>
            </w:pPr>
            <w:r w:rsidRPr="00732CBC">
              <w:rPr>
                <w:b/>
              </w:rPr>
              <w:t>Commission des normes, de l’équité, de la santé et de la sécurité du travail</w:t>
            </w:r>
          </w:p>
        </w:tc>
        <w:tc>
          <w:tcPr>
            <w:tcW w:w="4820" w:type="dxa"/>
            <w:gridSpan w:val="2"/>
          </w:tcPr>
          <w:p w:rsidR="00942AB8" w:rsidRDefault="00942AB8"/>
        </w:tc>
      </w:tr>
      <w:tr w:rsidR="00942AB8" w:rsidTr="00D40ABA">
        <w:tc>
          <w:tcPr>
            <w:tcW w:w="4748" w:type="dxa"/>
            <w:gridSpan w:val="2"/>
          </w:tcPr>
          <w:p w:rsidR="00942AB8" w:rsidRDefault="00EB4C3C">
            <w:pPr>
              <w:pStyle w:val="zSoquijdatQtePartieInt"/>
              <w:ind w:left="708"/>
            </w:pPr>
            <w:r>
              <w:t>Partie intervenante</w:t>
            </w:r>
          </w:p>
        </w:tc>
        <w:tc>
          <w:tcPr>
            <w:tcW w:w="4820" w:type="dxa"/>
            <w:gridSpan w:val="2"/>
          </w:tcPr>
          <w:p w:rsidR="00942AB8" w:rsidRDefault="00942AB8"/>
        </w:tc>
      </w:tr>
      <w:tr w:rsidR="00942AB8" w:rsidTr="00D40ABA">
        <w:tc>
          <w:tcPr>
            <w:tcW w:w="4748" w:type="dxa"/>
            <w:gridSpan w:val="2"/>
          </w:tcPr>
          <w:p w:rsidR="00942AB8" w:rsidRDefault="00942AB8"/>
        </w:tc>
        <w:tc>
          <w:tcPr>
            <w:tcW w:w="4820" w:type="dxa"/>
            <w:gridSpan w:val="2"/>
          </w:tcPr>
          <w:p w:rsidR="00942AB8" w:rsidRDefault="00942AB8"/>
        </w:tc>
      </w:tr>
    </w:tbl>
    <w:p w:rsidR="00C74B6F" w:rsidRDefault="00C74B6F">
      <w:r>
        <w:t>______________________________________________________________________</w:t>
      </w:r>
    </w:p>
    <w:p w:rsidR="00C74B6F" w:rsidRDefault="00C74B6F"/>
    <w:p w:rsidR="00C74B6F" w:rsidRPr="00D57171" w:rsidRDefault="00D57171" w:rsidP="00D57171">
      <w:pPr>
        <w:jc w:val="center"/>
        <w:rPr>
          <w:b/>
          <w:bCs/>
        </w:rPr>
      </w:pPr>
      <w:bookmarkStart w:id="6" w:name="decision"/>
      <w:r>
        <w:rPr>
          <w:b/>
          <w:bCs/>
        </w:rPr>
        <w:t>DÉCISION</w:t>
      </w:r>
      <w:bookmarkEnd w:id="6"/>
    </w:p>
    <w:p w:rsidR="00C74B6F" w:rsidRDefault="00C74B6F">
      <w:pPr>
        <w:jc w:val="center"/>
      </w:pPr>
      <w:r>
        <w:t>______________________________________________________________________</w:t>
      </w:r>
    </w:p>
    <w:p w:rsidR="00C74B6F" w:rsidRDefault="00C74B6F"/>
    <w:p w:rsidR="00C74B6F" w:rsidRDefault="00C74B6F"/>
    <w:p w:rsidR="00EB4C3C" w:rsidRPr="00F236A7" w:rsidRDefault="00EB4C3C">
      <w:pPr>
        <w:rPr>
          <w:b/>
        </w:rPr>
      </w:pPr>
      <w:r w:rsidRPr="00F236A7">
        <w:rPr>
          <w:b/>
        </w:rPr>
        <w:t>APERÇU</w:t>
      </w:r>
    </w:p>
    <w:p w:rsidR="00EB4C3C" w:rsidRDefault="00EB4C3C"/>
    <w:p w:rsidR="00C74B6F" w:rsidRPr="000122AB" w:rsidRDefault="00EB4C3C" w:rsidP="00B52B52">
      <w:pPr>
        <w:pStyle w:val="corpsdedcision"/>
        <w:tabs>
          <w:tab w:val="clear" w:pos="360"/>
          <w:tab w:val="num" w:pos="720"/>
        </w:tabs>
      </w:pPr>
      <w:r>
        <w:t xml:space="preserve">Le travailleur, monsieur </w:t>
      </w:r>
      <w:r w:rsidRPr="00EB4C3C">
        <w:t>Francis Layette-Lajoie</w:t>
      </w:r>
      <w:r>
        <w:t>, conteste une décision rendue par la Commission des normes, de l’équité, de la santé e</w:t>
      </w:r>
      <w:r w:rsidR="00747034">
        <w:t xml:space="preserve">t de la </w:t>
      </w:r>
      <w:r w:rsidR="00747034" w:rsidRPr="000122AB">
        <w:t>sécurité du travail (la </w:t>
      </w:r>
      <w:r w:rsidRPr="000122AB">
        <w:t>Commission) en révision administrative qui lui réclame la somme de 23</w:t>
      </w:r>
      <w:r w:rsidR="00747034" w:rsidRPr="000122AB">
        <w:t> </w:t>
      </w:r>
      <w:r w:rsidRPr="000122AB">
        <w:t>601</w:t>
      </w:r>
      <w:r w:rsidR="00747034" w:rsidRPr="000122AB">
        <w:t>,</w:t>
      </w:r>
      <w:r w:rsidRPr="000122AB">
        <w:t>08</w:t>
      </w:r>
      <w:r w:rsidR="00747034" w:rsidRPr="000122AB">
        <w:t> $</w:t>
      </w:r>
      <w:r w:rsidRPr="000122AB">
        <w:t xml:space="preserve"> à titre de surpayé pour la période du 16 mai 2016 au 30 août 2017.</w:t>
      </w:r>
    </w:p>
    <w:p w:rsidR="0083123B" w:rsidRPr="000122AB" w:rsidRDefault="00EB4C3C" w:rsidP="00733C80">
      <w:pPr>
        <w:pStyle w:val="corpsdedcision"/>
        <w:tabs>
          <w:tab w:val="clear" w:pos="360"/>
          <w:tab w:val="num" w:pos="720"/>
        </w:tabs>
      </w:pPr>
      <w:r w:rsidRPr="000122AB">
        <w:t>Ce surpayé résulte de l’application par la Commission d’une décision</w:t>
      </w:r>
      <w:r w:rsidR="00F350B5" w:rsidRPr="000122AB">
        <w:rPr>
          <w:rStyle w:val="Appelnotedebasdep"/>
        </w:rPr>
        <w:footnoteReference w:id="1"/>
      </w:r>
      <w:r w:rsidRPr="000122AB">
        <w:t xml:space="preserve"> rendue par le Tribunal administratif du travail</w:t>
      </w:r>
      <w:r w:rsidR="00733C80" w:rsidRPr="000122AB">
        <w:t xml:space="preserve"> (le Tribunal)</w:t>
      </w:r>
      <w:r w:rsidRPr="000122AB">
        <w:t xml:space="preserve"> le 17 novembre 2017 qui infirmait une décision de la Commission po</w:t>
      </w:r>
      <w:r w:rsidR="00733C80" w:rsidRPr="000122AB">
        <w:t>rtant sur l’emploi convenable.</w:t>
      </w:r>
    </w:p>
    <w:p w:rsidR="0083123B" w:rsidRDefault="0083123B" w:rsidP="00074FE5">
      <w:pPr>
        <w:pStyle w:val="corpsdedcision"/>
        <w:tabs>
          <w:tab w:val="clear" w:pos="360"/>
          <w:tab w:val="num" w:pos="720"/>
        </w:tabs>
      </w:pPr>
      <w:r>
        <w:t xml:space="preserve">Avant de recevoir les talons de paie du travailleur établissant son salaire gagné durant la période de référence, la Commission a versé au </w:t>
      </w:r>
      <w:r w:rsidR="00EB4C3C">
        <w:t>travailleur</w:t>
      </w:r>
      <w:r>
        <w:t xml:space="preserve"> le 12</w:t>
      </w:r>
      <w:r w:rsidR="00F60DDC">
        <w:t> </w:t>
      </w:r>
      <w:r>
        <w:t>décembre</w:t>
      </w:r>
      <w:r w:rsidR="00F60DDC">
        <w:t> </w:t>
      </w:r>
      <w:r>
        <w:t>2017</w:t>
      </w:r>
      <w:r w:rsidR="00EB4C3C">
        <w:t xml:space="preserve"> </w:t>
      </w:r>
      <w:r>
        <w:t xml:space="preserve">une pleine </w:t>
      </w:r>
      <w:r w:rsidR="00EB4C3C">
        <w:t xml:space="preserve">indemnité de remplacement du revenu </w:t>
      </w:r>
      <w:r>
        <w:t>couvrant ladite</w:t>
      </w:r>
      <w:r w:rsidR="00EB4C3C">
        <w:t xml:space="preserve"> période</w:t>
      </w:r>
      <w:r>
        <w:t>.</w:t>
      </w:r>
    </w:p>
    <w:p w:rsidR="0083123B" w:rsidRPr="000122AB" w:rsidRDefault="0083123B" w:rsidP="00A71C32">
      <w:pPr>
        <w:pStyle w:val="corpsdedcision"/>
        <w:tabs>
          <w:tab w:val="clear" w:pos="360"/>
          <w:tab w:val="num" w:pos="720"/>
        </w:tabs>
      </w:pPr>
      <w:r w:rsidRPr="007201EE">
        <w:t>La Commission a reçu les talons de paie le 24 janvier 2018</w:t>
      </w:r>
      <w:r w:rsidR="007A32C3">
        <w:t xml:space="preserve">, </w:t>
      </w:r>
      <w:r w:rsidRPr="007201EE">
        <w:t>et l</w:t>
      </w:r>
      <w:r w:rsidR="00EB4C3C" w:rsidRPr="007201EE">
        <w:t>e 30</w:t>
      </w:r>
      <w:r w:rsidR="004D7907">
        <w:t> </w:t>
      </w:r>
      <w:r w:rsidR="00EB4C3C" w:rsidRPr="007201EE">
        <w:t>janvier</w:t>
      </w:r>
      <w:r w:rsidR="004D7907">
        <w:t> </w:t>
      </w:r>
      <w:r w:rsidR="00EB4C3C" w:rsidRPr="007201EE">
        <w:t xml:space="preserve">2018, le travailleur a été informé par la Commission du surpayé </w:t>
      </w:r>
      <w:r w:rsidRPr="007201EE">
        <w:t>dû</w:t>
      </w:r>
      <w:r w:rsidR="00EB4C3C" w:rsidRPr="007201EE">
        <w:t xml:space="preserve"> et du fait qu’il ferait l’objet d’</w:t>
      </w:r>
      <w:r w:rsidR="00F350B5" w:rsidRPr="007201EE">
        <w:t xml:space="preserve">une réclamation. Le </w:t>
      </w:r>
      <w:r w:rsidR="00F350B5" w:rsidRPr="000122AB">
        <w:t xml:space="preserve">travailleur s’est </w:t>
      </w:r>
      <w:r w:rsidR="00E7425D" w:rsidRPr="000122AB">
        <w:t xml:space="preserve">opposé </w:t>
      </w:r>
      <w:r w:rsidR="00F350B5" w:rsidRPr="000122AB">
        <w:t xml:space="preserve">à la demande et a indiqué qu’il consulterait un avocat. </w:t>
      </w:r>
    </w:p>
    <w:p w:rsidR="00EB4C3C" w:rsidRDefault="00F350B5" w:rsidP="00023535">
      <w:pPr>
        <w:pStyle w:val="corpsdedcision"/>
        <w:tabs>
          <w:tab w:val="clear" w:pos="360"/>
          <w:tab w:val="num" w:pos="720"/>
        </w:tabs>
      </w:pPr>
      <w:r>
        <w:t>Devant le Tribunal il invoque sa bonne foi, le fait qu’il a dépensé cet argent et qu’il a droit de le conserver en application de l’</w:t>
      </w:r>
      <w:r w:rsidR="009F6092">
        <w:t xml:space="preserve">article 363 de la </w:t>
      </w:r>
      <w:r w:rsidR="009F6092" w:rsidRPr="00C57EEB">
        <w:rPr>
          <w:i/>
          <w:iCs/>
        </w:rPr>
        <w:t>Loi sur les accidents du travail et les maladies professionnelles</w:t>
      </w:r>
      <w:r w:rsidR="009F6092">
        <w:rPr>
          <w:rStyle w:val="Appelnotedebasdep"/>
        </w:rPr>
        <w:footnoteReference w:id="2"/>
      </w:r>
      <w:r w:rsidR="009F6092">
        <w:rPr>
          <w:i/>
          <w:iCs/>
        </w:rPr>
        <w:t xml:space="preserve"> </w:t>
      </w:r>
      <w:r w:rsidR="009F6092" w:rsidRPr="009F6092">
        <w:rPr>
          <w:iCs/>
        </w:rPr>
        <w:t>(la Loi)</w:t>
      </w:r>
      <w:r w:rsidRPr="009F6092">
        <w:t>.</w:t>
      </w:r>
      <w:r>
        <w:t xml:space="preserve"> Il invoque également le fait que le remboursement lui causerait un préjudice important.</w:t>
      </w:r>
    </w:p>
    <w:p w:rsidR="00F350B5" w:rsidRDefault="00F350B5" w:rsidP="000C3E4A">
      <w:pPr>
        <w:pStyle w:val="corpsdedcision"/>
        <w:tabs>
          <w:tab w:val="clear" w:pos="360"/>
          <w:tab w:val="num" w:pos="720"/>
        </w:tabs>
      </w:pPr>
      <w:r>
        <w:t>Pour les motifs ci-après mentionnés, le Tribunal est d’avis que la contestation du travailleur n’est pas fondée. Il ne s’agit pas d’un cas d’applica</w:t>
      </w:r>
      <w:r w:rsidR="000C3E4A">
        <w:t xml:space="preserve">tion de l’article 363 de la Loi, </w:t>
      </w:r>
      <w:r>
        <w:t xml:space="preserve">mais d’un versement </w:t>
      </w:r>
      <w:r w:rsidR="0083123B">
        <w:t xml:space="preserve">fait trop rapidement et qui pourrait être le fruit d’une </w:t>
      </w:r>
      <w:r>
        <w:t>erreur</w:t>
      </w:r>
      <w:r w:rsidR="0083123B">
        <w:t xml:space="preserve"> administrative</w:t>
      </w:r>
      <w:r>
        <w:t xml:space="preserve"> et l’erreur n’est pas source de droit pour le travailleur. Quant à son préjudice financier, la preuve est insuffisante pour conclure en ce sens.</w:t>
      </w:r>
    </w:p>
    <w:p w:rsidR="00F350B5" w:rsidRPr="00F350B5" w:rsidRDefault="00F350B5" w:rsidP="00F350B5">
      <w:pPr>
        <w:pStyle w:val="corpsdedcision"/>
        <w:numPr>
          <w:ilvl w:val="0"/>
          <w:numId w:val="0"/>
        </w:numPr>
        <w:rPr>
          <w:b/>
        </w:rPr>
      </w:pPr>
      <w:r w:rsidRPr="00F350B5">
        <w:rPr>
          <w:b/>
        </w:rPr>
        <w:t>ANALYSE</w:t>
      </w:r>
    </w:p>
    <w:p w:rsidR="00F350B5" w:rsidRDefault="00F350B5" w:rsidP="00C54346">
      <w:pPr>
        <w:pStyle w:val="corpsdedcision"/>
        <w:tabs>
          <w:tab w:val="clear" w:pos="360"/>
          <w:tab w:val="num" w:pos="720"/>
        </w:tabs>
      </w:pPr>
      <w:r>
        <w:t>Le Tribunal doit déterminer si la Commission est bien fondée de réclamer au travailleur la somme de 23</w:t>
      </w:r>
      <w:r w:rsidR="00293639">
        <w:t> 601,</w:t>
      </w:r>
      <w:r>
        <w:t>08</w:t>
      </w:r>
      <w:r w:rsidR="00293639">
        <w:t> $</w:t>
      </w:r>
      <w:r>
        <w:t>.</w:t>
      </w:r>
    </w:p>
    <w:p w:rsidR="009F6092" w:rsidRDefault="00C5270B" w:rsidP="005E74C8">
      <w:pPr>
        <w:pStyle w:val="corpsdedcision"/>
        <w:tabs>
          <w:tab w:val="clear" w:pos="360"/>
          <w:tab w:val="num" w:pos="720"/>
        </w:tabs>
      </w:pPr>
      <w:r>
        <w:t>La décision</w:t>
      </w:r>
      <w:r w:rsidR="0083123B">
        <w:rPr>
          <w:rStyle w:val="Appelnotedebasdep"/>
        </w:rPr>
        <w:footnoteReference w:id="3"/>
      </w:r>
      <w:r>
        <w:t xml:space="preserve"> rendue par le Tribunal le 17 novembre </w:t>
      </w:r>
      <w:r w:rsidR="005E74C8">
        <w:t xml:space="preserve">2017 qui infirmait la décision </w:t>
      </w:r>
      <w:r>
        <w:t>de la Commission portant sur l’emploi convenable a fait en sorte que le travailleur a récupéré son droit à la réadaptation et avait droit à l’indemnité de remplacement du revenu qui en découle, tel que le prévoit l’article 47 de la Loi. Toutefois, l</w:t>
      </w:r>
      <w:r w:rsidR="009F6092">
        <w:t xml:space="preserve">’article </w:t>
      </w:r>
      <w:r>
        <w:t xml:space="preserve">52 de </w:t>
      </w:r>
      <w:r w:rsidR="009F6092">
        <w:t>la Loi prévoit que le</w:t>
      </w:r>
      <w:r>
        <w:t xml:space="preserve"> travailleur qui occupe un nouvel emploi pendant sa période de réadaptation voit son indemnité de remplacement du revenu réduite du revenu net retenu qu’il tire de son nouvel emploi.</w:t>
      </w:r>
      <w:r w:rsidR="009F6092">
        <w:t xml:space="preserve"> </w:t>
      </w:r>
      <w:r w:rsidR="0083123B">
        <w:t>Le surpayé réclamé au travailleur vient de l’application de l’article 52 de la Loi.</w:t>
      </w:r>
    </w:p>
    <w:p w:rsidR="009F6092" w:rsidRDefault="001E687B" w:rsidP="001E687B">
      <w:pPr>
        <w:pStyle w:val="corpsdedcision"/>
        <w:tabs>
          <w:tab w:val="clear" w:pos="360"/>
          <w:tab w:val="num" w:pos="720"/>
        </w:tabs>
      </w:pPr>
      <w:r>
        <w:t>La L</w:t>
      </w:r>
      <w:r w:rsidR="00C5270B">
        <w:t>oi prévoit certaines exceptions à la règle générale prévoyant le remboursement d’un surpayé</w:t>
      </w:r>
      <w:r w:rsidR="004F4D8A">
        <w:t>. I</w:t>
      </w:r>
      <w:r w:rsidR="0083123B">
        <w:t>l convient de reproduire en entier</w:t>
      </w:r>
      <w:r w:rsidR="00C5270B">
        <w:t xml:space="preserve"> ces dispositions puisque le travailleur s’appuie sur </w:t>
      </w:r>
      <w:r w:rsidR="004F4D8A">
        <w:t xml:space="preserve">l’une de </w:t>
      </w:r>
      <w:r w:rsidR="00C5270B">
        <w:t>ces dispositions</w:t>
      </w:r>
      <w:r w:rsidR="004F4D8A">
        <w:t>, soit l’article 363</w:t>
      </w:r>
      <w:r w:rsidR="0083123B">
        <w:t>,</w:t>
      </w:r>
      <w:r w:rsidR="00C5270B">
        <w:t xml:space="preserve"> pour prétendre qu’il n’a pas à rembourser la somme qu’on lui réclame :</w:t>
      </w:r>
    </w:p>
    <w:p w:rsidR="0083123B" w:rsidRPr="00635F56" w:rsidRDefault="0083123B">
      <w:pPr>
        <w:pStyle w:val="articlesdelaLATMP"/>
      </w:pPr>
      <w:r w:rsidRPr="00635F56">
        <w:rPr>
          <w:b/>
        </w:rPr>
        <w:t>358.3.</w:t>
      </w:r>
      <w:r w:rsidRPr="00635F56">
        <w:t xml:space="preserve"> Après avoir donné aux parties l'occasion de présenter leurs observations, la Commission décide sur dossier; elle peut confirmer, infirmer ou modifier la décision, l'ordre ou l'ordonnance rendue initialement et, s'il y a lieu, rendre la décision, l'ordre ou l'ordonnance qui, à son avis, aurait dû être rendu.</w:t>
      </w:r>
    </w:p>
    <w:p w:rsidR="0083123B" w:rsidRPr="00635F56" w:rsidRDefault="0083123B">
      <w:pPr>
        <w:pStyle w:val="articlesdelaLATMP"/>
      </w:pPr>
    </w:p>
    <w:p w:rsidR="0083123B" w:rsidRPr="00635F56" w:rsidRDefault="0083123B">
      <w:pPr>
        <w:pStyle w:val="articlesdelaLATMP"/>
      </w:pPr>
      <w:r w:rsidRPr="00635F56">
        <w:t>Les articles 224.1 et 233 s'appliquent alors à la Commission et celle-ci rend sa décision en conséquence.</w:t>
      </w:r>
    </w:p>
    <w:p w:rsidR="0083123B" w:rsidRPr="00635F56" w:rsidRDefault="0083123B">
      <w:pPr>
        <w:pStyle w:val="articlesdelaLATMP"/>
      </w:pPr>
      <w:r w:rsidRPr="00635F56">
        <w:t>__________</w:t>
      </w:r>
    </w:p>
    <w:p w:rsidR="0083123B" w:rsidRDefault="0083123B">
      <w:pPr>
        <w:pStyle w:val="articlesdelaLATMP"/>
      </w:pPr>
      <w:r w:rsidRPr="00635F56">
        <w:t>1997, c. 27, a. 15.</w:t>
      </w:r>
    </w:p>
    <w:p w:rsidR="00635F56" w:rsidRDefault="00635F56">
      <w:pPr>
        <w:pStyle w:val="articlesdelaLATMP"/>
      </w:pPr>
    </w:p>
    <w:p w:rsidR="00635F56" w:rsidRDefault="00635F56">
      <w:pPr>
        <w:pStyle w:val="articlesdelaLATMP"/>
      </w:pPr>
      <w:r>
        <w:t>[…]</w:t>
      </w:r>
    </w:p>
    <w:p w:rsidR="0083123B" w:rsidRDefault="0083123B">
      <w:pPr>
        <w:pStyle w:val="articlesdelaLATMP"/>
      </w:pPr>
    </w:p>
    <w:p w:rsidR="009F6092" w:rsidRPr="009F6092" w:rsidRDefault="009F6092" w:rsidP="009F6092">
      <w:pPr>
        <w:ind w:left="720" w:right="720"/>
        <w:jc w:val="both"/>
        <w:rPr>
          <w:sz w:val="20"/>
        </w:rPr>
      </w:pPr>
      <w:r w:rsidRPr="009F6092">
        <w:rPr>
          <w:b/>
          <w:sz w:val="20"/>
        </w:rPr>
        <w:t>363.</w:t>
      </w:r>
      <w:r w:rsidRPr="009F6092">
        <w:rPr>
          <w:sz w:val="20"/>
        </w:rPr>
        <w:t xml:space="preserve"> Lorsque la Commission, à la suite d'une décision rendue en vertu de l'article 358.3, ou la Commission des lésions professionnelles annule ou réduit le montant d'une indemnité de remplacement du revenu ou d'une indemnité de décès visée dans l'article 101 ou dans le premier alinéa de l'article 102 ou une prestation prévue dans le plan individualisé de réadaptation d'un travailleur, les prestations déjà fournies à un bénéficiaire ne peuvent être recouvrées, sauf si elles ont été obtenues par mauvaise foi ou s'il s'agit du salaire versé à titre d'indemnité en vertu de l'article 60.</w:t>
      </w:r>
    </w:p>
    <w:p w:rsidR="009F6092" w:rsidRPr="009F6092" w:rsidRDefault="009F6092" w:rsidP="009F6092">
      <w:pPr>
        <w:ind w:left="720" w:right="720"/>
        <w:jc w:val="both"/>
        <w:rPr>
          <w:sz w:val="20"/>
        </w:rPr>
      </w:pPr>
      <w:r w:rsidRPr="009F6092">
        <w:rPr>
          <w:sz w:val="20"/>
        </w:rPr>
        <w:t>__________</w:t>
      </w:r>
    </w:p>
    <w:p w:rsidR="009F6092" w:rsidRDefault="009F6092" w:rsidP="009F6092">
      <w:pPr>
        <w:tabs>
          <w:tab w:val="left" w:pos="4365"/>
        </w:tabs>
        <w:ind w:left="720" w:right="720"/>
        <w:jc w:val="both"/>
        <w:rPr>
          <w:sz w:val="20"/>
        </w:rPr>
      </w:pPr>
      <w:r w:rsidRPr="009F6092">
        <w:rPr>
          <w:sz w:val="20"/>
        </w:rPr>
        <w:t>1985, c. 6, a. 363; 1997, c. 27, a. 19.</w:t>
      </w:r>
    </w:p>
    <w:p w:rsidR="0083123B" w:rsidRDefault="0083123B" w:rsidP="009F6092">
      <w:pPr>
        <w:tabs>
          <w:tab w:val="left" w:pos="4365"/>
        </w:tabs>
        <w:ind w:left="720" w:right="720"/>
        <w:jc w:val="both"/>
        <w:rPr>
          <w:sz w:val="20"/>
        </w:rPr>
      </w:pPr>
    </w:p>
    <w:p w:rsidR="00635F56" w:rsidRDefault="00635F56" w:rsidP="009F6092">
      <w:pPr>
        <w:tabs>
          <w:tab w:val="left" w:pos="4365"/>
        </w:tabs>
        <w:ind w:left="720" w:right="720"/>
        <w:jc w:val="both"/>
        <w:rPr>
          <w:sz w:val="20"/>
        </w:rPr>
      </w:pPr>
      <w:r>
        <w:rPr>
          <w:sz w:val="20"/>
        </w:rPr>
        <w:t>[…]</w:t>
      </w:r>
    </w:p>
    <w:p w:rsidR="00635F56" w:rsidRDefault="00635F56" w:rsidP="009F6092">
      <w:pPr>
        <w:tabs>
          <w:tab w:val="left" w:pos="4365"/>
        </w:tabs>
        <w:ind w:left="720" w:right="720"/>
        <w:jc w:val="both"/>
        <w:rPr>
          <w:sz w:val="20"/>
        </w:rPr>
      </w:pPr>
    </w:p>
    <w:p w:rsidR="0083123B" w:rsidRDefault="0083123B">
      <w:pPr>
        <w:pStyle w:val="articlesdelaLATMP"/>
      </w:pPr>
      <w:r w:rsidRPr="00216E8F">
        <w:rPr>
          <w:b/>
        </w:rPr>
        <w:t>365.</w:t>
      </w:r>
      <w:r>
        <w:t xml:space="preserve"> La Commission peut reconsidérer sa décision dans les 90</w:t>
      </w:r>
      <w:r>
        <w:rPr>
          <w:rFonts w:cs="Arial"/>
        </w:rPr>
        <w:t> </w:t>
      </w:r>
      <w:r>
        <w:t>jours, si celle-ci n'a pas fait l'objet d'une décision rendue en vertu de l'article 358.3, pour corriger toute erreur.</w:t>
      </w:r>
    </w:p>
    <w:p w:rsidR="0083123B" w:rsidRDefault="0083123B">
      <w:pPr>
        <w:pStyle w:val="articlesdelaLATMP"/>
      </w:pPr>
    </w:p>
    <w:p w:rsidR="0083123B" w:rsidRDefault="0083123B">
      <w:pPr>
        <w:pStyle w:val="articlesdelaLATMP"/>
      </w:pPr>
      <w:r>
        <w:t>Elle peut également, de sa propre initiative ou à la demande d'une partie, si sa décision a été rendue avant que soit connu un fait essentiel, reconsidérer cette décision dans les 90</w:t>
      </w:r>
      <w:r>
        <w:rPr>
          <w:rFonts w:cs="Arial"/>
        </w:rPr>
        <w:t> </w:t>
      </w:r>
      <w:r>
        <w:t>jours de la connaissance de ce fait.</w:t>
      </w:r>
    </w:p>
    <w:p w:rsidR="0083123B" w:rsidRDefault="0083123B">
      <w:pPr>
        <w:pStyle w:val="articlesdelaLATMP"/>
      </w:pPr>
    </w:p>
    <w:p w:rsidR="0083123B" w:rsidRDefault="0083123B">
      <w:pPr>
        <w:pStyle w:val="articlesdelaLATMP"/>
      </w:pPr>
      <w:r>
        <w:t>Avant de reconsidérer une décision, la Commission en informe les personnes à qui elle a notifié cette décision.</w:t>
      </w:r>
    </w:p>
    <w:p w:rsidR="0083123B" w:rsidRDefault="0083123B">
      <w:pPr>
        <w:pStyle w:val="articlesdelaLATMP"/>
      </w:pPr>
    </w:p>
    <w:p w:rsidR="0083123B" w:rsidRDefault="0083123B">
      <w:pPr>
        <w:pStyle w:val="articlesdelaLATMP"/>
      </w:pPr>
      <w:r>
        <w:t>Le présent article ne s'applique pas à une décision rendue en vertu du chapitre IX.</w:t>
      </w:r>
    </w:p>
    <w:p w:rsidR="0083123B" w:rsidRDefault="0083123B">
      <w:pPr>
        <w:pStyle w:val="articlesdelaLATMP"/>
      </w:pPr>
      <w:r>
        <w:t>__________</w:t>
      </w:r>
    </w:p>
    <w:p w:rsidR="0083123B" w:rsidRPr="00DF0FC4" w:rsidRDefault="0083123B">
      <w:pPr>
        <w:pStyle w:val="articlesdelaLATMP"/>
      </w:pPr>
      <w:r w:rsidRPr="00DF0FC4">
        <w:t>1985, c. 6, a. 365; 1992, c. 11, a. 36; 1996, c. 70, a. 43; 1997, c. 27, a. 21.</w:t>
      </w:r>
    </w:p>
    <w:p w:rsidR="0083123B" w:rsidRPr="00DF0FC4" w:rsidRDefault="0083123B">
      <w:pPr>
        <w:pStyle w:val="articlesdelaLATMP"/>
      </w:pPr>
    </w:p>
    <w:p w:rsidR="0083123B" w:rsidRDefault="0083123B">
      <w:pPr>
        <w:pStyle w:val="articlesdelaLATMP"/>
      </w:pPr>
      <w:r w:rsidRPr="00216E8F">
        <w:rPr>
          <w:b/>
        </w:rPr>
        <w:t>366.</w:t>
      </w:r>
      <w:r>
        <w:t xml:space="preserve"> Les articles 361, 363 et 364 s'appliquent, compte tenu des adaptations nécessaires, à une décision rendue en vertu de l'article 365.</w:t>
      </w:r>
    </w:p>
    <w:p w:rsidR="0083123B" w:rsidRDefault="0083123B">
      <w:pPr>
        <w:pStyle w:val="articlesdelaLATMP"/>
      </w:pPr>
      <w:r>
        <w:t>__________</w:t>
      </w:r>
    </w:p>
    <w:p w:rsidR="0083123B" w:rsidRDefault="0083123B">
      <w:pPr>
        <w:pStyle w:val="articlesdelaLATMP"/>
      </w:pPr>
      <w:r>
        <w:t>1985, c. 6, a. 366; 1992, c. 11, a. 37; 1997, c. 27, a. 23.</w:t>
      </w:r>
    </w:p>
    <w:p w:rsidR="0083123B" w:rsidRDefault="0083123B">
      <w:pPr>
        <w:pStyle w:val="articlesdelaLATMP"/>
      </w:pPr>
    </w:p>
    <w:p w:rsidR="00635F56" w:rsidRDefault="00635F56">
      <w:pPr>
        <w:pStyle w:val="articlesdelaLATMP"/>
      </w:pPr>
    </w:p>
    <w:p w:rsidR="009F6092" w:rsidRPr="00A3370A" w:rsidRDefault="00A3370A" w:rsidP="00677F1E">
      <w:pPr>
        <w:keepNext/>
        <w:spacing w:after="360"/>
        <w:ind w:right="720"/>
        <w:jc w:val="both"/>
        <w:rPr>
          <w:b/>
          <w:szCs w:val="24"/>
        </w:rPr>
      </w:pPr>
      <w:r w:rsidRPr="00A3370A">
        <w:rPr>
          <w:b/>
          <w:szCs w:val="24"/>
        </w:rPr>
        <w:t>L’application de l’article 363 de la Loi</w:t>
      </w:r>
    </w:p>
    <w:p w:rsidR="00C5270B" w:rsidRDefault="004F4D8A" w:rsidP="00677F1E">
      <w:pPr>
        <w:pStyle w:val="corpsdedcision"/>
        <w:keepNext/>
      </w:pPr>
      <w:r>
        <w:t xml:space="preserve">Tel qu’on peut le lire, l’article 363 s’applique dans un contexte bien défini, soit lorsqu’une décision </w:t>
      </w:r>
      <w:r w:rsidR="00A3370A">
        <w:t xml:space="preserve">de la Commission </w:t>
      </w:r>
      <w:r>
        <w:t>accordant une prestation est infirmée par la suite par une autre décision</w:t>
      </w:r>
      <w:r w:rsidR="0083123B">
        <w:t xml:space="preserve"> rendu</w:t>
      </w:r>
      <w:r w:rsidR="00F034C4">
        <w:t>e</w:t>
      </w:r>
      <w:r w:rsidR="0083123B">
        <w:t xml:space="preserve"> en révision administrative</w:t>
      </w:r>
      <w:r w:rsidR="00A3370A">
        <w:t xml:space="preserve"> en a</w:t>
      </w:r>
      <w:r w:rsidR="0083123B">
        <w:t>pplication de l’article 358.3</w:t>
      </w:r>
      <w:r w:rsidR="00A3370A">
        <w:t xml:space="preserve"> de</w:t>
      </w:r>
      <w:r w:rsidR="00C61313">
        <w:t> </w:t>
      </w:r>
      <w:r w:rsidR="00A3370A">
        <w:t>la</w:t>
      </w:r>
      <w:r w:rsidR="00C61313">
        <w:t> </w:t>
      </w:r>
      <w:r w:rsidR="00A3370A">
        <w:t>Loi</w:t>
      </w:r>
      <w:r>
        <w:t xml:space="preserve">. Le Tribunal lors de l’audience a souligné </w:t>
      </w:r>
      <w:r w:rsidR="00A3370A">
        <w:t xml:space="preserve">au travailleur </w:t>
      </w:r>
      <w:r>
        <w:t xml:space="preserve">qu’aucune décision n’avait été rendue par la Commission accordant au travailleur une pleine indemnité de remplacement du revenu </w:t>
      </w:r>
      <w:r w:rsidR="00083515">
        <w:t xml:space="preserve">nonobstant le salaire gagné </w:t>
      </w:r>
      <w:r>
        <w:t>et qui aurait été infirmée par la suite.</w:t>
      </w:r>
    </w:p>
    <w:p w:rsidR="004F4D8A" w:rsidRDefault="00A3370A" w:rsidP="0036536A">
      <w:pPr>
        <w:pStyle w:val="corpsdedcision"/>
      </w:pPr>
      <w:r>
        <w:t xml:space="preserve">Le travailleur prétend que </w:t>
      </w:r>
      <w:r w:rsidRPr="00A3370A">
        <w:rPr>
          <w:i/>
        </w:rPr>
        <w:t>l’A</w:t>
      </w:r>
      <w:r w:rsidR="004F4D8A" w:rsidRPr="00A3370A">
        <w:rPr>
          <w:i/>
        </w:rPr>
        <w:t>vis de paiement</w:t>
      </w:r>
      <w:r w:rsidR="004F4D8A">
        <w:t xml:space="preserve"> qui </w:t>
      </w:r>
      <w:r>
        <w:t xml:space="preserve">lui </w:t>
      </w:r>
      <w:r w:rsidR="004F4D8A">
        <w:t>a été transmis le 12</w:t>
      </w:r>
      <w:r w:rsidR="00621D50">
        <w:t> </w:t>
      </w:r>
      <w:r w:rsidR="004F4D8A">
        <w:t>décembre</w:t>
      </w:r>
      <w:r w:rsidR="00621D50">
        <w:t> </w:t>
      </w:r>
      <w:r w:rsidR="004F4D8A">
        <w:t xml:space="preserve">2017 et qui prévoit le </w:t>
      </w:r>
      <w:r w:rsidR="00083515">
        <w:t xml:space="preserve">versement de la pleine </w:t>
      </w:r>
      <w:r w:rsidR="004F4D8A">
        <w:t>indemnité de remplacement du revenu</w:t>
      </w:r>
      <w:r w:rsidR="00E15927">
        <w:t xml:space="preserve"> pour la période</w:t>
      </w:r>
      <w:r w:rsidR="004F4D8A">
        <w:t xml:space="preserve"> </w:t>
      </w:r>
      <w:r w:rsidR="004F4D8A" w:rsidRPr="00930F57">
        <w:t xml:space="preserve">du </w:t>
      </w:r>
      <w:r w:rsidR="0036536A" w:rsidRPr="00930F57">
        <w:t>16 mai 2016 au 30 août 2017</w:t>
      </w:r>
      <w:r w:rsidR="004F4D8A" w:rsidRPr="00930F57">
        <w:t xml:space="preserve"> constitue</w:t>
      </w:r>
      <w:r w:rsidR="004F4D8A">
        <w:t xml:space="preserve"> une décision implicite et la décision qui a suivi</w:t>
      </w:r>
      <w:r w:rsidR="00083515">
        <w:t>e</w:t>
      </w:r>
      <w:r w:rsidR="004F4D8A">
        <w:t xml:space="preserve"> de réclamer la somme correspondant au salaire net gagné par le travailleur durant la même période est une reconsidération de cette décision implicite. </w:t>
      </w:r>
      <w:r w:rsidR="00E15927">
        <w:t>É</w:t>
      </w:r>
      <w:r w:rsidR="004F4D8A">
        <w:t>tant une reconsidération, les dispositions de l’article 365 s’applique</w:t>
      </w:r>
      <w:r w:rsidR="00F034C4">
        <w:t>raient</w:t>
      </w:r>
      <w:r w:rsidR="004F4D8A">
        <w:t xml:space="preserve"> </w:t>
      </w:r>
      <w:r w:rsidR="00F034C4">
        <w:t xml:space="preserve">et l’article 366 prévoit que </w:t>
      </w:r>
      <w:r w:rsidR="00F034C4" w:rsidRPr="00F034C4">
        <w:t>l’</w:t>
      </w:r>
      <w:r w:rsidR="00E15927">
        <w:t>article</w:t>
      </w:r>
      <w:r w:rsidR="004F4D8A" w:rsidRPr="00F034C4">
        <w:t xml:space="preserve"> 363</w:t>
      </w:r>
      <w:r w:rsidR="004F4D8A">
        <w:t xml:space="preserve"> s'applique, compte tenu des adaptations nécessaires, à une décision rendue en vertu de l'article 365.</w:t>
      </w:r>
    </w:p>
    <w:p w:rsidR="004F4D8A" w:rsidRPr="000122AB" w:rsidRDefault="004F4D8A" w:rsidP="004F4D8A">
      <w:pPr>
        <w:pStyle w:val="corpsdedcision"/>
      </w:pPr>
      <w:r>
        <w:t>Le Tribunal ne partage pas le point de vue du travailleur. Même</w:t>
      </w:r>
      <w:r w:rsidR="00E15927">
        <w:t xml:space="preserve"> si on devait considérer que </w:t>
      </w:r>
      <w:r w:rsidR="00E15927" w:rsidRPr="00E15927">
        <w:rPr>
          <w:i/>
        </w:rPr>
        <w:t>l’A</w:t>
      </w:r>
      <w:r w:rsidRPr="00E15927">
        <w:rPr>
          <w:i/>
        </w:rPr>
        <w:t>vis de paiement</w:t>
      </w:r>
      <w:r>
        <w:t xml:space="preserve"> est une décision implicite, ce qui n’est pas l’opinion</w:t>
      </w:r>
      <w:r w:rsidR="00F034C4">
        <w:t xml:space="preserve"> du Tribunal dans le présent dossier</w:t>
      </w:r>
      <w:r>
        <w:t xml:space="preserve">, </w:t>
      </w:r>
      <w:r w:rsidR="00E15927">
        <w:t xml:space="preserve">on ne peut donner à </w:t>
      </w:r>
      <w:r w:rsidR="00E15927" w:rsidRPr="00E15927">
        <w:rPr>
          <w:i/>
        </w:rPr>
        <w:t>l’A</w:t>
      </w:r>
      <w:r w:rsidR="00D60E68" w:rsidRPr="00E15927">
        <w:rPr>
          <w:i/>
        </w:rPr>
        <w:t>vis de paiement</w:t>
      </w:r>
      <w:r w:rsidR="00D60E68">
        <w:t xml:space="preserve"> la portée que le t</w:t>
      </w:r>
      <w:r w:rsidR="00E15927">
        <w:t xml:space="preserve">ravailleur lui donne. Tout ce qu’établi </w:t>
      </w:r>
      <w:r w:rsidR="00E15927" w:rsidRPr="00E15927">
        <w:rPr>
          <w:i/>
        </w:rPr>
        <w:t>l’A</w:t>
      </w:r>
      <w:r w:rsidR="00D60E68" w:rsidRPr="00E15927">
        <w:rPr>
          <w:i/>
        </w:rPr>
        <w:t>vis de paiement</w:t>
      </w:r>
      <w:r w:rsidR="00E15927">
        <w:t xml:space="preserve"> du 12 décembre 2017</w:t>
      </w:r>
      <w:r w:rsidR="00D60E68">
        <w:t xml:space="preserve">, c’est que le travailleur avait droit </w:t>
      </w:r>
      <w:r w:rsidR="00D60E68" w:rsidRPr="000122AB">
        <w:t xml:space="preserve">à l’indemnité de remplacement du revenu durant </w:t>
      </w:r>
      <w:r w:rsidR="00E15927" w:rsidRPr="000122AB">
        <w:t>la</w:t>
      </w:r>
      <w:r w:rsidR="00D60E68" w:rsidRPr="000122AB">
        <w:t xml:space="preserve"> période</w:t>
      </w:r>
      <w:r w:rsidR="00E15927" w:rsidRPr="000122AB">
        <w:t xml:space="preserve"> concernée</w:t>
      </w:r>
      <w:r w:rsidR="00083515" w:rsidRPr="000122AB">
        <w:t>. Il s’agit là d’une application de l’article 47 de la Loi</w:t>
      </w:r>
      <w:r w:rsidR="00D60E68" w:rsidRPr="000122AB">
        <w:t xml:space="preserve">. </w:t>
      </w:r>
      <w:r w:rsidR="00D60E68" w:rsidRPr="000122AB">
        <w:rPr>
          <w:i/>
        </w:rPr>
        <w:t>L’avis de paiement</w:t>
      </w:r>
      <w:r w:rsidR="00D60E68" w:rsidRPr="000122AB">
        <w:t xml:space="preserve"> n’indique pas qu’il y a droit nonobstant </w:t>
      </w:r>
      <w:r w:rsidR="00621D50" w:rsidRPr="000122AB">
        <w:t xml:space="preserve">à </w:t>
      </w:r>
      <w:r w:rsidR="00D60E68" w:rsidRPr="000122AB">
        <w:t xml:space="preserve">l’article 52 de la Loi qui prévoit que </w:t>
      </w:r>
      <w:r w:rsidR="00083515" w:rsidRPr="000122AB">
        <w:t xml:space="preserve">l’indemnité de remplacement du revenu </w:t>
      </w:r>
      <w:r w:rsidR="00D60E68" w:rsidRPr="000122AB">
        <w:t>est réduite du salaire net gagné durant la période.</w:t>
      </w:r>
    </w:p>
    <w:p w:rsidR="00083515" w:rsidRPr="000122AB" w:rsidRDefault="00083515" w:rsidP="004F4D8A">
      <w:pPr>
        <w:pStyle w:val="corpsdedcision"/>
      </w:pPr>
      <w:r w:rsidRPr="000122AB">
        <w:t xml:space="preserve">Même si normalement, la Commission vérifie le salaire gagné par le travailleur durant la période de référence </w:t>
      </w:r>
      <w:r w:rsidRPr="000122AB">
        <w:rPr>
          <w:u w:val="single"/>
        </w:rPr>
        <w:t>avant d’émettre un chèque</w:t>
      </w:r>
      <w:r w:rsidRPr="000122AB">
        <w:t xml:space="preserve"> d’indemnité, rien ne s’oppose à ce que l’indemnité soit versée et le surpayé soit réclamé lorsqu’elle est en possession des pièces justificatives.</w:t>
      </w:r>
    </w:p>
    <w:p w:rsidR="00D60E68" w:rsidRDefault="00F034C4" w:rsidP="004F4D8A">
      <w:pPr>
        <w:pStyle w:val="corpsdedcision"/>
      </w:pPr>
      <w:r>
        <w:t xml:space="preserve">Il est vrai que </w:t>
      </w:r>
      <w:r w:rsidR="00D60E68">
        <w:t>la Commission savait que le travailleur avait travaillé durant cette période</w:t>
      </w:r>
      <w:r>
        <w:t>,</w:t>
      </w:r>
      <w:r w:rsidR="00D60E68">
        <w:t xml:space="preserve"> mais la preuve démontre que le versement de l’indemnité de remplacement du revenu a été effectué avant que le travailleur ou son employeur </w:t>
      </w:r>
      <w:r>
        <w:t>n’</w:t>
      </w:r>
      <w:r w:rsidR="00D60E68">
        <w:t xml:space="preserve">ait transmis les preuves de salaire gagné par le travailleur durant </w:t>
      </w:r>
      <w:r>
        <w:t>ladite</w:t>
      </w:r>
      <w:r w:rsidR="00D60E68">
        <w:t xml:space="preserve"> période. Ce n’est qu’à ce moment que la Commission pouvait déduire le salaire net gagné durant la période</w:t>
      </w:r>
      <w:r w:rsidR="00083515">
        <w:t xml:space="preserve"> et cette connaissance a été acquise le 24 janvier 2018</w:t>
      </w:r>
      <w:r>
        <w:t xml:space="preserve"> soit après le versement de la pleine indemnité de remplacement du revenu.</w:t>
      </w:r>
    </w:p>
    <w:p w:rsidR="00E15927" w:rsidRDefault="00E15927" w:rsidP="00E15927">
      <w:pPr>
        <w:pStyle w:val="corpsdedcision"/>
      </w:pPr>
      <w:r>
        <w:t>De l’avis du Tribunal, on ne peut plaider ici la décision implicite puisqu’au moment du versement de la pleine indemnité de remplacement du revenu la Commission n’était pas en mesure de déterminer le montant du salaire gagné par le travailleur durant la période de référence, elle ne pouvait donc pas renoncer à cette réclamation à l’avance.</w:t>
      </w:r>
    </w:p>
    <w:p w:rsidR="00E15927" w:rsidRDefault="00E15927" w:rsidP="00E15927">
      <w:pPr>
        <w:pStyle w:val="corpsdedcision"/>
      </w:pPr>
      <w:r>
        <w:t xml:space="preserve">Dans </w:t>
      </w:r>
      <w:r w:rsidRPr="000122AB">
        <w:t xml:space="preserve">l’affaire </w:t>
      </w:r>
      <w:r w:rsidR="00CA5B3F" w:rsidRPr="000122AB">
        <w:rPr>
          <w:i/>
        </w:rPr>
        <w:t>Latulippe</w:t>
      </w:r>
      <w:r w:rsidRPr="000122AB">
        <w:rPr>
          <w:i/>
        </w:rPr>
        <w:t xml:space="preserve"> </w:t>
      </w:r>
      <w:r w:rsidRPr="000122AB">
        <w:t>et</w:t>
      </w:r>
      <w:r w:rsidRPr="00671EE8">
        <w:t xml:space="preserve"> </w:t>
      </w:r>
      <w:r w:rsidRPr="00671EE8">
        <w:rPr>
          <w:i/>
        </w:rPr>
        <w:t>Transport Robert 1973 Ltée</w:t>
      </w:r>
      <w:r w:rsidRPr="00CA5B3F">
        <w:rPr>
          <w:rStyle w:val="Appelnotedebasdep"/>
        </w:rPr>
        <w:footnoteReference w:id="4"/>
      </w:r>
      <w:r w:rsidRPr="00CA5B3F">
        <w:t>,</w:t>
      </w:r>
      <w:r>
        <w:t xml:space="preserve"> on a précisé dans quelles circonstances on peut conclure à la décision implicite :</w:t>
      </w:r>
    </w:p>
    <w:p w:rsidR="00E15927" w:rsidRDefault="00E15927" w:rsidP="00E15927">
      <w:pPr>
        <w:pStyle w:val="citation"/>
      </w:pPr>
      <w:r>
        <w:t>[58]</w:t>
      </w:r>
      <w:r>
        <w:tab/>
        <w:t>La CSST a-t-elle rendu une telle décision implicite dans le présent dossier? Le tribunal répond par la négative à cette question pour les motifs suivants.</w:t>
      </w:r>
    </w:p>
    <w:p w:rsidR="00E15927" w:rsidRDefault="00E15927" w:rsidP="00E15927">
      <w:pPr>
        <w:pStyle w:val="citation"/>
      </w:pPr>
    </w:p>
    <w:p w:rsidR="00E15927" w:rsidRDefault="00E15927" w:rsidP="00E15927">
      <w:pPr>
        <w:pStyle w:val="citation"/>
      </w:pPr>
      <w:r>
        <w:t>[59]</w:t>
      </w:r>
      <w:r>
        <w:tab/>
        <w:t>En principe, une décision doit revêtir la forme prévue à l’article 354 de la Loi :</w:t>
      </w:r>
    </w:p>
    <w:p w:rsidR="00E15927" w:rsidRDefault="00E15927" w:rsidP="00E15927">
      <w:pPr>
        <w:pStyle w:val="citation"/>
      </w:pPr>
    </w:p>
    <w:p w:rsidR="00E15927" w:rsidRPr="00671EE8" w:rsidRDefault="00E15927" w:rsidP="00E15927">
      <w:pPr>
        <w:pStyle w:val="Citationendoubleretrait"/>
        <w:rPr>
          <w:sz w:val="18"/>
          <w:szCs w:val="18"/>
        </w:rPr>
      </w:pPr>
      <w:r w:rsidRPr="00671EE8">
        <w:rPr>
          <w:sz w:val="18"/>
          <w:szCs w:val="18"/>
        </w:rPr>
        <w:t>354. Une décision de la Commission doit être écrite, motivée et notifiée aux intéressés dans les plus brefs délais.</w:t>
      </w:r>
    </w:p>
    <w:p w:rsidR="00E15927" w:rsidRPr="00671EE8" w:rsidRDefault="00E15927" w:rsidP="00E15927">
      <w:pPr>
        <w:pStyle w:val="Citationendoubleretrait"/>
        <w:rPr>
          <w:sz w:val="18"/>
          <w:szCs w:val="18"/>
        </w:rPr>
      </w:pPr>
      <w:r w:rsidRPr="00671EE8">
        <w:rPr>
          <w:sz w:val="18"/>
          <w:szCs w:val="18"/>
        </w:rPr>
        <w:t>__________</w:t>
      </w:r>
    </w:p>
    <w:p w:rsidR="00E15927" w:rsidRPr="00671EE8" w:rsidRDefault="00E15927" w:rsidP="00E15927">
      <w:pPr>
        <w:pStyle w:val="Citationendoubleretrait"/>
        <w:rPr>
          <w:sz w:val="18"/>
          <w:szCs w:val="18"/>
        </w:rPr>
      </w:pPr>
      <w:r w:rsidRPr="00671EE8">
        <w:rPr>
          <w:sz w:val="18"/>
          <w:szCs w:val="18"/>
        </w:rPr>
        <w:t>1985, c. 6, a. 354.</w:t>
      </w:r>
    </w:p>
    <w:p w:rsidR="00E15927" w:rsidRDefault="00E15927" w:rsidP="00E15927">
      <w:pPr>
        <w:pStyle w:val="citation"/>
      </w:pPr>
    </w:p>
    <w:p w:rsidR="00E15927" w:rsidRDefault="00E15927" w:rsidP="00E15927">
      <w:pPr>
        <w:pStyle w:val="citation"/>
      </w:pPr>
      <w:r>
        <w:t>[60]</w:t>
      </w:r>
      <w:r>
        <w:tab/>
        <w:t>La jurisprudence de la Commission des lésions professionnelles reconnaît cependant que la CSST peut rendre des décisions implicitement, mais dans certaines circonstances bien précises. Pour qu’il y ait décision implicite, il faut une preuve de faits suffisamment graves, précis, concordants pour présumer de l’existence d’une telle décision</w:t>
      </w:r>
      <w:r>
        <w:rPr>
          <w:vertAlign w:val="superscript"/>
        </w:rPr>
        <w:t>3</w:t>
      </w:r>
      <w:r>
        <w:t xml:space="preserve">. Il faut donc des éléments de faits suffisamment explicites pour conclure à l’existence d’une décision implicite </w:t>
      </w:r>
      <w:r w:rsidRPr="00E15927">
        <w:rPr>
          <w:u w:val="single"/>
        </w:rPr>
        <w:t>ou qu’une telle décision s’infère du comportement de la CSST</w:t>
      </w:r>
      <w:r w:rsidRPr="00E15927">
        <w:rPr>
          <w:u w:val="single"/>
          <w:vertAlign w:val="superscript"/>
        </w:rPr>
        <w:t>4</w:t>
      </w:r>
      <w:r w:rsidRPr="00E15927">
        <w:rPr>
          <w:u w:val="single"/>
        </w:rPr>
        <w:t>.</w:t>
      </w:r>
      <w:r>
        <w:t xml:space="preserve"> </w:t>
      </w:r>
      <w:r w:rsidRPr="00E15927">
        <w:rPr>
          <w:u w:val="single"/>
        </w:rPr>
        <w:t>Il faut interpréter ces circonstances de façon restrictive</w:t>
      </w:r>
      <w:r w:rsidRPr="00E15927">
        <w:rPr>
          <w:u w:val="single"/>
          <w:vertAlign w:val="superscript"/>
        </w:rPr>
        <w:t>5</w:t>
      </w:r>
      <w:r>
        <w:t>. En effet, reconnaître qu’une décision implicite a été rendue va à l’encontre du principe voulant que les parties ont le droit d’être informées des décisions rendues par la CSST et, par le fait même, de leur droit de les contester conformément aux articles 354, 355 et 358.5 de la Loi</w:t>
      </w:r>
      <w:r>
        <w:rPr>
          <w:vertAlign w:val="superscript"/>
        </w:rPr>
        <w:t>6</w:t>
      </w:r>
      <w:r>
        <w:t>.</w:t>
      </w:r>
    </w:p>
    <w:p w:rsidR="00E15927" w:rsidRDefault="00E15927" w:rsidP="00E15927">
      <w:pPr>
        <w:pStyle w:val="citation"/>
      </w:pPr>
      <w:r>
        <w:t xml:space="preserve">____________ </w:t>
      </w:r>
    </w:p>
    <w:p w:rsidR="00E15927" w:rsidRPr="00671EE8" w:rsidRDefault="00E15927" w:rsidP="00E15927">
      <w:pPr>
        <w:pStyle w:val="citation"/>
        <w:ind w:left="1418" w:hanging="709"/>
        <w:rPr>
          <w:sz w:val="18"/>
          <w:szCs w:val="18"/>
        </w:rPr>
      </w:pPr>
      <w:r w:rsidRPr="00671EE8">
        <w:rPr>
          <w:sz w:val="18"/>
          <w:szCs w:val="18"/>
          <w:vertAlign w:val="superscript"/>
        </w:rPr>
        <w:t>3</w:t>
      </w:r>
      <w:r w:rsidRPr="00671EE8">
        <w:rPr>
          <w:sz w:val="18"/>
          <w:szCs w:val="18"/>
        </w:rPr>
        <w:t xml:space="preserve"> </w:t>
      </w:r>
      <w:r w:rsidRPr="00671EE8">
        <w:rPr>
          <w:sz w:val="18"/>
          <w:szCs w:val="18"/>
        </w:rPr>
        <w:tab/>
      </w:r>
      <w:r w:rsidRPr="00671EE8">
        <w:rPr>
          <w:i/>
          <w:sz w:val="18"/>
          <w:szCs w:val="18"/>
        </w:rPr>
        <w:t>Vallières et Air Canada</w:t>
      </w:r>
      <w:r w:rsidRPr="00671EE8">
        <w:rPr>
          <w:sz w:val="18"/>
          <w:szCs w:val="18"/>
        </w:rPr>
        <w:t xml:space="preserve">, C.A.L.P. 63381-60-9410, 17 mai </w:t>
      </w:r>
      <w:smartTag w:uri="urn:schemas-microsoft-com:office:smarttags" w:element="metricconverter">
        <w:smartTagPr>
          <w:attr w:name="ProductID" w:val="1996, L"/>
        </w:smartTagPr>
        <w:r w:rsidRPr="00671EE8">
          <w:rPr>
            <w:sz w:val="18"/>
            <w:szCs w:val="18"/>
          </w:rPr>
          <w:t>1996, L</w:t>
        </w:r>
      </w:smartTag>
      <w:r w:rsidRPr="00671EE8">
        <w:rPr>
          <w:sz w:val="18"/>
          <w:szCs w:val="18"/>
        </w:rPr>
        <w:t>. Thibault.</w:t>
      </w:r>
    </w:p>
    <w:p w:rsidR="00E15927" w:rsidRPr="00671EE8" w:rsidRDefault="00E15927" w:rsidP="00E15927">
      <w:pPr>
        <w:pStyle w:val="citation"/>
        <w:ind w:left="1418" w:hanging="709"/>
        <w:rPr>
          <w:sz w:val="18"/>
          <w:szCs w:val="18"/>
        </w:rPr>
      </w:pPr>
      <w:r w:rsidRPr="00671EE8">
        <w:rPr>
          <w:sz w:val="18"/>
          <w:szCs w:val="18"/>
          <w:vertAlign w:val="superscript"/>
        </w:rPr>
        <w:t>4</w:t>
      </w:r>
      <w:r w:rsidRPr="00671EE8">
        <w:rPr>
          <w:sz w:val="18"/>
          <w:szCs w:val="18"/>
        </w:rPr>
        <w:tab/>
      </w:r>
      <w:r w:rsidRPr="00671EE8">
        <w:rPr>
          <w:i/>
          <w:sz w:val="18"/>
          <w:szCs w:val="18"/>
        </w:rPr>
        <w:t>Paquin et Bélisle</w:t>
      </w:r>
      <w:r w:rsidRPr="00671EE8">
        <w:rPr>
          <w:sz w:val="18"/>
          <w:szCs w:val="18"/>
        </w:rPr>
        <w:t xml:space="preserve">, C.L.P. 252220-04-0501, 11 juillet 2005, J.-F. Clément; </w:t>
      </w:r>
      <w:r w:rsidRPr="00671EE8">
        <w:rPr>
          <w:i/>
          <w:sz w:val="18"/>
          <w:szCs w:val="18"/>
        </w:rPr>
        <w:t>Gauvreau et Philip Manufacturing</w:t>
      </w:r>
      <w:r w:rsidRPr="00671EE8">
        <w:rPr>
          <w:sz w:val="18"/>
          <w:szCs w:val="18"/>
        </w:rPr>
        <w:t xml:space="preserve">, C.L.P. 276849-72-0511, 7 juin </w:t>
      </w:r>
      <w:smartTag w:uri="urn:schemas-microsoft-com:office:smarttags" w:element="metricconverter">
        <w:smartTagPr>
          <w:attr w:name="ProductID" w:val="2006, F"/>
        </w:smartTagPr>
        <w:r w:rsidRPr="00671EE8">
          <w:rPr>
            <w:sz w:val="18"/>
            <w:szCs w:val="18"/>
          </w:rPr>
          <w:t>2006, F</w:t>
        </w:r>
      </w:smartTag>
      <w:r w:rsidRPr="00671EE8">
        <w:rPr>
          <w:sz w:val="18"/>
          <w:szCs w:val="18"/>
        </w:rPr>
        <w:t>. Juteau.</w:t>
      </w:r>
    </w:p>
    <w:p w:rsidR="00E15927" w:rsidRPr="00671EE8" w:rsidRDefault="00E15927" w:rsidP="00E15927">
      <w:pPr>
        <w:pStyle w:val="citation"/>
        <w:ind w:left="1418" w:hanging="709"/>
        <w:rPr>
          <w:sz w:val="18"/>
          <w:szCs w:val="18"/>
        </w:rPr>
      </w:pPr>
      <w:r w:rsidRPr="00671EE8">
        <w:rPr>
          <w:sz w:val="18"/>
          <w:szCs w:val="18"/>
          <w:vertAlign w:val="superscript"/>
        </w:rPr>
        <w:t>5</w:t>
      </w:r>
      <w:r w:rsidRPr="00671EE8">
        <w:rPr>
          <w:sz w:val="18"/>
          <w:szCs w:val="18"/>
        </w:rPr>
        <w:t xml:space="preserve"> </w:t>
      </w:r>
      <w:r w:rsidRPr="00671EE8">
        <w:rPr>
          <w:sz w:val="18"/>
          <w:szCs w:val="18"/>
        </w:rPr>
        <w:tab/>
      </w:r>
      <w:r w:rsidRPr="00671EE8">
        <w:rPr>
          <w:i/>
          <w:sz w:val="18"/>
          <w:szCs w:val="18"/>
        </w:rPr>
        <w:t xml:space="preserve">Trudeau et CSST, </w:t>
      </w:r>
      <w:r w:rsidRPr="00671EE8">
        <w:rPr>
          <w:sz w:val="18"/>
          <w:szCs w:val="18"/>
        </w:rPr>
        <w:t>C.L.P. 208842-62A-0305, 27 février 2004, D. Rivard.</w:t>
      </w:r>
    </w:p>
    <w:p w:rsidR="00E15927" w:rsidRPr="00671EE8" w:rsidRDefault="00E15927" w:rsidP="00E15927">
      <w:pPr>
        <w:pStyle w:val="citation"/>
        <w:ind w:left="1418" w:hanging="709"/>
        <w:rPr>
          <w:i/>
          <w:sz w:val="18"/>
          <w:szCs w:val="18"/>
        </w:rPr>
      </w:pPr>
      <w:r w:rsidRPr="00671EE8">
        <w:rPr>
          <w:sz w:val="18"/>
          <w:szCs w:val="18"/>
          <w:vertAlign w:val="superscript"/>
        </w:rPr>
        <w:t>6</w:t>
      </w:r>
      <w:r w:rsidRPr="00671EE8">
        <w:rPr>
          <w:sz w:val="18"/>
          <w:szCs w:val="18"/>
        </w:rPr>
        <w:tab/>
      </w:r>
      <w:r w:rsidRPr="00671EE8">
        <w:rPr>
          <w:i/>
          <w:sz w:val="18"/>
          <w:szCs w:val="18"/>
        </w:rPr>
        <w:t xml:space="preserve">Biello et Ovaltec inc., </w:t>
      </w:r>
      <w:r w:rsidRPr="00671EE8">
        <w:rPr>
          <w:sz w:val="18"/>
          <w:szCs w:val="18"/>
        </w:rPr>
        <w:t xml:space="preserve">C.L.P. 221671-61-0311, 4 mai 2004, B. Lemay, </w:t>
      </w:r>
      <w:r w:rsidRPr="00671EE8">
        <w:rPr>
          <w:i/>
          <w:sz w:val="18"/>
          <w:szCs w:val="18"/>
        </w:rPr>
        <w:t xml:space="preserve">Charest et Beaulieu, </w:t>
      </w:r>
      <w:r w:rsidRPr="00671EE8">
        <w:rPr>
          <w:sz w:val="18"/>
          <w:szCs w:val="18"/>
        </w:rPr>
        <w:t xml:space="preserve">C.L.P. 243650-62B-0409, 25 mai </w:t>
      </w:r>
      <w:smartTag w:uri="urn:schemas-microsoft-com:office:smarttags" w:element="metricconverter">
        <w:smartTagPr>
          <w:attr w:name="ProductID" w:val="2005, M"/>
        </w:smartTagPr>
        <w:r w:rsidRPr="00671EE8">
          <w:rPr>
            <w:sz w:val="18"/>
            <w:szCs w:val="18"/>
          </w:rPr>
          <w:t>2005, M</w:t>
        </w:r>
      </w:smartTag>
      <w:r w:rsidRPr="00671EE8">
        <w:rPr>
          <w:sz w:val="18"/>
          <w:szCs w:val="18"/>
        </w:rPr>
        <w:t>.-D. Lampron.</w:t>
      </w:r>
    </w:p>
    <w:p w:rsidR="00E15927" w:rsidRPr="000122AB" w:rsidRDefault="00CF57AC" w:rsidP="00E15927">
      <w:pPr>
        <w:pStyle w:val="citation"/>
        <w:rPr>
          <w:sz w:val="24"/>
          <w:szCs w:val="24"/>
        </w:rPr>
      </w:pPr>
      <w:r w:rsidRPr="000122AB">
        <w:rPr>
          <w:sz w:val="24"/>
          <w:szCs w:val="24"/>
        </w:rPr>
        <w:t>[N</w:t>
      </w:r>
      <w:r w:rsidR="00E15927" w:rsidRPr="000122AB">
        <w:rPr>
          <w:sz w:val="24"/>
          <w:szCs w:val="24"/>
        </w:rPr>
        <w:t>otre soulignement]</w:t>
      </w:r>
    </w:p>
    <w:p w:rsidR="00E15927" w:rsidRPr="000122AB" w:rsidRDefault="00E15927" w:rsidP="00E15927">
      <w:pPr>
        <w:pStyle w:val="citation"/>
      </w:pPr>
    </w:p>
    <w:p w:rsidR="00E15927" w:rsidRPr="000122AB" w:rsidRDefault="00E15927" w:rsidP="00E15927">
      <w:pPr>
        <w:pStyle w:val="citation"/>
      </w:pPr>
    </w:p>
    <w:p w:rsidR="00E15927" w:rsidRDefault="00E15927" w:rsidP="00E15927">
      <w:pPr>
        <w:pStyle w:val="corpsdedcision"/>
      </w:pPr>
      <w:r w:rsidRPr="000122AB">
        <w:t>De l’avis du Tribunal, les critères permettant de conclure à la</w:t>
      </w:r>
      <w:r w:rsidR="000122AB">
        <w:t xml:space="preserve"> décision implicite ne sont pas</w:t>
      </w:r>
      <w:r w:rsidRPr="000122AB">
        <w:rPr>
          <w:color w:val="C00000"/>
        </w:rPr>
        <w:t xml:space="preserve"> </w:t>
      </w:r>
      <w:r w:rsidR="00C52D5D" w:rsidRPr="000122AB">
        <w:t xml:space="preserve">satisfaits </w:t>
      </w:r>
      <w:r w:rsidRPr="000122AB">
        <w:t>dans le présent dossier. On ne peut déduire du comportement de la Commission qu’elle</w:t>
      </w:r>
      <w:r>
        <w:t xml:space="preserve"> a renoncé à l’application de l’article 52 de la Loi en procédant au versement de l’indemnité de remplacement du revenu le 12</w:t>
      </w:r>
      <w:r w:rsidR="00A4056D">
        <w:t> </w:t>
      </w:r>
      <w:r>
        <w:t>décembre</w:t>
      </w:r>
      <w:r w:rsidR="00A4056D">
        <w:t> </w:t>
      </w:r>
      <w:r>
        <w:t>2017. Ce n’est pas ce qui a été mentionné au travailleur et la persistance de la Commission à vouloir obtenir les relevés de paie et leur traitement rapide à la suite de leur réception vont à l’encontre de la prétention du travailleur voulant que la Commission ait renoncé à réclamer au travailleur l’équivalent du salaire net gagné chez son autre employeur.</w:t>
      </w:r>
    </w:p>
    <w:p w:rsidR="00F73B20" w:rsidRDefault="00D60E68" w:rsidP="004F4D8A">
      <w:pPr>
        <w:pStyle w:val="corpsdedcision"/>
      </w:pPr>
      <w:r>
        <w:t xml:space="preserve">Dès le 29 novembre 2017, la Commission indiquait qu’elle avait communiqué avec le travailleur et l’avait informé </w:t>
      </w:r>
      <w:r w:rsidRPr="00083515">
        <w:rPr>
          <w:u w:val="single"/>
        </w:rPr>
        <w:t>qu’il n’avait droit qu’à la différence entre sa pleine indemnité de remplacement du revenu et le salaire net gagné</w:t>
      </w:r>
      <w:r>
        <w:t xml:space="preserve"> durant la période de référence et que la Commission communiquerait avec l’employeur « Juste du pin » afin que ce dernier lui transmette les relevés de paie, ce</w:t>
      </w:r>
      <w:r w:rsidR="00F034C4">
        <w:t>tte communication s’est faite la</w:t>
      </w:r>
      <w:r>
        <w:t xml:space="preserve"> même journée. </w:t>
      </w:r>
    </w:p>
    <w:p w:rsidR="00F73B20" w:rsidRPr="00EA0B8D" w:rsidRDefault="00F73B20" w:rsidP="004F4D8A">
      <w:pPr>
        <w:pStyle w:val="corpsdedcision"/>
      </w:pPr>
      <w:r>
        <w:t xml:space="preserve">Sans attendre ces relevés, la Commission </w:t>
      </w:r>
      <w:r w:rsidR="004B78F6">
        <w:t>émet son avis de paiement le 12 </w:t>
      </w:r>
      <w:r>
        <w:t>décembre</w:t>
      </w:r>
      <w:r w:rsidR="004B78F6">
        <w:t> </w:t>
      </w:r>
      <w:r>
        <w:t>2017 et le chèque est encaissé par le travailleur le 17 décembre 2017. Le travailleur dit avoir été très surpris de recevoir une telle somme à laquelle il ne s’attendait pas et il dit avoir communiqué avec la Commission avant d’encaisser le chèque pour s’assurer qu’il y avait droit. Il aurait parlé à une personne qu’il ne peut identifier qui l’aurait rassuré sur le fait que cette somme lui appartenait bien. Aucune mention de cet appel ne figure dans les notes évolutives</w:t>
      </w:r>
      <w:r w:rsidRPr="00EA0B8D">
        <w:t>.</w:t>
      </w:r>
      <w:r w:rsidR="00083515" w:rsidRPr="00EA0B8D">
        <w:t xml:space="preserve"> Le Tribunal ne croit pas </w:t>
      </w:r>
      <w:r w:rsidR="00EA0B8D" w:rsidRPr="00EA0B8D">
        <w:t xml:space="preserve">que </w:t>
      </w:r>
      <w:r w:rsidR="00083515" w:rsidRPr="00EA0B8D">
        <w:t xml:space="preserve">le travailleur </w:t>
      </w:r>
      <w:r w:rsidR="000122AB" w:rsidRPr="00EA0B8D">
        <w:t>ait fait cet appel à la Commission avant d’encaisser son chèque</w:t>
      </w:r>
      <w:r w:rsidR="00E15927" w:rsidRPr="00EA0B8D">
        <w:t>.</w:t>
      </w:r>
    </w:p>
    <w:p w:rsidR="00F73B20" w:rsidRPr="00956A1B" w:rsidRDefault="00F73B20" w:rsidP="004F4D8A">
      <w:pPr>
        <w:pStyle w:val="corpsdedcision"/>
      </w:pPr>
      <w:r>
        <w:t xml:space="preserve">Le 17 décembre 2017, le travailleur encaisse son chèque. </w:t>
      </w:r>
      <w:r w:rsidR="00D60E68">
        <w:t>Le 19</w:t>
      </w:r>
      <w:r w:rsidR="00C6700E">
        <w:t> </w:t>
      </w:r>
      <w:r w:rsidR="00D60E68">
        <w:t>décembre</w:t>
      </w:r>
      <w:r w:rsidR="00C6700E">
        <w:t> </w:t>
      </w:r>
      <w:r w:rsidR="00D60E68">
        <w:t xml:space="preserve">2017, la Commission indique </w:t>
      </w:r>
      <w:r w:rsidR="00F034C4">
        <w:t xml:space="preserve">dans les notes évolutives </w:t>
      </w:r>
      <w:r w:rsidR="00D60E68">
        <w:t xml:space="preserve">faire une relance à l’employeur </w:t>
      </w:r>
      <w:r>
        <w:t>« </w:t>
      </w:r>
      <w:r w:rsidR="00D60E68">
        <w:t xml:space="preserve">Juste </w:t>
      </w:r>
      <w:r w:rsidR="00D60E68" w:rsidRPr="00956A1B">
        <w:t>du pin</w:t>
      </w:r>
      <w:r w:rsidRPr="00956A1B">
        <w:t> »</w:t>
      </w:r>
      <w:r w:rsidR="00F034C4" w:rsidRPr="00956A1B">
        <w:t xml:space="preserve"> pour obtenir l</w:t>
      </w:r>
      <w:r w:rsidR="00D60E68" w:rsidRPr="00956A1B">
        <w:t>es relevés</w:t>
      </w:r>
      <w:r w:rsidR="00F034C4" w:rsidRPr="00956A1B">
        <w:t xml:space="preserve"> de paie</w:t>
      </w:r>
      <w:r w:rsidR="00D60E68" w:rsidRPr="00956A1B">
        <w:t xml:space="preserve">. </w:t>
      </w:r>
    </w:p>
    <w:p w:rsidR="00D60E68" w:rsidRPr="00956A1B" w:rsidRDefault="00D60E68" w:rsidP="004F4D8A">
      <w:pPr>
        <w:pStyle w:val="corpsdedcision"/>
      </w:pPr>
      <w:r w:rsidRPr="00956A1B">
        <w:t xml:space="preserve">Le 18 janvier </w:t>
      </w:r>
      <w:r w:rsidR="002213AD" w:rsidRPr="00956A1B">
        <w:t>2018</w:t>
      </w:r>
      <w:r w:rsidRPr="00956A1B">
        <w:t>, la Comm</w:t>
      </w:r>
      <w:r w:rsidR="00E15927" w:rsidRPr="00956A1B">
        <w:t>ission avise le travailleur qu’elle</w:t>
      </w:r>
      <w:r w:rsidRPr="00956A1B">
        <w:t xml:space="preserve"> n’</w:t>
      </w:r>
      <w:r w:rsidR="00E15927" w:rsidRPr="00956A1B">
        <w:t>a</w:t>
      </w:r>
      <w:r w:rsidRPr="00956A1B">
        <w:t xml:space="preserve"> toujours pas reçu ses talons de paie de l’employeur</w:t>
      </w:r>
      <w:r w:rsidR="00F73B20" w:rsidRPr="00956A1B">
        <w:t xml:space="preserve"> et elle lui demande de contacter son employeur.</w:t>
      </w:r>
      <w:r w:rsidR="00083515" w:rsidRPr="00956A1B">
        <w:t xml:space="preserve"> Assez étrangement, le travailleur ne questionne pas l’agente sur les raisons pour lesquelles la Commission veut toujours avoir ses talons de paie compte tenu qu’il a déjà reçu s</w:t>
      </w:r>
      <w:r w:rsidR="00F034C4" w:rsidRPr="00956A1B">
        <w:t>a pleine indemnité</w:t>
      </w:r>
      <w:r w:rsidR="000122AB" w:rsidRPr="00956A1B">
        <w:t xml:space="preserve"> et cet appel aurait dû alerter le travailleur sur le fait qu’il était susceptible de faire l’objet d’une réclamation pour la différence entre l’indemnité de remplacement du revenu reçue et son salaire net gagné.</w:t>
      </w:r>
    </w:p>
    <w:p w:rsidR="00F73B20" w:rsidRPr="000122AB" w:rsidRDefault="00F73B20" w:rsidP="00A93C55">
      <w:pPr>
        <w:pStyle w:val="corpsdedcision"/>
        <w:spacing w:after="240"/>
      </w:pPr>
      <w:r w:rsidRPr="000122AB">
        <w:t xml:space="preserve">Les talons de paie sont reçus </w:t>
      </w:r>
      <w:r w:rsidR="00F034C4" w:rsidRPr="000122AB">
        <w:t xml:space="preserve">par la Commission </w:t>
      </w:r>
      <w:r w:rsidRPr="000122AB">
        <w:t>le 24 janvier 2018 et le calcul du surpayé est effectué le même jour. Le travailleur est informé de ce surpayé le 30</w:t>
      </w:r>
      <w:r w:rsidR="00B342C6" w:rsidRPr="000122AB">
        <w:t> </w:t>
      </w:r>
      <w:r w:rsidRPr="000122AB">
        <w:t>janvier</w:t>
      </w:r>
      <w:r w:rsidR="00B342C6" w:rsidRPr="000122AB">
        <w:t> </w:t>
      </w:r>
      <w:r w:rsidRPr="000122AB">
        <w:t xml:space="preserve">2018 par un appel de Madame </w:t>
      </w:r>
      <w:r w:rsidR="00A93C55" w:rsidRPr="000122AB">
        <w:t xml:space="preserve">Myriam </w:t>
      </w:r>
      <w:r w:rsidRPr="000122AB">
        <w:t>Lafontaine</w:t>
      </w:r>
      <w:r w:rsidR="00A93C55" w:rsidRPr="000122AB">
        <w:t>, agent d’indemnisation à la Commission</w:t>
      </w:r>
      <w:r w:rsidRPr="000122AB">
        <w:t>.</w:t>
      </w:r>
      <w:r w:rsidR="00083515" w:rsidRPr="000122AB">
        <w:t xml:space="preserve"> Il convient d’en reproduire le compte-rendu :</w:t>
      </w:r>
    </w:p>
    <w:p w:rsidR="00F73B20" w:rsidRPr="000122AB" w:rsidRDefault="00F73B20" w:rsidP="00F73B20">
      <w:pPr>
        <w:pStyle w:val="citation"/>
      </w:pPr>
      <w:r w:rsidRPr="000122AB">
        <w:t>[…]</w:t>
      </w:r>
    </w:p>
    <w:p w:rsidR="00F73B20" w:rsidRPr="000122AB" w:rsidRDefault="00F73B20" w:rsidP="00F73B20">
      <w:pPr>
        <w:pStyle w:val="citation"/>
        <w:rPr>
          <w:b/>
        </w:rPr>
      </w:pPr>
    </w:p>
    <w:p w:rsidR="00F73B20" w:rsidRPr="000122AB" w:rsidRDefault="00F73B20" w:rsidP="00F73B20">
      <w:pPr>
        <w:pStyle w:val="citation"/>
        <w:rPr>
          <w:b/>
        </w:rPr>
      </w:pPr>
      <w:r w:rsidRPr="000122AB">
        <w:rPr>
          <w:b/>
        </w:rPr>
        <w:t xml:space="preserve">Appel fait a T pour </w:t>
      </w:r>
      <w:r w:rsidR="00A93C55" w:rsidRPr="000122AB">
        <w:rPr>
          <w:b/>
        </w:rPr>
        <w:t>l</w:t>
      </w:r>
      <w:r w:rsidRPr="000122AB">
        <w:rPr>
          <w:b/>
        </w:rPr>
        <w:t>’informer qu’il n’avait pas droit au montant reçu.</w:t>
      </w:r>
    </w:p>
    <w:p w:rsidR="00F73B20" w:rsidRPr="000122AB" w:rsidRDefault="00F73B20" w:rsidP="00F73B20">
      <w:pPr>
        <w:pStyle w:val="citation"/>
        <w:rPr>
          <w:u w:val="single"/>
        </w:rPr>
      </w:pPr>
      <w:r w:rsidRPr="000122AB">
        <w:t xml:space="preserve">Je </w:t>
      </w:r>
      <w:r w:rsidR="00A93C55" w:rsidRPr="000122AB">
        <w:t>l</w:t>
      </w:r>
      <w:r w:rsidRPr="000122AB">
        <w:t>’informe qu’iI n’avait pas droit au 2205</w:t>
      </w:r>
      <w:r w:rsidR="00F034C4" w:rsidRPr="000122AB">
        <w:t>1.32$. Que nous devions verser l</w:t>
      </w:r>
      <w:r w:rsidRPr="000122AB">
        <w:t xml:space="preserve">a différence des </w:t>
      </w:r>
      <w:r w:rsidR="00F034C4" w:rsidRPr="000122AB">
        <w:t>IRR entre son nouvel emploi et l</w:t>
      </w:r>
      <w:r w:rsidRPr="000122AB">
        <w:t>a base salariale établi dans ce dossier. Je ne nie pas qu’une erreur a été fait de notre côté, par contre, nous n’avons pas le choix d’exiger ces sommes. T dit qu’iI a déjà dépensé</w:t>
      </w:r>
      <w:r w:rsidR="00F034C4" w:rsidRPr="000122AB">
        <w:t xml:space="preserve"> une partir de ce montant, qu’il</w:t>
      </w:r>
      <w:r w:rsidRPr="000122AB">
        <w:t xml:space="preserve"> devra parler à son avocat. Je lui indique que I’erreur est humaine, par contre, </w:t>
      </w:r>
      <w:r w:rsidRPr="000122AB">
        <w:rPr>
          <w:u w:val="single"/>
        </w:rPr>
        <w:t>la prochaine fois</w:t>
      </w:r>
      <w:r w:rsidR="00F034C4" w:rsidRPr="000122AB">
        <w:rPr>
          <w:u w:val="single"/>
        </w:rPr>
        <w:t xml:space="preserve"> je lui suggère de vérifier s’il a droit à ces sommes ou non l</w:t>
      </w:r>
      <w:r w:rsidRPr="000122AB">
        <w:rPr>
          <w:u w:val="single"/>
        </w:rPr>
        <w:t>a prochaine fois.</w:t>
      </w:r>
    </w:p>
    <w:p w:rsidR="00F73B20" w:rsidRPr="000122AB" w:rsidRDefault="00F73B20" w:rsidP="00F73B20">
      <w:pPr>
        <w:pStyle w:val="citation"/>
      </w:pPr>
    </w:p>
    <w:p w:rsidR="00083515" w:rsidRPr="00A93C55" w:rsidRDefault="00083515" w:rsidP="00F73B20">
      <w:pPr>
        <w:pStyle w:val="citation"/>
        <w:rPr>
          <w:sz w:val="24"/>
          <w:szCs w:val="24"/>
        </w:rPr>
      </w:pPr>
      <w:r w:rsidRPr="000122AB">
        <w:rPr>
          <w:sz w:val="24"/>
          <w:szCs w:val="24"/>
        </w:rPr>
        <w:t>[</w:t>
      </w:r>
      <w:r w:rsidR="00A93C55" w:rsidRPr="000122AB">
        <w:rPr>
          <w:sz w:val="24"/>
          <w:szCs w:val="24"/>
        </w:rPr>
        <w:t>N</w:t>
      </w:r>
      <w:r w:rsidRPr="000122AB">
        <w:rPr>
          <w:sz w:val="24"/>
          <w:szCs w:val="24"/>
        </w:rPr>
        <w:t xml:space="preserve">otre </w:t>
      </w:r>
      <w:r w:rsidR="00D837AB" w:rsidRPr="000122AB">
        <w:rPr>
          <w:sz w:val="24"/>
          <w:szCs w:val="24"/>
        </w:rPr>
        <w:t>soulignement</w:t>
      </w:r>
      <w:r w:rsidR="00AD31D0" w:rsidRPr="000122AB">
        <w:rPr>
          <w:sz w:val="24"/>
          <w:szCs w:val="24"/>
        </w:rPr>
        <w:t xml:space="preserve"> et </w:t>
      </w:r>
      <w:r w:rsidR="00D837AB" w:rsidRPr="000122AB">
        <w:rPr>
          <w:sz w:val="24"/>
          <w:szCs w:val="24"/>
        </w:rPr>
        <w:t>Transcription textuelle]</w:t>
      </w:r>
    </w:p>
    <w:p w:rsidR="00083515" w:rsidRDefault="00083515" w:rsidP="00F73B20">
      <w:pPr>
        <w:pStyle w:val="citation"/>
      </w:pPr>
    </w:p>
    <w:p w:rsidR="00083515" w:rsidRDefault="00083515" w:rsidP="00F73B20">
      <w:pPr>
        <w:pStyle w:val="citation"/>
      </w:pPr>
    </w:p>
    <w:p w:rsidR="00AD31D0" w:rsidRDefault="00AD31D0" w:rsidP="00F73B20">
      <w:pPr>
        <w:pStyle w:val="citation"/>
      </w:pPr>
    </w:p>
    <w:p w:rsidR="00AD31D0" w:rsidRDefault="00AD31D0" w:rsidP="00F73B20">
      <w:pPr>
        <w:pStyle w:val="citation"/>
      </w:pPr>
    </w:p>
    <w:p w:rsidR="00083515" w:rsidRDefault="00083515" w:rsidP="00083515">
      <w:pPr>
        <w:pStyle w:val="corpsdedcision"/>
      </w:pPr>
      <w:r>
        <w:t xml:space="preserve">Si comme le prétend le travailleur, </w:t>
      </w:r>
      <w:r w:rsidR="00F034C4">
        <w:t xml:space="preserve">après la réception de son chèque, </w:t>
      </w:r>
      <w:r>
        <w:t>il avait communiqué avec un</w:t>
      </w:r>
      <w:r w:rsidR="00684312">
        <w:t>e</w:t>
      </w:r>
      <w:r>
        <w:t xml:space="preserve"> agent</w:t>
      </w:r>
      <w:r w:rsidR="00684312">
        <w:t>e</w:t>
      </w:r>
      <w:r>
        <w:t xml:space="preserve"> de la Commission pour s’assurer qu’il y avait droit, il l’aurait assurément mentionné à mada</w:t>
      </w:r>
      <w:r w:rsidR="00E15927">
        <w:t xml:space="preserve">me Lafontaine lors de cet appel. Or, </w:t>
      </w:r>
      <w:r>
        <w:t xml:space="preserve">aucune mention en ce sens n’est </w:t>
      </w:r>
      <w:r w:rsidR="00671EE8">
        <w:t xml:space="preserve">rapportée </w:t>
      </w:r>
      <w:r w:rsidR="00684312">
        <w:t>dans les notes évolutives</w:t>
      </w:r>
      <w:r w:rsidR="00F034C4">
        <w:t>,</w:t>
      </w:r>
      <w:r>
        <w:t xml:space="preserve"> </w:t>
      </w:r>
      <w:r w:rsidR="00F034C4">
        <w:t xml:space="preserve">un autre indice </w:t>
      </w:r>
      <w:r>
        <w:t xml:space="preserve">qui démontre que l’appel du mois de décembre n’a </w:t>
      </w:r>
      <w:r w:rsidR="00F034C4">
        <w:t xml:space="preserve">sans doute </w:t>
      </w:r>
      <w:r>
        <w:t>pas été fait.</w:t>
      </w:r>
    </w:p>
    <w:p w:rsidR="00684312" w:rsidRDefault="00684312" w:rsidP="00083515">
      <w:pPr>
        <w:pStyle w:val="corpsdedcision"/>
      </w:pPr>
      <w:r>
        <w:t xml:space="preserve">La Commission allègue qu’il </w:t>
      </w:r>
      <w:r w:rsidR="00671EE8">
        <w:t xml:space="preserve">peut s’agir aussi </w:t>
      </w:r>
      <w:r>
        <w:t>d’une</w:t>
      </w:r>
      <w:r w:rsidR="0029457A">
        <w:t xml:space="preserve"> erreur de sa part, mais s’agit</w:t>
      </w:r>
      <w:r w:rsidR="0029457A">
        <w:noBreakHyphen/>
        <w:t xml:space="preserve">il </w:t>
      </w:r>
      <w:r>
        <w:t xml:space="preserve">vraiment d’une erreur? Rien dans la Loi ne prévoit qu’avant de verser une indemnité de remplacement du revenu, la Commission doit </w:t>
      </w:r>
      <w:r w:rsidR="002A6073">
        <w:t xml:space="preserve">attendre de recevoir les talons de paie du travailleur afin de </w:t>
      </w:r>
      <w:r>
        <w:t>déduire le salaire gagné durant la période de référence</w:t>
      </w:r>
      <w:r w:rsidR="002A6073">
        <w:t xml:space="preserve"> avant de verser l’indemnité de remplacement du revenu</w:t>
      </w:r>
      <w:r>
        <w:t xml:space="preserve">. Cet exercice peut se faire en deux temps. Rien ne s’oppose à ce que la Commission verse </w:t>
      </w:r>
      <w:r w:rsidR="002A6073">
        <w:t>l</w:t>
      </w:r>
      <w:r>
        <w:t xml:space="preserve">a pleine indemnité de remplacement du revenu pour ensuite réclamer l’équivalent du salaire net gagné lorsqu’elle </w:t>
      </w:r>
      <w:r w:rsidR="0029457A">
        <w:t xml:space="preserve">est </w:t>
      </w:r>
      <w:r>
        <w:t>en posse</w:t>
      </w:r>
      <w:r w:rsidR="002A6073">
        <w:t>ssion des pièces justificatives, en application de l’article 52 de la Loi.</w:t>
      </w:r>
      <w:r w:rsidR="00E66AB2">
        <w:t xml:space="preserve"> C’est ce qu’elle a fait dans le présent dossier. Bien qu’imprudente, cette façon de procéder n’est pa</w:t>
      </w:r>
      <w:r w:rsidR="00E15927">
        <w:t>s contraire à la Loi et n’est pas génératrice de droit pour le travailleur.</w:t>
      </w:r>
    </w:p>
    <w:p w:rsidR="00E66AB2" w:rsidRPr="00E66AB2" w:rsidRDefault="00E66AB2" w:rsidP="00E66AB2">
      <w:pPr>
        <w:pStyle w:val="corpsdedcision"/>
        <w:numPr>
          <w:ilvl w:val="0"/>
          <w:numId w:val="0"/>
        </w:numPr>
        <w:rPr>
          <w:b/>
        </w:rPr>
      </w:pPr>
      <w:r w:rsidRPr="00E66AB2">
        <w:rPr>
          <w:b/>
        </w:rPr>
        <w:t>La remise de dette</w:t>
      </w:r>
    </w:p>
    <w:p w:rsidR="00E66AB2" w:rsidRDefault="00E66AB2" w:rsidP="00E66AB2">
      <w:pPr>
        <w:pStyle w:val="corpsdedcision"/>
      </w:pPr>
      <w:r>
        <w:t>L’article</w:t>
      </w:r>
      <w:r w:rsidR="00E15927">
        <w:t xml:space="preserve"> 430 de la Loi prévoit qu’une personne qui a reçu une prestation à laquelle elle n’a pas droit ou dont le montant excède celui auquel elle a droit, doit rembourser le trop-perçu à la Commission. L’article </w:t>
      </w:r>
      <w:r>
        <w:t>437 de la Loi prévoit que le travailleur peut demander à la Commission de lui accorder une remise de dette.</w:t>
      </w:r>
    </w:p>
    <w:p w:rsidR="00E66AB2" w:rsidRDefault="00E66AB2">
      <w:pPr>
        <w:pStyle w:val="articlesdelaLATMP"/>
      </w:pPr>
      <w:r w:rsidRPr="00C2361D">
        <w:rPr>
          <w:b/>
        </w:rPr>
        <w:t>437.</w:t>
      </w:r>
      <w:r>
        <w:t xml:space="preserve"> La Commission peut, même après le dépôt du certificat, faire remise de la dette si elle le juge équitable en raison notamment de la bonne foi du débiteur ou de sa situation financière.</w:t>
      </w:r>
    </w:p>
    <w:p w:rsidR="00E66AB2" w:rsidRDefault="00E66AB2">
      <w:pPr>
        <w:pStyle w:val="articlesdelaLATMP"/>
      </w:pPr>
    </w:p>
    <w:p w:rsidR="00E66AB2" w:rsidRDefault="00E66AB2">
      <w:pPr>
        <w:pStyle w:val="articlesdelaLATMP"/>
      </w:pPr>
      <w:r>
        <w:t>Cependant, la Commission ne peut faire remise d'une dette qu'elle est tenue de recouvrer en vertu du quatrième alinéa de l'article 60 ou de l'article 133.</w:t>
      </w:r>
    </w:p>
    <w:p w:rsidR="00E66AB2" w:rsidRDefault="00E66AB2">
      <w:pPr>
        <w:pStyle w:val="articlesdelaLATMP"/>
      </w:pPr>
      <w:r>
        <w:t>__________</w:t>
      </w:r>
    </w:p>
    <w:p w:rsidR="00E66AB2" w:rsidRDefault="00E66AB2">
      <w:pPr>
        <w:pStyle w:val="articlesdelaLATMP"/>
      </w:pPr>
      <w:r>
        <w:t>1985, c. 6, a. 437.</w:t>
      </w:r>
    </w:p>
    <w:p w:rsidR="00E66AB2" w:rsidRDefault="00E66AB2">
      <w:pPr>
        <w:pStyle w:val="articlesdelaLATMP"/>
      </w:pPr>
    </w:p>
    <w:p w:rsidR="00E66AB2" w:rsidRDefault="00E66AB2">
      <w:pPr>
        <w:pStyle w:val="articlesdelaLATMP"/>
      </w:pPr>
    </w:p>
    <w:p w:rsidR="00E66AB2" w:rsidRDefault="00E66AB2" w:rsidP="00E66AB2">
      <w:pPr>
        <w:pStyle w:val="corpsdedcision"/>
        <w:tabs>
          <w:tab w:val="clear" w:pos="360"/>
        </w:tabs>
      </w:pPr>
      <w:r>
        <w:t xml:space="preserve">Le travailleur n’a pas transmis de demande de remise de dette à la Commission, sa prétention étant plutôt qu’il avait droit de ne pas rembourser cette somme. Comme il s’agit d’une prétention subsidiaire et que le Tribunal peut rendre la décision qui aurait dû être rendue et que le travailleur a administré une certaine preuve à cet égard, le Tribunal considère qu’il peut se saisir de cette demande. </w:t>
      </w:r>
    </w:p>
    <w:p w:rsidR="009F6092" w:rsidRPr="009F6092" w:rsidRDefault="00DC279D" w:rsidP="00E66AB2">
      <w:pPr>
        <w:pStyle w:val="corpsdedcision"/>
      </w:pPr>
      <w:r>
        <w:t xml:space="preserve">Dans l’affaire </w:t>
      </w:r>
      <w:r w:rsidRPr="00DC279D">
        <w:rPr>
          <w:i/>
        </w:rPr>
        <w:t xml:space="preserve">Roger </w:t>
      </w:r>
      <w:r w:rsidRPr="00DC279D">
        <w:t>et</w:t>
      </w:r>
      <w:r w:rsidRPr="00DC279D">
        <w:rPr>
          <w:i/>
        </w:rPr>
        <w:t xml:space="preserve"> Ferme Rosaire Blais &amp; Fils inc</w:t>
      </w:r>
      <w:r w:rsidRPr="00DC279D">
        <w:t>.</w:t>
      </w:r>
      <w:r w:rsidRPr="00DC279D">
        <w:rPr>
          <w:rStyle w:val="Appelnotedebasdep"/>
        </w:rPr>
        <w:footnoteReference w:id="5"/>
      </w:r>
      <w:r w:rsidRPr="00DC279D">
        <w:t xml:space="preserve">, la Commission des lésions professionnelles nous rappelait </w:t>
      </w:r>
      <w:r>
        <w:t xml:space="preserve">que </w:t>
      </w:r>
      <w:r w:rsidR="009F6092" w:rsidRPr="009F6092">
        <w:t>la bonne foi et la situation financière du travailleur</w:t>
      </w:r>
      <w:r>
        <w:t xml:space="preserve"> ne sont pas les seuls critères à considérer aux fins de déterminer si le travailleur a droit à une remise de dette citant </w:t>
      </w:r>
      <w:r w:rsidR="009F6092" w:rsidRPr="009F6092">
        <w:t xml:space="preserve">l’affaire </w:t>
      </w:r>
      <w:r w:rsidR="009F6092" w:rsidRPr="009F6092">
        <w:rPr>
          <w:i/>
        </w:rPr>
        <w:t>Proulx</w:t>
      </w:r>
      <w:r w:rsidR="009F6092" w:rsidRPr="009F6092">
        <w:t xml:space="preserve"> </w:t>
      </w:r>
      <w:r w:rsidR="009F6092" w:rsidRPr="00F854E1">
        <w:t>et</w:t>
      </w:r>
      <w:r w:rsidR="009F6092" w:rsidRPr="009F6092">
        <w:rPr>
          <w:i/>
        </w:rPr>
        <w:t xml:space="preserve"> Fédération UPA Centre-du-Québec</w:t>
      </w:r>
      <w:r w:rsidR="009F6092" w:rsidRPr="009F6092">
        <w:rPr>
          <w:vertAlign w:val="superscript"/>
        </w:rPr>
        <w:footnoteReference w:id="6"/>
      </w:r>
      <w:r w:rsidR="009F6092" w:rsidRPr="009F6092">
        <w:t xml:space="preserve">, </w:t>
      </w:r>
      <w:r>
        <w:t>dans laquelle on peut lire ce qui suit :</w:t>
      </w:r>
    </w:p>
    <w:p w:rsidR="009F6092" w:rsidRPr="009F6092" w:rsidRDefault="009F6092" w:rsidP="009F6092">
      <w:pPr>
        <w:ind w:left="720" w:right="720"/>
        <w:jc w:val="both"/>
        <w:rPr>
          <w:sz w:val="20"/>
        </w:rPr>
      </w:pPr>
      <w:r w:rsidRPr="009F6092">
        <w:rPr>
          <w:sz w:val="20"/>
        </w:rPr>
        <w:t>[23]</w:t>
      </w:r>
      <w:r w:rsidR="00F854E1">
        <w:rPr>
          <w:sz w:val="20"/>
        </w:rPr>
        <w:t xml:space="preserve"> </w:t>
      </w:r>
      <w:r w:rsidRPr="009F6092">
        <w:rPr>
          <w:sz w:val="20"/>
        </w:rPr>
        <w:t>Afin de déterminer s’il y a lieu ou non de procéder à une remise de dette, le tribunal doit appliquer les critères énoncés à l’article 437 de la loi et, à ce sujet, il a déjà été déterminé que les deux critères énoncés, soit la bonne foi ou la condition financière n’étaient pas les seuls éléments à prendre en considération dans l’analyse des motifs pouvant être invoqués dans le cadre d’une demande de remise de dette. Tout autre élément pertinent doit également être pris en considération afin de déterminer le caractère équitable d’une telle décision.</w:t>
      </w:r>
    </w:p>
    <w:p w:rsidR="009F6092" w:rsidRPr="009F6092" w:rsidRDefault="009F6092" w:rsidP="009F6092">
      <w:pPr>
        <w:ind w:right="720"/>
        <w:jc w:val="both"/>
        <w:rPr>
          <w:sz w:val="18"/>
          <w:szCs w:val="18"/>
        </w:rPr>
      </w:pPr>
    </w:p>
    <w:p w:rsidR="009F6092" w:rsidRPr="009F6092" w:rsidRDefault="009F6092" w:rsidP="009F6092">
      <w:pPr>
        <w:ind w:right="720"/>
        <w:jc w:val="both"/>
        <w:rPr>
          <w:sz w:val="18"/>
          <w:szCs w:val="18"/>
        </w:rPr>
      </w:pPr>
    </w:p>
    <w:p w:rsidR="009F6092" w:rsidRPr="009F6092" w:rsidRDefault="009F6092" w:rsidP="008877E7">
      <w:pPr>
        <w:pStyle w:val="corpsdedcision"/>
      </w:pPr>
      <w:r w:rsidRPr="009F6092">
        <w:t>La Commission de</w:t>
      </w:r>
      <w:r w:rsidR="00DC279D">
        <w:t>s lésions professionnelles écrivait</w:t>
      </w:r>
      <w:r w:rsidRPr="009F6092">
        <w:t xml:space="preserve"> sensiblement la même chose dans l’affaire </w:t>
      </w:r>
      <w:r w:rsidRPr="009F6092">
        <w:rPr>
          <w:i/>
        </w:rPr>
        <w:t xml:space="preserve">Carrière </w:t>
      </w:r>
      <w:r w:rsidRPr="00F854E1">
        <w:t xml:space="preserve">et </w:t>
      </w:r>
      <w:r w:rsidRPr="009F6092">
        <w:rPr>
          <w:i/>
        </w:rPr>
        <w:t>Dyne-A-Pak inc.</w:t>
      </w:r>
      <w:r w:rsidRPr="009F6092">
        <w:rPr>
          <w:vertAlign w:val="superscript"/>
        </w:rPr>
        <w:footnoteReference w:id="7"/>
      </w:r>
      <w:r w:rsidRPr="009F6092">
        <w:t> :</w:t>
      </w:r>
    </w:p>
    <w:p w:rsidR="009F6092" w:rsidRDefault="009F6092" w:rsidP="009F6092">
      <w:pPr>
        <w:ind w:left="720" w:right="720"/>
        <w:jc w:val="both"/>
        <w:rPr>
          <w:sz w:val="20"/>
        </w:rPr>
      </w:pPr>
      <w:r w:rsidRPr="009F6092">
        <w:rPr>
          <w:sz w:val="20"/>
        </w:rPr>
        <w:t>[28] Devant la Commission des lésions professionnelles, la travailleuse invoque plusieurs motifs susceptibles de justifier une telle remise de dette, notamment l’absence d’information en temps utile concernant l’application possible des dispositions de l’article 430 de la loi et le fait que plus d’un an s’est écoulé entre le versement de l’indemnité pour préjudice corporel et la décision de la Commission des lésions professionnelles, puis la décision du 11 janvier 2007. On doit aussi reconnaître que, vu sa situation financière actuelle, le remboursement d’une somme de 4 878,03 $ plongerait la travailleuse dans l’embarras.</w:t>
      </w:r>
    </w:p>
    <w:p w:rsidR="00AC3BB4" w:rsidRPr="009F6092" w:rsidRDefault="00AC3BB4" w:rsidP="009F6092">
      <w:pPr>
        <w:ind w:left="720" w:right="720"/>
        <w:jc w:val="both"/>
        <w:rPr>
          <w:sz w:val="20"/>
        </w:rPr>
      </w:pPr>
    </w:p>
    <w:p w:rsidR="009F6092" w:rsidRPr="009F6092" w:rsidRDefault="009F6092" w:rsidP="009F6092">
      <w:pPr>
        <w:ind w:left="720" w:right="720"/>
        <w:jc w:val="both"/>
        <w:rPr>
          <w:sz w:val="20"/>
        </w:rPr>
      </w:pPr>
      <w:r w:rsidRPr="009F6092">
        <w:rPr>
          <w:sz w:val="20"/>
        </w:rPr>
        <w:t>[29] Bref, plusieurs critères sont réunis pour justifier l’application des dispositions de l’article 437 en l’espèce.</w:t>
      </w:r>
    </w:p>
    <w:p w:rsidR="009F6092" w:rsidRPr="009F6092" w:rsidRDefault="009F6092" w:rsidP="009F6092">
      <w:pPr>
        <w:ind w:right="720"/>
        <w:jc w:val="both"/>
        <w:rPr>
          <w:sz w:val="16"/>
          <w:szCs w:val="16"/>
        </w:rPr>
      </w:pPr>
    </w:p>
    <w:p w:rsidR="009F6092" w:rsidRPr="009F6092" w:rsidRDefault="009F6092" w:rsidP="009F6092">
      <w:pPr>
        <w:ind w:right="720"/>
        <w:jc w:val="both"/>
        <w:rPr>
          <w:sz w:val="16"/>
          <w:szCs w:val="16"/>
        </w:rPr>
      </w:pPr>
    </w:p>
    <w:p w:rsidR="009F6092" w:rsidRPr="009F6092" w:rsidRDefault="009F6092" w:rsidP="008877E7">
      <w:pPr>
        <w:pStyle w:val="corpsdedcision"/>
      </w:pPr>
      <w:r w:rsidRPr="009F6092">
        <w:t xml:space="preserve">Sans se prononcer sur le bienfondé d’accorder une remise de dette, la Commission des lésions professionnelles, dans l’affaire </w:t>
      </w:r>
      <w:r w:rsidRPr="009F6092">
        <w:rPr>
          <w:i/>
        </w:rPr>
        <w:t>Sirois</w:t>
      </w:r>
      <w:r w:rsidRPr="009F6092">
        <w:t xml:space="preserve"> </w:t>
      </w:r>
      <w:r w:rsidRPr="00AC3BB4">
        <w:t>et</w:t>
      </w:r>
      <w:r w:rsidRPr="009F6092">
        <w:rPr>
          <w:i/>
        </w:rPr>
        <w:t xml:space="preserve"> Chemin de fer de la Matapédia </w:t>
      </w:r>
      <w:r w:rsidRPr="00AC3BB4">
        <w:rPr>
          <w:i/>
        </w:rPr>
        <w:t>et</w:t>
      </w:r>
      <w:r w:rsidRPr="009F6092">
        <w:rPr>
          <w:i/>
        </w:rPr>
        <w:t xml:space="preserve"> du Golfe</w:t>
      </w:r>
      <w:r w:rsidRPr="009F6092">
        <w:rPr>
          <w:vertAlign w:val="superscript"/>
        </w:rPr>
        <w:footnoteReference w:id="8"/>
      </w:r>
      <w:r w:rsidRPr="009F6092">
        <w:t>, répète que la bonne foi et la situation financière ne sont pas les seuls éléments à considérer :</w:t>
      </w:r>
    </w:p>
    <w:p w:rsidR="009F6092" w:rsidRPr="009F6092" w:rsidRDefault="007201EE" w:rsidP="009F6092">
      <w:pPr>
        <w:ind w:left="720" w:right="720"/>
        <w:jc w:val="both"/>
        <w:rPr>
          <w:sz w:val="20"/>
        </w:rPr>
      </w:pPr>
      <w:r>
        <w:rPr>
          <w:sz w:val="20"/>
        </w:rPr>
        <w:t xml:space="preserve">[38] </w:t>
      </w:r>
      <w:r w:rsidR="009F6092" w:rsidRPr="009F6092">
        <w:rPr>
          <w:sz w:val="20"/>
        </w:rPr>
        <w:t>Le tribunal tient par ailleurs à préciser qu’en plus des critères de bonne foi et de situation financière du travailleur, la Commission des lésions professionnelles peut évaluer plusieurs autres critères qui militent en faveur du travailleur pour obtenir une remise de dette de la part de la CSST</w:t>
      </w:r>
      <w:r w:rsidR="009F6092" w:rsidRPr="009F6092">
        <w:rPr>
          <w:sz w:val="20"/>
          <w:vertAlign w:val="superscript"/>
        </w:rPr>
        <w:t>4</w:t>
      </w:r>
      <w:r w:rsidR="009F6092" w:rsidRPr="009F6092">
        <w:rPr>
          <w:sz w:val="20"/>
        </w:rPr>
        <w:t>. En effet, ce ne sont pas les seuls éléments que la CSST doit considérer pour déterminer s’il est équitable ou non de faire une remise de dette.</w:t>
      </w:r>
    </w:p>
    <w:p w:rsidR="009F6092" w:rsidRDefault="009F6092" w:rsidP="009F6092">
      <w:pPr>
        <w:ind w:left="720" w:right="720"/>
        <w:jc w:val="both"/>
        <w:rPr>
          <w:sz w:val="12"/>
          <w:szCs w:val="12"/>
        </w:rPr>
      </w:pPr>
    </w:p>
    <w:p w:rsidR="00AC3BB4" w:rsidRDefault="00AC3BB4" w:rsidP="009F6092">
      <w:pPr>
        <w:ind w:left="720" w:right="720"/>
        <w:jc w:val="both"/>
        <w:rPr>
          <w:sz w:val="12"/>
          <w:szCs w:val="12"/>
        </w:rPr>
      </w:pPr>
    </w:p>
    <w:p w:rsidR="00AC3BB4" w:rsidRDefault="00AC3BB4" w:rsidP="009F6092">
      <w:pPr>
        <w:ind w:left="720" w:right="720"/>
        <w:jc w:val="both"/>
        <w:rPr>
          <w:sz w:val="12"/>
          <w:szCs w:val="12"/>
        </w:rPr>
      </w:pPr>
    </w:p>
    <w:p w:rsidR="00AC3BB4" w:rsidRDefault="00AC3BB4" w:rsidP="009F6092">
      <w:pPr>
        <w:ind w:left="720" w:right="720"/>
        <w:jc w:val="both"/>
        <w:rPr>
          <w:sz w:val="12"/>
          <w:szCs w:val="12"/>
        </w:rPr>
      </w:pPr>
    </w:p>
    <w:p w:rsidR="00AC3BB4" w:rsidRPr="009F6092" w:rsidRDefault="00AC3BB4" w:rsidP="009F6092">
      <w:pPr>
        <w:ind w:left="720" w:right="720"/>
        <w:jc w:val="both"/>
        <w:rPr>
          <w:sz w:val="12"/>
          <w:szCs w:val="12"/>
        </w:rPr>
      </w:pPr>
    </w:p>
    <w:p w:rsidR="009F6092" w:rsidRPr="009F6092" w:rsidRDefault="009F6092" w:rsidP="009F6092">
      <w:pPr>
        <w:ind w:left="720" w:right="720"/>
        <w:jc w:val="both"/>
        <w:rPr>
          <w:sz w:val="20"/>
        </w:rPr>
      </w:pPr>
      <w:r w:rsidRPr="009F6092">
        <w:rPr>
          <w:sz w:val="20"/>
        </w:rPr>
        <w:t>[39] La soussignée estime que la CSST pourrait notamment prendre en considération l’importance de la dette du travailleur par rapport à son revenu annuel, les circonstances ayant créé le surpayé et les raisons l’ayant motivée à refuser toute capitalisation conformément à l’article 131, car les conditions prévues à cet article auraient pu être analysées et être possiblement applicables.</w:t>
      </w:r>
    </w:p>
    <w:p w:rsidR="009F6092" w:rsidRPr="009F6092" w:rsidRDefault="009F6092" w:rsidP="009F6092">
      <w:pPr>
        <w:ind w:left="720" w:right="720"/>
        <w:jc w:val="both"/>
        <w:rPr>
          <w:sz w:val="12"/>
          <w:szCs w:val="12"/>
        </w:rPr>
      </w:pPr>
    </w:p>
    <w:p w:rsidR="009F6092" w:rsidRPr="009F6092" w:rsidRDefault="009F6092" w:rsidP="009F6092">
      <w:pPr>
        <w:ind w:left="720" w:right="720"/>
        <w:jc w:val="both"/>
        <w:rPr>
          <w:sz w:val="20"/>
        </w:rPr>
      </w:pPr>
      <w:r w:rsidRPr="009F6092">
        <w:rPr>
          <w:sz w:val="20"/>
        </w:rPr>
        <w:t>[40]</w:t>
      </w:r>
      <w:r w:rsidR="00AC3BB4">
        <w:rPr>
          <w:sz w:val="20"/>
        </w:rPr>
        <w:t xml:space="preserve"> </w:t>
      </w:r>
      <w:r w:rsidRPr="009F6092">
        <w:rPr>
          <w:sz w:val="20"/>
        </w:rPr>
        <w:t>Finalement, la CSST possède le pouvoir discrétionnaire de tenir compte de l’ensemble des faits au dossier démontrant que le travailleur est dans une situation particulière.</w:t>
      </w:r>
    </w:p>
    <w:p w:rsidR="009F6092" w:rsidRPr="009F6092" w:rsidRDefault="009F6092" w:rsidP="009F6092">
      <w:pPr>
        <w:ind w:left="720" w:right="720"/>
        <w:jc w:val="both"/>
        <w:rPr>
          <w:sz w:val="20"/>
        </w:rPr>
      </w:pPr>
      <w:r w:rsidRPr="009F6092">
        <w:rPr>
          <w:sz w:val="20"/>
        </w:rPr>
        <w:t>_______________</w:t>
      </w:r>
    </w:p>
    <w:p w:rsidR="009F6092" w:rsidRPr="009F6092" w:rsidRDefault="009F6092" w:rsidP="009F6092">
      <w:pPr>
        <w:spacing w:before="120"/>
        <w:ind w:left="720" w:right="720"/>
        <w:jc w:val="both"/>
        <w:rPr>
          <w:sz w:val="18"/>
          <w:szCs w:val="18"/>
        </w:rPr>
      </w:pPr>
      <w:r w:rsidRPr="009F6092">
        <w:rPr>
          <w:sz w:val="20"/>
          <w:vertAlign w:val="superscript"/>
        </w:rPr>
        <w:t>4</w:t>
      </w:r>
      <w:r w:rsidRPr="009F6092">
        <w:rPr>
          <w:sz w:val="18"/>
          <w:szCs w:val="18"/>
        </w:rPr>
        <w:tab/>
      </w:r>
      <w:r w:rsidRPr="009F6092">
        <w:rPr>
          <w:rFonts w:cs="Arial"/>
          <w:i/>
          <w:sz w:val="18"/>
          <w:szCs w:val="18"/>
        </w:rPr>
        <w:t xml:space="preserve">Proulx </w:t>
      </w:r>
      <w:r w:rsidRPr="009F6092">
        <w:rPr>
          <w:rFonts w:cs="Arial"/>
          <w:sz w:val="18"/>
          <w:szCs w:val="18"/>
        </w:rPr>
        <w:t xml:space="preserve">et </w:t>
      </w:r>
      <w:r w:rsidRPr="009F6092">
        <w:rPr>
          <w:rFonts w:cs="Arial"/>
          <w:i/>
          <w:sz w:val="18"/>
          <w:szCs w:val="18"/>
        </w:rPr>
        <w:t>Fédération U.P.A. Centre du Québec</w:t>
      </w:r>
      <w:r w:rsidRPr="009F6092">
        <w:rPr>
          <w:rFonts w:cs="Arial"/>
          <w:sz w:val="18"/>
          <w:szCs w:val="18"/>
        </w:rPr>
        <w:t>, [2005] C.L.P. 510.</w:t>
      </w:r>
    </w:p>
    <w:p w:rsidR="009F6092" w:rsidRPr="009F6092" w:rsidRDefault="009F6092" w:rsidP="009F6092">
      <w:pPr>
        <w:ind w:right="720"/>
        <w:jc w:val="both"/>
        <w:rPr>
          <w:sz w:val="16"/>
          <w:szCs w:val="16"/>
        </w:rPr>
      </w:pPr>
    </w:p>
    <w:p w:rsidR="001A05E9" w:rsidRDefault="00DC279D" w:rsidP="00EC7BDF">
      <w:pPr>
        <w:pStyle w:val="corpsdedcision"/>
        <w:spacing w:after="200"/>
      </w:pPr>
      <w:r>
        <w:t xml:space="preserve">Pour les mêmes motifs que ceux exposés dans l’affaire </w:t>
      </w:r>
      <w:r w:rsidRPr="001A05E9">
        <w:rPr>
          <w:i/>
        </w:rPr>
        <w:t xml:space="preserve">Roger </w:t>
      </w:r>
      <w:r w:rsidRPr="00DC279D">
        <w:t>et</w:t>
      </w:r>
      <w:r w:rsidRPr="001A05E9">
        <w:rPr>
          <w:i/>
        </w:rPr>
        <w:t xml:space="preserve"> Ferme Rosaire Blais &amp; Fils inc</w:t>
      </w:r>
      <w:r w:rsidRPr="00DC279D">
        <w:t>.</w:t>
      </w:r>
      <w:r>
        <w:rPr>
          <w:rStyle w:val="Appelnotedebasdep"/>
        </w:rPr>
        <w:footnoteReference w:id="9"/>
      </w:r>
      <w:r>
        <w:t>, l</w:t>
      </w:r>
      <w:r w:rsidR="009F6092" w:rsidRPr="009F6092">
        <w:t xml:space="preserve">e </w:t>
      </w:r>
      <w:r w:rsidR="008877E7">
        <w:t>T</w:t>
      </w:r>
      <w:r w:rsidR="009F6092" w:rsidRPr="009F6092">
        <w:t xml:space="preserve">ribunal </w:t>
      </w:r>
      <w:r w:rsidR="008877E7">
        <w:t xml:space="preserve">est d’avis </w:t>
      </w:r>
      <w:r w:rsidR="009F6092" w:rsidRPr="009F6092">
        <w:t xml:space="preserve">que le travailleur </w:t>
      </w:r>
      <w:r w:rsidR="008877E7">
        <w:t xml:space="preserve">n’a pas droit </w:t>
      </w:r>
      <w:r w:rsidR="001A05E9">
        <w:t>à une remise de dette :</w:t>
      </w:r>
      <w:r w:rsidR="009F6092" w:rsidRPr="009F6092">
        <w:t xml:space="preserve"> </w:t>
      </w:r>
    </w:p>
    <w:p w:rsidR="001A05E9" w:rsidRDefault="001A05E9" w:rsidP="001A05E9">
      <w:pPr>
        <w:pStyle w:val="citation"/>
      </w:pPr>
      <w:r w:rsidRPr="001A05E9">
        <w:t>[135]</w:t>
      </w:r>
      <w:r w:rsidRPr="001A05E9">
        <w:tab/>
        <w:t>Le tribunal croit qu’il était de la responsabilité du travailleur de mettre ces sommes d’argent de côté, le temps que la CSST opère une compensation entre le salaire réellement gagné et le montant de l’indemnité de remplacement du revenu versée.</w:t>
      </w:r>
    </w:p>
    <w:p w:rsidR="001A05E9" w:rsidRDefault="001A05E9" w:rsidP="00E26FD6">
      <w:pPr>
        <w:pStyle w:val="citation"/>
      </w:pPr>
    </w:p>
    <w:p w:rsidR="00E26FD6" w:rsidRDefault="001A05E9" w:rsidP="00E26FD6">
      <w:pPr>
        <w:pStyle w:val="citation"/>
      </w:pPr>
      <w:r>
        <w:t>[136</w:t>
      </w:r>
      <w:r w:rsidRPr="001A05E9">
        <w:t>]</w:t>
      </w:r>
      <w:r>
        <w:tab/>
      </w:r>
      <w:r w:rsidR="00E26FD6" w:rsidRPr="009F6092">
        <w:t xml:space="preserve">Le travailleur a reçu une prestation à laquelle il n’avait pas droit et il doit rembourser les sommes reçues en trop. Le travailleur ne peut bénéficier à la fois d’une indemnité de remplacement du revenu et de son salaire. </w:t>
      </w:r>
      <w:r w:rsidR="00E26FD6" w:rsidRPr="001A05E9">
        <w:rPr>
          <w:u w:val="single"/>
        </w:rPr>
        <w:t>Une prestation ne peut être considérée comme ayant été reçue à bon droit du seul fait que le travailleur était de bonne foi</w:t>
      </w:r>
      <w:r>
        <w:rPr>
          <w:vertAlign w:val="superscript"/>
        </w:rPr>
        <w:t>25</w:t>
      </w:r>
      <w:r w:rsidR="00E26FD6" w:rsidRPr="009F6092">
        <w:t>.</w:t>
      </w:r>
    </w:p>
    <w:p w:rsidR="00E26FD6" w:rsidRPr="009F6092" w:rsidRDefault="00E26FD6" w:rsidP="00E26FD6">
      <w:pPr>
        <w:pStyle w:val="citation"/>
      </w:pPr>
    </w:p>
    <w:p w:rsidR="00E26FD6" w:rsidRDefault="001A05E9" w:rsidP="00E26FD6">
      <w:pPr>
        <w:pStyle w:val="citation"/>
      </w:pPr>
      <w:r>
        <w:t>[137</w:t>
      </w:r>
      <w:r w:rsidRPr="001A05E9">
        <w:t>]</w:t>
      </w:r>
      <w:r>
        <w:tab/>
      </w:r>
      <w:r w:rsidR="00E26FD6" w:rsidRPr="009F6092">
        <w:t xml:space="preserve">Même si le pourcentage de récupération résulte de l’erreur d’un agent de la CSST, cela n’est pas générateur de droit pour le travailleur. En effet, il faut appliquer ici la règle du remboursement comme cela a été le cas dans l’affaire </w:t>
      </w:r>
      <w:r w:rsidR="00E26FD6" w:rsidRPr="009F6092">
        <w:rPr>
          <w:i/>
        </w:rPr>
        <w:t>Dallaire et Transport Cabano-Kingsway inc.</w:t>
      </w:r>
      <w:r>
        <w:rPr>
          <w:vertAlign w:val="superscript"/>
        </w:rPr>
        <w:t>26</w:t>
      </w:r>
      <w:r w:rsidR="00E26FD6" w:rsidRPr="009F6092">
        <w:t>, où la Commission des lésions professionnelles rappelle ce principe :</w:t>
      </w:r>
    </w:p>
    <w:p w:rsidR="00E26FD6" w:rsidRPr="009F6092" w:rsidRDefault="00E26FD6" w:rsidP="00E26FD6">
      <w:pPr>
        <w:pStyle w:val="citation"/>
      </w:pPr>
    </w:p>
    <w:p w:rsidR="00E26FD6" w:rsidRPr="00491B2D" w:rsidRDefault="00E26FD6" w:rsidP="00E26FD6">
      <w:pPr>
        <w:pStyle w:val="Citationendoubleretrait"/>
        <w:rPr>
          <w:sz w:val="18"/>
          <w:szCs w:val="18"/>
        </w:rPr>
      </w:pPr>
      <w:r w:rsidRPr="00491B2D">
        <w:rPr>
          <w:rFonts w:cs="Arial"/>
          <w:sz w:val="18"/>
          <w:szCs w:val="18"/>
        </w:rPr>
        <w:t>[48]</w:t>
      </w:r>
      <w:r w:rsidRPr="00491B2D">
        <w:rPr>
          <w:sz w:val="18"/>
          <w:szCs w:val="18"/>
        </w:rPr>
        <w:t xml:space="preserve"> Le manque de communication et la négligence qui ont pu régner à la CSST dans le cadre de ce dossier ainsi que l’erreur qu’elle a pu commettre en n’agissant pas plus rapidement ne peuvent être générateurs de droit pour le travailleur. La jurisprudence a ainsi mentionné à plusieurs reprises que la CSST pouvait réclamer des sommes versées sans droit à la suite d’une erreur qu’elle avait commise</w:t>
      </w:r>
      <w:r w:rsidRPr="00491B2D">
        <w:rPr>
          <w:sz w:val="18"/>
          <w:szCs w:val="18"/>
          <w:vertAlign w:val="superscript"/>
        </w:rPr>
        <w:t>11</w:t>
      </w:r>
      <w:r w:rsidRPr="00491B2D">
        <w:rPr>
          <w:sz w:val="18"/>
          <w:szCs w:val="18"/>
        </w:rPr>
        <w:t>. Ce genre d’erreur ne fait pas en sorte que la somme versée ne l’a pas été sans droit au sens de l’article 430. Il s’agit cependant de motifs que le travailleur peut faire valoir auprès de la CSST dans le cadre de l’exercice de son pouvoir prévu à l’article 437 de la Loi tout en ayant à l’esprit les dispositions prévues à l’article 351 qui se lit comme suit :</w:t>
      </w:r>
    </w:p>
    <w:p w:rsidR="00E26FD6" w:rsidRPr="00491B2D" w:rsidRDefault="00E26FD6" w:rsidP="00E26FD6">
      <w:pPr>
        <w:ind w:left="720" w:right="720"/>
        <w:jc w:val="both"/>
        <w:rPr>
          <w:sz w:val="18"/>
          <w:szCs w:val="18"/>
        </w:rPr>
      </w:pPr>
    </w:p>
    <w:p w:rsidR="00E26FD6" w:rsidRPr="00491B2D" w:rsidRDefault="00E26FD6" w:rsidP="00E26FD6">
      <w:pPr>
        <w:ind w:left="1985" w:right="1440"/>
        <w:jc w:val="both"/>
        <w:rPr>
          <w:rFonts w:cs="Arial"/>
          <w:sz w:val="18"/>
          <w:szCs w:val="18"/>
        </w:rPr>
      </w:pPr>
      <w:r w:rsidRPr="00491B2D">
        <w:rPr>
          <w:rFonts w:cs="Arial"/>
          <w:b/>
          <w:sz w:val="18"/>
          <w:szCs w:val="18"/>
        </w:rPr>
        <w:t>351.</w:t>
      </w:r>
      <w:r w:rsidRPr="00491B2D">
        <w:rPr>
          <w:rFonts w:cs="Arial"/>
          <w:sz w:val="18"/>
          <w:szCs w:val="18"/>
        </w:rPr>
        <w:t xml:space="preserve"> La Commission rend ses décisions suivant l'équité, d'après le mérite réel et la justice du cas.</w:t>
      </w:r>
    </w:p>
    <w:p w:rsidR="00E26FD6" w:rsidRPr="00491B2D" w:rsidRDefault="00E26FD6" w:rsidP="00E26FD6">
      <w:pPr>
        <w:ind w:left="1985" w:right="720"/>
        <w:jc w:val="both"/>
        <w:rPr>
          <w:sz w:val="18"/>
          <w:szCs w:val="18"/>
        </w:rPr>
      </w:pPr>
    </w:p>
    <w:p w:rsidR="00E26FD6" w:rsidRPr="00491B2D" w:rsidRDefault="00E26FD6" w:rsidP="00E26FD6">
      <w:pPr>
        <w:ind w:left="1985" w:right="1440"/>
        <w:jc w:val="both"/>
        <w:rPr>
          <w:rFonts w:cs="Arial"/>
          <w:sz w:val="18"/>
          <w:szCs w:val="18"/>
        </w:rPr>
      </w:pPr>
      <w:r w:rsidRPr="00491B2D">
        <w:rPr>
          <w:rFonts w:cs="Arial"/>
          <w:sz w:val="18"/>
          <w:szCs w:val="18"/>
        </w:rPr>
        <w:t>Elle peut, par tous les moyens légaux qu'elle juge les meilleurs, s'enquérir des matières qui lui sont attribuées.</w:t>
      </w:r>
    </w:p>
    <w:p w:rsidR="00E26FD6" w:rsidRPr="00491B2D" w:rsidRDefault="00E26FD6" w:rsidP="00E26FD6">
      <w:pPr>
        <w:ind w:left="1985" w:right="1440"/>
        <w:jc w:val="both"/>
        <w:rPr>
          <w:rFonts w:cs="Arial"/>
          <w:sz w:val="18"/>
          <w:szCs w:val="18"/>
        </w:rPr>
      </w:pPr>
      <w:r w:rsidRPr="00491B2D">
        <w:rPr>
          <w:rFonts w:cs="Arial"/>
          <w:sz w:val="18"/>
          <w:szCs w:val="18"/>
        </w:rPr>
        <w:t>________</w:t>
      </w:r>
    </w:p>
    <w:p w:rsidR="00E26FD6" w:rsidRPr="00491B2D" w:rsidRDefault="00E26FD6" w:rsidP="00E26FD6">
      <w:pPr>
        <w:ind w:left="1985" w:right="1440"/>
        <w:jc w:val="both"/>
        <w:rPr>
          <w:rFonts w:cs="Arial"/>
          <w:sz w:val="18"/>
          <w:szCs w:val="18"/>
        </w:rPr>
      </w:pPr>
      <w:r w:rsidRPr="00491B2D">
        <w:rPr>
          <w:rFonts w:cs="Arial"/>
          <w:sz w:val="18"/>
          <w:szCs w:val="18"/>
        </w:rPr>
        <w:t>1985, c. 6, a. 351; 1997, c. 27, a. 13.</w:t>
      </w:r>
    </w:p>
    <w:p w:rsidR="00E26FD6" w:rsidRPr="00491B2D" w:rsidRDefault="00E26FD6" w:rsidP="00E26FD6">
      <w:pPr>
        <w:ind w:left="720" w:right="720"/>
        <w:jc w:val="both"/>
        <w:rPr>
          <w:sz w:val="18"/>
          <w:szCs w:val="18"/>
        </w:rPr>
      </w:pPr>
      <w:r w:rsidRPr="00491B2D">
        <w:rPr>
          <w:sz w:val="18"/>
          <w:szCs w:val="18"/>
        </w:rPr>
        <w:t>______________________________________</w:t>
      </w:r>
    </w:p>
    <w:p w:rsidR="00A3370A" w:rsidRDefault="00A3370A" w:rsidP="00E26FD6">
      <w:pPr>
        <w:ind w:left="720" w:right="720"/>
        <w:jc w:val="both"/>
        <w:rPr>
          <w:sz w:val="18"/>
          <w:szCs w:val="18"/>
        </w:rPr>
      </w:pPr>
    </w:p>
    <w:p w:rsidR="00A3370A" w:rsidRPr="00A3370A" w:rsidRDefault="00A3370A" w:rsidP="00AC3BB4">
      <w:pPr>
        <w:ind w:left="1410" w:right="720" w:hanging="690"/>
        <w:jc w:val="both"/>
        <w:rPr>
          <w:sz w:val="18"/>
          <w:szCs w:val="18"/>
        </w:rPr>
      </w:pPr>
      <w:r>
        <w:rPr>
          <w:sz w:val="18"/>
          <w:szCs w:val="18"/>
          <w:vertAlign w:val="superscript"/>
        </w:rPr>
        <w:t>25</w:t>
      </w:r>
      <w:r w:rsidRPr="00A3370A">
        <w:rPr>
          <w:sz w:val="18"/>
          <w:szCs w:val="18"/>
        </w:rPr>
        <w:t xml:space="preserve"> </w:t>
      </w:r>
      <w:r w:rsidRPr="00A3370A">
        <w:rPr>
          <w:sz w:val="18"/>
          <w:szCs w:val="18"/>
        </w:rPr>
        <w:tab/>
      </w:r>
      <w:r w:rsidRPr="00A3370A">
        <w:rPr>
          <w:i/>
          <w:sz w:val="18"/>
          <w:szCs w:val="18"/>
        </w:rPr>
        <w:t xml:space="preserve">Therrien </w:t>
      </w:r>
      <w:r w:rsidRPr="00A3370A">
        <w:rPr>
          <w:sz w:val="18"/>
          <w:szCs w:val="18"/>
        </w:rPr>
        <w:t xml:space="preserve">et </w:t>
      </w:r>
      <w:r w:rsidRPr="00A3370A">
        <w:rPr>
          <w:i/>
          <w:sz w:val="18"/>
          <w:szCs w:val="18"/>
        </w:rPr>
        <w:t>Brake Parts Canada inc. Mtl</w:t>
      </w:r>
      <w:r w:rsidRPr="00A3370A">
        <w:rPr>
          <w:sz w:val="18"/>
          <w:szCs w:val="18"/>
        </w:rPr>
        <w:t>, C.L.P. 151450-63-0011, 6 septembre 2001, J.</w:t>
      </w:r>
      <w:r w:rsidRPr="00A3370A">
        <w:rPr>
          <w:sz w:val="18"/>
          <w:szCs w:val="18"/>
        </w:rPr>
        <w:noBreakHyphen/>
        <w:t>M. Charrette.</w:t>
      </w:r>
    </w:p>
    <w:p w:rsidR="00A3370A" w:rsidRDefault="00A3370A" w:rsidP="00A3370A">
      <w:pPr>
        <w:ind w:left="720" w:right="720"/>
        <w:jc w:val="both"/>
        <w:rPr>
          <w:sz w:val="18"/>
          <w:szCs w:val="18"/>
        </w:rPr>
      </w:pPr>
      <w:r>
        <w:rPr>
          <w:sz w:val="18"/>
          <w:szCs w:val="18"/>
          <w:vertAlign w:val="superscript"/>
        </w:rPr>
        <w:t>26</w:t>
      </w:r>
      <w:r w:rsidRPr="00A3370A">
        <w:rPr>
          <w:sz w:val="18"/>
          <w:szCs w:val="18"/>
        </w:rPr>
        <w:tab/>
        <w:t>C.L.P. 186049-02-0206, 30 mai 2003, J.-F. Clément.</w:t>
      </w:r>
    </w:p>
    <w:p w:rsidR="000122AB" w:rsidRDefault="000122AB" w:rsidP="00A3370A">
      <w:pPr>
        <w:ind w:left="720" w:right="720"/>
        <w:jc w:val="both"/>
        <w:rPr>
          <w:sz w:val="18"/>
          <w:szCs w:val="18"/>
        </w:rPr>
      </w:pPr>
    </w:p>
    <w:p w:rsidR="000122AB" w:rsidRPr="00EC7BDF" w:rsidRDefault="000122AB" w:rsidP="00A3370A">
      <w:pPr>
        <w:ind w:left="720" w:right="720"/>
        <w:jc w:val="both"/>
        <w:rPr>
          <w:szCs w:val="24"/>
        </w:rPr>
      </w:pPr>
      <w:r w:rsidRPr="00EC7BDF">
        <w:rPr>
          <w:szCs w:val="24"/>
        </w:rPr>
        <w:t>[</w:t>
      </w:r>
      <w:r w:rsidR="00EC7BDF" w:rsidRPr="00EC7BDF">
        <w:rPr>
          <w:szCs w:val="24"/>
        </w:rPr>
        <w:t>N</w:t>
      </w:r>
      <w:r w:rsidRPr="00EC7BDF">
        <w:rPr>
          <w:szCs w:val="24"/>
        </w:rPr>
        <w:t>otre soulignement]</w:t>
      </w:r>
    </w:p>
    <w:p w:rsidR="00FB03B5" w:rsidRPr="000122AB" w:rsidRDefault="00FB03B5" w:rsidP="001D5DF0">
      <w:pPr>
        <w:pStyle w:val="corpsdedcision"/>
      </w:pPr>
      <w:r>
        <w:t xml:space="preserve">La bonne foi du travailleur dans le présent dossier est sujette à caution lorsque l’on considère que </w:t>
      </w:r>
      <w:r w:rsidR="001A05E9" w:rsidRPr="001A05E9">
        <w:t>dès que la décision du Tribunal portant sur l’emploi convenable a été rendue, il a été informé par la Commission qu’il n’avait droit qu’à la différence entre la pleine indemnité de remplacement du revenu et le revenu tiré de son nouvel emploi. Lorsqu’il a reçu le chèque, il reconnait lui-même qu’il était conscient du fait qu’il n’avait pas droit à ce plein montant et qu’il s’exposait à devoir en rembourser une grande partie</w:t>
      </w:r>
      <w:r>
        <w:t xml:space="preserve"> tel qu’il en avait été avisé quelques jours plus tôt</w:t>
      </w:r>
      <w:r w:rsidR="001A05E9" w:rsidRPr="001A05E9">
        <w:t>.</w:t>
      </w:r>
      <w:r>
        <w:t xml:space="preserve"> Le travailleur a été très imprudent, si sa version est vraie, en s’empressant de dépenser rapidement la somme alors qu’il était conscient qu’elle </w:t>
      </w:r>
      <w:r w:rsidR="009672C4">
        <w:t xml:space="preserve">pourrait être </w:t>
      </w:r>
      <w:r>
        <w:t>sujette à</w:t>
      </w:r>
      <w:r w:rsidR="00B91C63">
        <w:t xml:space="preserve"> une demande de remboursement. </w:t>
      </w:r>
      <w:r>
        <w:t xml:space="preserve">Le </w:t>
      </w:r>
      <w:r w:rsidR="009672C4">
        <w:t xml:space="preserve">travailleur </w:t>
      </w:r>
      <w:r w:rsidR="00B91C63">
        <w:t xml:space="preserve">plaide sa </w:t>
      </w:r>
      <w:r w:rsidR="00B91C63" w:rsidRPr="000122AB">
        <w:t xml:space="preserve">bonne foi, </w:t>
      </w:r>
      <w:r w:rsidRPr="000122AB">
        <w:t xml:space="preserve">mais il </w:t>
      </w:r>
      <w:r w:rsidR="00A3370A" w:rsidRPr="000122AB">
        <w:t xml:space="preserve">a refusé de rembourser le solde qu’il lui restait, </w:t>
      </w:r>
      <w:r w:rsidR="009672C4" w:rsidRPr="000122AB">
        <w:t xml:space="preserve">lorsqu’il a été </w:t>
      </w:r>
      <w:r w:rsidR="00A3370A" w:rsidRPr="000122AB">
        <w:t>informé du fait qu’il n</w:t>
      </w:r>
      <w:r w:rsidR="009672C4" w:rsidRPr="000122AB">
        <w:t>’</w:t>
      </w:r>
      <w:r w:rsidRPr="000122AB">
        <w:t>avait pas droit</w:t>
      </w:r>
      <w:r w:rsidR="009672C4" w:rsidRPr="000122AB">
        <w:t xml:space="preserve"> à la totalité de la somme reçue</w:t>
      </w:r>
      <w:r w:rsidRPr="000122AB">
        <w:t>.</w:t>
      </w:r>
      <w:r w:rsidR="00A3370A" w:rsidRPr="000122AB">
        <w:t xml:space="preserve"> </w:t>
      </w:r>
    </w:p>
    <w:p w:rsidR="00DC279D" w:rsidRDefault="00DC279D" w:rsidP="008877E7">
      <w:pPr>
        <w:pStyle w:val="corpsdedcision"/>
      </w:pPr>
      <w:r w:rsidRPr="000122AB">
        <w:t>Le Tribunal juge peu vraisemblable la version du travailleur voulant qu’une grande partie de cette somme ait été consacrée au remplacement de ses portes et fenêtres et que sans cette somme la rénovation n’aurait pas été fait</w:t>
      </w:r>
      <w:r w:rsidR="00AF3F8F" w:rsidRPr="000122AB">
        <w:t>e. La somme est encaissée le 17 </w:t>
      </w:r>
      <w:r w:rsidRPr="000122AB">
        <w:t>décembre</w:t>
      </w:r>
      <w:r w:rsidR="00AF3F8F" w:rsidRPr="000122AB">
        <w:t> </w:t>
      </w:r>
      <w:r w:rsidRPr="000122AB">
        <w:t xml:space="preserve">2017 et elle aurait été pratiquement toute dépensée le 30 janvier 2018 dans des </w:t>
      </w:r>
      <w:r w:rsidRPr="00B71F4D">
        <w:t>rénovations</w:t>
      </w:r>
      <w:r w:rsidR="0036536A" w:rsidRPr="00B71F4D">
        <w:t xml:space="preserve"> alors que le 18 janvier 2018, le travailleur savait que la Commission attendait toujours ses talons de paie</w:t>
      </w:r>
      <w:r w:rsidRPr="00B71F4D">
        <w:t>. L</w:t>
      </w:r>
      <w:r w:rsidRPr="000122AB">
        <w:t>e travailleur, en quelques jours</w:t>
      </w:r>
      <w:r w:rsidR="0036536A">
        <w:t>,</w:t>
      </w:r>
      <w:r w:rsidRPr="000122AB">
        <w:t xml:space="preserve"> aurait pris la décision de remplacer ses portes et fenêtres, les aurait commandées, reçues et payées avant l</w:t>
      </w:r>
      <w:r w:rsidR="00E26FD6" w:rsidRPr="000122AB">
        <w:t xml:space="preserve">e </w:t>
      </w:r>
      <w:r w:rsidR="0036536A">
        <w:t xml:space="preserve">18 ou </w:t>
      </w:r>
      <w:r w:rsidR="00E26FD6" w:rsidRPr="000122AB">
        <w:t>30</w:t>
      </w:r>
      <w:r w:rsidR="00AF3F8F" w:rsidRPr="000122AB">
        <w:t> </w:t>
      </w:r>
      <w:r w:rsidR="00E26FD6" w:rsidRPr="000122AB">
        <w:t>janvier</w:t>
      </w:r>
      <w:r w:rsidR="00AF3F8F" w:rsidRPr="000122AB">
        <w:t> </w:t>
      </w:r>
      <w:r w:rsidR="00E26FD6" w:rsidRPr="000122AB">
        <w:t>201</w:t>
      </w:r>
      <w:r w:rsidR="00AF3F8F" w:rsidRPr="000122AB">
        <w:t>8 alors qu’il y a le congé des F</w:t>
      </w:r>
      <w:r w:rsidR="00E26FD6" w:rsidRPr="000122AB">
        <w:t>êtes à considérer. C’est peu vraisemblable. Si les travaux étaient réalisés et payés le 30 janvier, c’</w:t>
      </w:r>
      <w:r w:rsidR="00FB03B5" w:rsidRPr="000122AB">
        <w:t>est</w:t>
      </w:r>
      <w:r w:rsidR="00E26FD6" w:rsidRPr="000122AB">
        <w:t xml:space="preserve"> probablement dû au fait que la décision de les faire avait été prise avant de recevoir</w:t>
      </w:r>
      <w:r w:rsidR="00E26FD6">
        <w:t xml:space="preserve"> le paiement de la Commission. Le travailleur n’a d’ailleurs déposé aucune pièce justificative pour démontrer le montant consacré à ces travaux et le mo</w:t>
      </w:r>
      <w:r w:rsidR="00A3370A">
        <w:t>ment où ils ont été réalisés</w:t>
      </w:r>
      <w:r w:rsidR="00E26FD6">
        <w:t>. À tout événement, le travailleur conserve la valeur de cet investissement, il n’est pas appauvri pour autant.</w:t>
      </w:r>
    </w:p>
    <w:p w:rsidR="00E26FD6" w:rsidRDefault="00E26FD6" w:rsidP="008877E7">
      <w:pPr>
        <w:pStyle w:val="corpsdedcision"/>
      </w:pPr>
      <w:r>
        <w:t xml:space="preserve">Le travailleur mentionne qu’il a utilisé </w:t>
      </w:r>
      <w:r w:rsidR="00A3370A">
        <w:t xml:space="preserve">une autre partie de la somme </w:t>
      </w:r>
      <w:r>
        <w:t>pour rembourser certaines dettes. Sa situation</w:t>
      </w:r>
      <w:r w:rsidR="00FB03B5">
        <w:t xml:space="preserve"> financière</w:t>
      </w:r>
      <w:r>
        <w:t xml:space="preserve"> n’est pas modifiée pour autant, il se retrouve avec une dette équivalente à rembourser à la Commission</w:t>
      </w:r>
      <w:r w:rsidR="009672C4">
        <w:t>,</w:t>
      </w:r>
      <w:r w:rsidR="00FB03B5">
        <w:t xml:space="preserve"> ce n’est que le créancier qui a été remplacé</w:t>
      </w:r>
      <w:r>
        <w:t xml:space="preserve">. </w:t>
      </w:r>
    </w:p>
    <w:p w:rsidR="00FB03B5" w:rsidRDefault="00E26FD6" w:rsidP="00E26FD6">
      <w:pPr>
        <w:pStyle w:val="corpsdedcision"/>
      </w:pPr>
      <w:r>
        <w:t>Le travailleur allègue également qu’il a perdu le bénéfice de certaines allocations ou crédits d’impôt. Le Tribunal considère qu’il était très imprudent de sa part d’inclure des revenus sujets à un remboursement dans ses déclarations fiscales alors qu’au moment de préparer ses déclarations, il savait que ce montant faisait l’objet d’une demande de remboursement. À tout événement, des déclarations fiscales amendées pourront être produites après le remboursement afin qu’il récupère ses crédits et allocations perdus</w:t>
      </w:r>
      <w:r w:rsidR="00A3370A">
        <w:t xml:space="preserve"> pour l’année fiscale concernée</w:t>
      </w:r>
      <w:r>
        <w:t>.</w:t>
      </w:r>
    </w:p>
    <w:p w:rsidR="00E26FD6" w:rsidRDefault="00FB03B5" w:rsidP="00E26FD6">
      <w:pPr>
        <w:pStyle w:val="corpsdedcision"/>
      </w:pPr>
      <w:r>
        <w:t>Le Tribunal retournera le dossier à la Commission afin qu’elle convienne avec le travailleur des modalités de remboursement qui tiendront compte de s</w:t>
      </w:r>
      <w:r w:rsidR="009672C4">
        <w:t>a situation financière actuelle</w:t>
      </w:r>
      <w:r>
        <w:t>. Le Tribunal comprend que le travailleur est de nouveau prestataire de la Commission à la suite d’une nouvelle lésion professionnelle survenue chez son nouvel employeur.</w:t>
      </w:r>
      <w:r w:rsidR="00E26FD6">
        <w:t xml:space="preserve"> </w:t>
      </w:r>
    </w:p>
    <w:p w:rsidR="00C74B6F" w:rsidRDefault="00C74B6F">
      <w:pPr>
        <w:pStyle w:val="Dispositif"/>
      </w:pPr>
      <w:r>
        <w:rPr>
          <w:b/>
        </w:rPr>
        <w:t>P</w:t>
      </w:r>
      <w:r w:rsidR="00D07FA6">
        <w:rPr>
          <w:b/>
        </w:rPr>
        <w:t>AR CES MOTIFS, LE TRIBUNAL ADMINISTRATIF DU TRAVAIL</w:t>
      </w:r>
      <w:r>
        <w:rPr>
          <w:b/>
        </w:rPr>
        <w:t> :</w:t>
      </w:r>
    </w:p>
    <w:p w:rsidR="00C74B6F" w:rsidRDefault="00FB03B5">
      <w:pPr>
        <w:pStyle w:val="Dispositif"/>
      </w:pPr>
      <w:r w:rsidRPr="00887388">
        <w:rPr>
          <w:b/>
        </w:rPr>
        <w:t>REJETTE</w:t>
      </w:r>
      <w:r>
        <w:t xml:space="preserve"> la contestation de monsieur Francis Layette-Lajoie, le travailleur, déposée au Tribunal administratif du travail le </w:t>
      </w:r>
      <w:r w:rsidR="00887388">
        <w:t>19 décembre 2018.</w:t>
      </w:r>
    </w:p>
    <w:p w:rsidR="00887388" w:rsidRDefault="00887388">
      <w:pPr>
        <w:pStyle w:val="Dispositif"/>
      </w:pPr>
      <w:r w:rsidRPr="00887388">
        <w:rPr>
          <w:b/>
        </w:rPr>
        <w:t>CONFIRME</w:t>
      </w:r>
      <w:r>
        <w:t xml:space="preserve"> la décision rendue par la Commission des normes, de l’équité, de la santé et de la sécurité du travail en révision administrative le 13 novembre 2018.</w:t>
      </w:r>
    </w:p>
    <w:p w:rsidR="00887388" w:rsidRDefault="00887388">
      <w:pPr>
        <w:pStyle w:val="Dispositif"/>
      </w:pPr>
      <w:r w:rsidRPr="00887388">
        <w:rPr>
          <w:b/>
        </w:rPr>
        <w:t>REFUSE</w:t>
      </w:r>
      <w:r>
        <w:t xml:space="preserve"> la demande de remise de dette formulée par le travailleur.</w:t>
      </w:r>
    </w:p>
    <w:p w:rsidR="00887388" w:rsidRDefault="00887388">
      <w:pPr>
        <w:pStyle w:val="Dispositif"/>
      </w:pPr>
      <w:r w:rsidRPr="00887388">
        <w:rPr>
          <w:b/>
        </w:rPr>
        <w:t>DÉCLARE</w:t>
      </w:r>
      <w:r w:rsidRPr="00887388">
        <w:t xml:space="preserve"> que la </w:t>
      </w:r>
      <w:r>
        <w:t xml:space="preserve">Commission est bien fondée de réclamer au travailleur la </w:t>
      </w:r>
      <w:r w:rsidRPr="00887388">
        <w:t xml:space="preserve">somme </w:t>
      </w:r>
      <w:r>
        <w:t xml:space="preserve">de </w:t>
      </w:r>
      <w:r w:rsidRPr="00887388">
        <w:t>23</w:t>
      </w:r>
      <w:r w:rsidR="002A6258">
        <w:t> </w:t>
      </w:r>
      <w:r w:rsidRPr="00887388">
        <w:t>601</w:t>
      </w:r>
      <w:r w:rsidR="002A6258">
        <w:t>,</w:t>
      </w:r>
      <w:r w:rsidRPr="00887388">
        <w:t>08</w:t>
      </w:r>
      <w:r w:rsidR="002A6258">
        <w:t> </w:t>
      </w:r>
      <w:r w:rsidRPr="00887388">
        <w:t xml:space="preserve">$ </w:t>
      </w:r>
      <w:r>
        <w:t>qui a</w:t>
      </w:r>
      <w:r w:rsidRPr="00887388">
        <w:t xml:space="preserve"> </w:t>
      </w:r>
      <w:r>
        <w:t xml:space="preserve">été </w:t>
      </w:r>
      <w:r w:rsidRPr="00887388">
        <w:t>versée en trop au t</w:t>
      </w:r>
      <w:r>
        <w:t xml:space="preserve">ravailleur pour la </w:t>
      </w:r>
      <w:r w:rsidRPr="00887388">
        <w:t>période du 16</w:t>
      </w:r>
      <w:r w:rsidR="002A6258">
        <w:t> </w:t>
      </w:r>
      <w:r w:rsidRPr="00887388">
        <w:t>mai</w:t>
      </w:r>
      <w:r w:rsidR="002A6258">
        <w:t> 2016 au 30 </w:t>
      </w:r>
      <w:r w:rsidRPr="00887388">
        <w:t>ao</w:t>
      </w:r>
      <w:r w:rsidR="002A6258">
        <w:t>û</w:t>
      </w:r>
      <w:r w:rsidRPr="00887388">
        <w:t>t</w:t>
      </w:r>
      <w:r w:rsidR="002A6258">
        <w:t> </w:t>
      </w:r>
      <w:r w:rsidRPr="00887388">
        <w:t>2017</w:t>
      </w:r>
      <w:r>
        <w:t>.</w:t>
      </w:r>
    </w:p>
    <w:p w:rsidR="00677F1E" w:rsidRDefault="00677F1E">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tc>
          <w:tcPr>
            <w:tcW w:w="4795" w:type="dxa"/>
          </w:tcPr>
          <w:p w:rsidR="00C74B6F" w:rsidRDefault="00C74B6F"/>
        </w:tc>
        <w:tc>
          <w:tcPr>
            <w:tcW w:w="4795" w:type="dxa"/>
          </w:tcPr>
          <w:p w:rsidR="00C74B6F" w:rsidRDefault="00C74B6F">
            <w:bookmarkStart w:id="7" w:name="signature"/>
            <w:bookmarkEnd w:id="7"/>
            <w:r>
              <w:t>__________________________________</w:t>
            </w:r>
          </w:p>
        </w:tc>
      </w:tr>
      <w:tr w:rsidR="00C74B6F">
        <w:tc>
          <w:tcPr>
            <w:tcW w:w="4795" w:type="dxa"/>
          </w:tcPr>
          <w:p w:rsidR="00C74B6F" w:rsidRDefault="00C74B6F"/>
        </w:tc>
        <w:tc>
          <w:tcPr>
            <w:tcW w:w="4795" w:type="dxa"/>
          </w:tcPr>
          <w:p w:rsidR="00C74B6F" w:rsidRDefault="00887388">
            <w:r>
              <w:t>Daniel Pelletier</w:t>
            </w:r>
          </w:p>
        </w:tc>
      </w:tr>
      <w:tr w:rsidR="00C74B6F">
        <w:trPr>
          <w:cantSplit/>
        </w:trPr>
        <w:tc>
          <w:tcPr>
            <w:tcW w:w="9590" w:type="dxa"/>
            <w:gridSpan w:val="2"/>
          </w:tcPr>
          <w:p w:rsidR="00C74B6F" w:rsidRDefault="00C74B6F"/>
        </w:tc>
      </w:tr>
      <w:tr w:rsidR="00C74B6F">
        <w:trPr>
          <w:cantSplit/>
        </w:trPr>
        <w:tc>
          <w:tcPr>
            <w:tcW w:w="9590" w:type="dxa"/>
            <w:gridSpan w:val="2"/>
          </w:tcPr>
          <w:p w:rsidR="00C74B6F" w:rsidRDefault="00887388">
            <w:pPr>
              <w:pStyle w:val="zSoquijdatNomProcureurDem"/>
            </w:pPr>
            <w:r>
              <w:t>Éric Marsan</w:t>
            </w:r>
          </w:p>
        </w:tc>
      </w:tr>
      <w:tr w:rsidR="00C74B6F">
        <w:trPr>
          <w:cantSplit/>
        </w:trPr>
        <w:tc>
          <w:tcPr>
            <w:tcW w:w="9590" w:type="dxa"/>
            <w:gridSpan w:val="2"/>
          </w:tcPr>
          <w:p w:rsidR="00C74B6F" w:rsidRDefault="0087613B">
            <w:pPr>
              <w:pStyle w:val="zSoquijdatCabinetProcureurDem"/>
            </w:pPr>
            <w:r>
              <w:t>LÉGER &amp; MARSAN, ASSOCIÉS</w:t>
            </w:r>
          </w:p>
        </w:tc>
      </w:tr>
      <w:tr w:rsidR="00C74B6F">
        <w:trPr>
          <w:cantSplit/>
        </w:trPr>
        <w:tc>
          <w:tcPr>
            <w:tcW w:w="9590" w:type="dxa"/>
            <w:gridSpan w:val="2"/>
          </w:tcPr>
          <w:p w:rsidR="00C74B6F" w:rsidRDefault="00CB05A7">
            <w:pPr>
              <w:pStyle w:val="zSoquijlblProcureurDem"/>
            </w:pPr>
            <w:r>
              <w:t>Pour la partie demanderesse</w:t>
            </w:r>
          </w:p>
        </w:tc>
      </w:tr>
      <w:tr w:rsidR="00C74B6F">
        <w:trPr>
          <w:cantSplit/>
        </w:trPr>
        <w:tc>
          <w:tcPr>
            <w:tcW w:w="9590" w:type="dxa"/>
            <w:gridSpan w:val="2"/>
          </w:tcPr>
          <w:p w:rsidR="00C74B6F" w:rsidRDefault="00C74B6F"/>
        </w:tc>
      </w:tr>
      <w:tr w:rsidR="00C471C7">
        <w:trPr>
          <w:cantSplit/>
        </w:trPr>
        <w:tc>
          <w:tcPr>
            <w:tcW w:w="9590" w:type="dxa"/>
            <w:gridSpan w:val="2"/>
          </w:tcPr>
          <w:p w:rsidR="00C471C7" w:rsidRDefault="00974F8A">
            <w:r>
              <w:t>Pascal Chalifoux</w:t>
            </w:r>
          </w:p>
          <w:p w:rsidR="00974F8A" w:rsidRDefault="00974F8A">
            <w:r>
              <w:t>LES COFFRAGES CHALIFOUX INC</w:t>
            </w:r>
          </w:p>
          <w:p w:rsidR="00974F8A" w:rsidRDefault="00974F8A">
            <w:r>
              <w:t>Pour la partie mise en cause</w:t>
            </w:r>
          </w:p>
        </w:tc>
      </w:tr>
      <w:tr w:rsidR="00C471C7">
        <w:trPr>
          <w:cantSplit/>
        </w:trPr>
        <w:tc>
          <w:tcPr>
            <w:tcW w:w="9590" w:type="dxa"/>
            <w:gridSpan w:val="2"/>
          </w:tcPr>
          <w:p w:rsidR="00C471C7" w:rsidRDefault="00C471C7"/>
        </w:tc>
      </w:tr>
      <w:tr w:rsidR="00C74B6F">
        <w:trPr>
          <w:cantSplit/>
        </w:trPr>
        <w:tc>
          <w:tcPr>
            <w:tcW w:w="9590" w:type="dxa"/>
            <w:gridSpan w:val="2"/>
          </w:tcPr>
          <w:p w:rsidR="00C74B6F" w:rsidRDefault="00887388">
            <w:pPr>
              <w:pStyle w:val="zSoquijdatNomProcureurInt"/>
            </w:pPr>
            <w:r>
              <w:t>M</w:t>
            </w:r>
            <w:r w:rsidRPr="0087613B">
              <w:rPr>
                <w:vertAlign w:val="superscript"/>
              </w:rPr>
              <w:t xml:space="preserve">e </w:t>
            </w:r>
            <w:r>
              <w:t>Geoffroy H. Lamarche</w:t>
            </w:r>
          </w:p>
        </w:tc>
      </w:tr>
      <w:tr w:rsidR="00C74B6F">
        <w:trPr>
          <w:cantSplit/>
        </w:trPr>
        <w:tc>
          <w:tcPr>
            <w:tcW w:w="9590" w:type="dxa"/>
            <w:gridSpan w:val="2"/>
          </w:tcPr>
          <w:p w:rsidR="00C74B6F" w:rsidRDefault="0087613B">
            <w:pPr>
              <w:pStyle w:val="zSoquijdatCabinetProcureurInt"/>
            </w:pPr>
            <w:r>
              <w:t>PAQUET TELLIER</w:t>
            </w:r>
          </w:p>
        </w:tc>
      </w:tr>
      <w:tr w:rsidR="00C74B6F">
        <w:trPr>
          <w:cantSplit/>
        </w:trPr>
        <w:tc>
          <w:tcPr>
            <w:tcW w:w="9590" w:type="dxa"/>
            <w:gridSpan w:val="2"/>
          </w:tcPr>
          <w:p w:rsidR="00C74B6F" w:rsidRDefault="007569DE" w:rsidP="00887388">
            <w:pPr>
              <w:pStyle w:val="zSoquijlblProcureurInt"/>
            </w:pPr>
            <w:r>
              <w:t xml:space="preserve">Pour la partie </w:t>
            </w:r>
            <w:r w:rsidR="00887388">
              <w:t>intervenante</w:t>
            </w:r>
          </w:p>
        </w:tc>
      </w:tr>
      <w:tr w:rsidR="00974F8A">
        <w:trPr>
          <w:cantSplit/>
        </w:trPr>
        <w:tc>
          <w:tcPr>
            <w:tcW w:w="9590" w:type="dxa"/>
            <w:gridSpan w:val="2"/>
          </w:tcPr>
          <w:p w:rsidR="00974F8A" w:rsidRDefault="00974F8A">
            <w:pPr>
              <w:pStyle w:val="zSoquijlblProcureurInt"/>
            </w:pPr>
          </w:p>
        </w:tc>
      </w:tr>
      <w:tr w:rsidR="00C15A3F">
        <w:trPr>
          <w:cantSplit/>
        </w:trPr>
        <w:tc>
          <w:tcPr>
            <w:tcW w:w="9590" w:type="dxa"/>
            <w:gridSpan w:val="2"/>
          </w:tcPr>
          <w:p w:rsidR="00C15A3F" w:rsidRDefault="00C15A3F" w:rsidP="0087613B">
            <w:pPr>
              <w:pStyle w:val="zSoquijdatDateAudience"/>
            </w:pPr>
            <w:r>
              <w:t>Date de l</w:t>
            </w:r>
            <w:r w:rsidR="0087613B">
              <w:t>’</w:t>
            </w:r>
            <w:r>
              <w:t>audience :</w:t>
            </w:r>
            <w:r w:rsidR="0087613B">
              <w:tab/>
            </w:r>
            <w:r w:rsidR="00597016">
              <w:tab/>
            </w:r>
            <w:r w:rsidR="00887388">
              <w:t>3 octobre 2019</w:t>
            </w:r>
          </w:p>
        </w:tc>
      </w:tr>
    </w:tbl>
    <w:p w:rsidR="00A95452" w:rsidRDefault="00A95452" w:rsidP="006B5E1A">
      <w:pPr>
        <w:pStyle w:val="articlesdelaLSST"/>
        <w:ind w:left="0"/>
      </w:pPr>
    </w:p>
    <w:sectPr w:rsidR="00A95452">
      <w:headerReference w:type="default" r:id="rId8"/>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4A1" w:rsidRDefault="000004A1">
      <w:r>
        <w:separator/>
      </w:r>
    </w:p>
  </w:endnote>
  <w:endnote w:type="continuationSeparator" w:id="0">
    <w:p w:rsidR="000004A1" w:rsidRDefault="000004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4A1" w:rsidRDefault="000004A1">
      <w:r>
        <w:separator/>
      </w:r>
    </w:p>
  </w:footnote>
  <w:footnote w:type="continuationSeparator" w:id="0">
    <w:p w:rsidR="000004A1" w:rsidRDefault="000004A1">
      <w:r>
        <w:continuationSeparator/>
      </w:r>
    </w:p>
  </w:footnote>
  <w:footnote w:id="1">
    <w:p w:rsidR="00F350B5" w:rsidRPr="00F350B5" w:rsidRDefault="00F350B5" w:rsidP="00F350B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9F6092" w:rsidRPr="009D1A62">
        <w:rPr>
          <w:rFonts w:cs="Arial"/>
          <w:i/>
          <w:sz w:val="20"/>
        </w:rPr>
        <w:t>Layette-Lajoie</w:t>
      </w:r>
      <w:r w:rsidR="009F6092" w:rsidRPr="009D1A62">
        <w:rPr>
          <w:rFonts w:cs="Arial"/>
          <w:sz w:val="20"/>
        </w:rPr>
        <w:t xml:space="preserve"> et </w:t>
      </w:r>
      <w:r w:rsidR="009F6092" w:rsidRPr="009D1A62">
        <w:rPr>
          <w:rFonts w:cs="Arial"/>
          <w:i/>
          <w:sz w:val="20"/>
        </w:rPr>
        <w:t>Coffrages Chalifoux inc</w:t>
      </w:r>
      <w:r w:rsidR="009F6092" w:rsidRPr="009D1A62">
        <w:rPr>
          <w:rFonts w:cs="Arial"/>
          <w:sz w:val="20"/>
        </w:rPr>
        <w:t xml:space="preserve">., </w:t>
      </w:r>
      <w:r>
        <w:rPr>
          <w:rFonts w:cs="Arial"/>
          <w:sz w:val="20"/>
        </w:rPr>
        <w:t>2017 QCTAT 5256</w:t>
      </w:r>
      <w:r w:rsidR="00B302D5">
        <w:rPr>
          <w:rFonts w:cs="Arial"/>
          <w:sz w:val="20"/>
        </w:rPr>
        <w:t>.</w:t>
      </w:r>
    </w:p>
  </w:footnote>
  <w:footnote w:id="2">
    <w:p w:rsidR="009F6092" w:rsidRDefault="009F6092" w:rsidP="0007644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A-3.001.</w:t>
      </w:r>
    </w:p>
  </w:footnote>
  <w:footnote w:id="3">
    <w:p w:rsidR="0083123B" w:rsidRPr="0083123B" w:rsidRDefault="0083123B" w:rsidP="0083123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Précitée note 1.</w:t>
      </w:r>
    </w:p>
  </w:footnote>
  <w:footnote w:id="4">
    <w:p w:rsidR="00E15927" w:rsidRPr="00671EE8" w:rsidRDefault="00E15927" w:rsidP="00E1592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[2008] C.L.P. 804.</w:t>
      </w:r>
    </w:p>
  </w:footnote>
  <w:footnote w:id="5">
    <w:p w:rsidR="00DC279D" w:rsidRPr="00DC279D" w:rsidRDefault="00DC279D" w:rsidP="00DC279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2014 QCCLP 715.</w:t>
      </w:r>
    </w:p>
  </w:footnote>
  <w:footnote w:id="6">
    <w:p w:rsidR="009F6092" w:rsidRDefault="009F6092" w:rsidP="009F609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[2005] C.L.P. 510.</w:t>
      </w:r>
    </w:p>
  </w:footnote>
  <w:footnote w:id="7">
    <w:p w:rsidR="009F6092" w:rsidRDefault="009F6092" w:rsidP="009F609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C.L.P. 318065-64-0705, 31 mars 2008, F. Poupart.</w:t>
      </w:r>
    </w:p>
  </w:footnote>
  <w:footnote w:id="8">
    <w:p w:rsidR="009F6092" w:rsidRDefault="009F6092" w:rsidP="009F609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2011 QCCLP 622.</w:t>
      </w:r>
    </w:p>
  </w:footnote>
  <w:footnote w:id="9">
    <w:p w:rsidR="00DC279D" w:rsidRPr="00DC279D" w:rsidRDefault="00DC279D" w:rsidP="00DC279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Précitée note 5.</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CC667B" w:rsidTr="00747034">
      <w:tc>
        <w:tcPr>
          <w:tcW w:w="8730" w:type="dxa"/>
        </w:tcPr>
        <w:p w:rsidR="00CC667B" w:rsidRDefault="00CC667B">
          <w:pPr>
            <w:pStyle w:val="En-tte"/>
            <w:ind w:left="-90"/>
          </w:pPr>
        </w:p>
      </w:tc>
      <w:tc>
        <w:tcPr>
          <w:tcW w:w="860" w:type="dxa"/>
        </w:tcPr>
        <w:p w:rsidR="00CC667B" w:rsidRDefault="00CC667B">
          <w:pPr>
            <w:pStyle w:val="En-tte"/>
            <w:ind w:left="-90"/>
          </w:pPr>
        </w:p>
      </w:tc>
    </w:tr>
    <w:tr w:rsidR="00747034" w:rsidTr="00747034">
      <w:tc>
        <w:tcPr>
          <w:tcW w:w="8730" w:type="dxa"/>
        </w:tcPr>
        <w:p w:rsidR="00747034" w:rsidRDefault="00747034" w:rsidP="00747034">
          <w:pPr>
            <w:pStyle w:val="zSoquijdatNoDossier"/>
          </w:pPr>
          <w:r>
            <w:t>686354-63-1812</w:t>
          </w:r>
        </w:p>
      </w:tc>
      <w:tc>
        <w:tcPr>
          <w:tcW w:w="860" w:type="dxa"/>
        </w:tcPr>
        <w:p w:rsidR="00747034" w:rsidRDefault="00747034" w:rsidP="00747034">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1975C0">
            <w:rPr>
              <w:rStyle w:val="Numrodepage"/>
              <w:noProof/>
            </w:rPr>
            <w:t>2</w:t>
          </w:r>
          <w:r>
            <w:rPr>
              <w:rStyle w:val="Numrodepage"/>
            </w:rPr>
            <w:fldChar w:fldCharType="end"/>
          </w:r>
        </w:p>
      </w:tc>
    </w:tr>
    <w:tr w:rsidR="00747034" w:rsidTr="00747034">
      <w:tc>
        <w:tcPr>
          <w:tcW w:w="8730" w:type="dxa"/>
        </w:tcPr>
        <w:p w:rsidR="00747034" w:rsidRDefault="00747034" w:rsidP="00747034"/>
      </w:tc>
      <w:tc>
        <w:tcPr>
          <w:tcW w:w="860" w:type="dxa"/>
        </w:tcPr>
        <w:p w:rsidR="00747034" w:rsidRDefault="00747034" w:rsidP="00747034">
          <w:pPr>
            <w:pStyle w:val="En-tte"/>
            <w:ind w:left="-90"/>
            <w:jc w:val="right"/>
          </w:pPr>
        </w:p>
      </w:tc>
    </w:tr>
  </w:tbl>
  <w:p w:rsidR="00CC667B" w:rsidRDefault="00CC667B">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3">
    <w:nsid w:val="76556088"/>
    <w:multiLevelType w:val="multilevel"/>
    <w:tmpl w:val="FD205084"/>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4">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3"/>
  </w:num>
  <w:num w:numId="2">
    <w:abstractNumId w:val="2"/>
  </w:num>
  <w:num w:numId="3">
    <w:abstractNumId w:val="1"/>
  </w:num>
  <w:num w:numId="4">
    <w:abstractNumId w:val="0"/>
  </w:num>
  <w:num w:numId="5">
    <w:abstractNumId w:val="4"/>
  </w:num>
  <w:num w:numId="6">
    <w:abstractNumId w:val="4"/>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4C3C"/>
    <w:rsid w:val="000004A1"/>
    <w:rsid w:val="000034B0"/>
    <w:rsid w:val="000041A1"/>
    <w:rsid w:val="000122AB"/>
    <w:rsid w:val="00021B30"/>
    <w:rsid w:val="00021E4C"/>
    <w:rsid w:val="00022556"/>
    <w:rsid w:val="00023535"/>
    <w:rsid w:val="000366EC"/>
    <w:rsid w:val="00043E4D"/>
    <w:rsid w:val="00056393"/>
    <w:rsid w:val="0007225E"/>
    <w:rsid w:val="00074FE5"/>
    <w:rsid w:val="00076D81"/>
    <w:rsid w:val="00083515"/>
    <w:rsid w:val="0008378A"/>
    <w:rsid w:val="0008784D"/>
    <w:rsid w:val="00090018"/>
    <w:rsid w:val="00090306"/>
    <w:rsid w:val="00093ACD"/>
    <w:rsid w:val="00095814"/>
    <w:rsid w:val="00097D81"/>
    <w:rsid w:val="000A4AD0"/>
    <w:rsid w:val="000A77C5"/>
    <w:rsid w:val="000B7F1B"/>
    <w:rsid w:val="000C3E4A"/>
    <w:rsid w:val="000D3948"/>
    <w:rsid w:val="000E0C28"/>
    <w:rsid w:val="000E1320"/>
    <w:rsid w:val="000E56A6"/>
    <w:rsid w:val="000F3423"/>
    <w:rsid w:val="001050B4"/>
    <w:rsid w:val="0012224D"/>
    <w:rsid w:val="001225BC"/>
    <w:rsid w:val="00122A9E"/>
    <w:rsid w:val="0012326A"/>
    <w:rsid w:val="00124BBB"/>
    <w:rsid w:val="001407FC"/>
    <w:rsid w:val="00147A49"/>
    <w:rsid w:val="00147B8B"/>
    <w:rsid w:val="0015125A"/>
    <w:rsid w:val="00152464"/>
    <w:rsid w:val="001536B0"/>
    <w:rsid w:val="0015539F"/>
    <w:rsid w:val="00160597"/>
    <w:rsid w:val="001664C8"/>
    <w:rsid w:val="00167AD0"/>
    <w:rsid w:val="00173184"/>
    <w:rsid w:val="00175079"/>
    <w:rsid w:val="00183515"/>
    <w:rsid w:val="001975C0"/>
    <w:rsid w:val="001A03BE"/>
    <w:rsid w:val="001A05E9"/>
    <w:rsid w:val="001A067E"/>
    <w:rsid w:val="001A2900"/>
    <w:rsid w:val="001A4081"/>
    <w:rsid w:val="001A65F1"/>
    <w:rsid w:val="001B2B40"/>
    <w:rsid w:val="001B3E9D"/>
    <w:rsid w:val="001B4A40"/>
    <w:rsid w:val="001B5A9C"/>
    <w:rsid w:val="001C2B0B"/>
    <w:rsid w:val="001C5FE9"/>
    <w:rsid w:val="001E687B"/>
    <w:rsid w:val="00203E86"/>
    <w:rsid w:val="00214240"/>
    <w:rsid w:val="002213AD"/>
    <w:rsid w:val="00227040"/>
    <w:rsid w:val="00230CFC"/>
    <w:rsid w:val="00231C1D"/>
    <w:rsid w:val="00241CED"/>
    <w:rsid w:val="00242FB4"/>
    <w:rsid w:val="00245605"/>
    <w:rsid w:val="002563F0"/>
    <w:rsid w:val="00266064"/>
    <w:rsid w:val="00267C8D"/>
    <w:rsid w:val="002701DD"/>
    <w:rsid w:val="002769B5"/>
    <w:rsid w:val="00276B59"/>
    <w:rsid w:val="00281319"/>
    <w:rsid w:val="00286149"/>
    <w:rsid w:val="0028668D"/>
    <w:rsid w:val="00290289"/>
    <w:rsid w:val="00293639"/>
    <w:rsid w:val="0029457A"/>
    <w:rsid w:val="00296645"/>
    <w:rsid w:val="00296A4B"/>
    <w:rsid w:val="00297284"/>
    <w:rsid w:val="002A0077"/>
    <w:rsid w:val="002A374B"/>
    <w:rsid w:val="002A6073"/>
    <w:rsid w:val="002A6258"/>
    <w:rsid w:val="002A73E9"/>
    <w:rsid w:val="002B2FC3"/>
    <w:rsid w:val="002B35F0"/>
    <w:rsid w:val="002B58AF"/>
    <w:rsid w:val="002C3748"/>
    <w:rsid w:val="002C5E89"/>
    <w:rsid w:val="002D6884"/>
    <w:rsid w:val="002D71A9"/>
    <w:rsid w:val="002F7507"/>
    <w:rsid w:val="00302FB4"/>
    <w:rsid w:val="00305273"/>
    <w:rsid w:val="003054CD"/>
    <w:rsid w:val="003057FC"/>
    <w:rsid w:val="00307C85"/>
    <w:rsid w:val="003112B3"/>
    <w:rsid w:val="00312983"/>
    <w:rsid w:val="003248CB"/>
    <w:rsid w:val="00331EA7"/>
    <w:rsid w:val="003332B8"/>
    <w:rsid w:val="0034138B"/>
    <w:rsid w:val="00344465"/>
    <w:rsid w:val="0034740A"/>
    <w:rsid w:val="0035375B"/>
    <w:rsid w:val="0036536A"/>
    <w:rsid w:val="003664E9"/>
    <w:rsid w:val="00366D1E"/>
    <w:rsid w:val="00373EE5"/>
    <w:rsid w:val="003817E7"/>
    <w:rsid w:val="00382E55"/>
    <w:rsid w:val="003961B2"/>
    <w:rsid w:val="003A41AD"/>
    <w:rsid w:val="003B152B"/>
    <w:rsid w:val="003B1734"/>
    <w:rsid w:val="003B1735"/>
    <w:rsid w:val="003B6CBF"/>
    <w:rsid w:val="003C47A7"/>
    <w:rsid w:val="003C6C10"/>
    <w:rsid w:val="003D0826"/>
    <w:rsid w:val="003D3C93"/>
    <w:rsid w:val="003E00D5"/>
    <w:rsid w:val="003E02BA"/>
    <w:rsid w:val="003F7F38"/>
    <w:rsid w:val="0040399B"/>
    <w:rsid w:val="00406F0C"/>
    <w:rsid w:val="00412585"/>
    <w:rsid w:val="0041363B"/>
    <w:rsid w:val="00415D5D"/>
    <w:rsid w:val="0042650F"/>
    <w:rsid w:val="00431E0B"/>
    <w:rsid w:val="004337FE"/>
    <w:rsid w:val="00433E98"/>
    <w:rsid w:val="00435738"/>
    <w:rsid w:val="00437137"/>
    <w:rsid w:val="004403B8"/>
    <w:rsid w:val="00441ADA"/>
    <w:rsid w:val="0044371C"/>
    <w:rsid w:val="0044627E"/>
    <w:rsid w:val="0045114F"/>
    <w:rsid w:val="00452365"/>
    <w:rsid w:val="004529D3"/>
    <w:rsid w:val="00453F31"/>
    <w:rsid w:val="00456B0C"/>
    <w:rsid w:val="00462C05"/>
    <w:rsid w:val="0046538B"/>
    <w:rsid w:val="004667D0"/>
    <w:rsid w:val="00471C92"/>
    <w:rsid w:val="004739AC"/>
    <w:rsid w:val="00475FEF"/>
    <w:rsid w:val="0047776F"/>
    <w:rsid w:val="004870EA"/>
    <w:rsid w:val="00487F13"/>
    <w:rsid w:val="00491B2D"/>
    <w:rsid w:val="00496193"/>
    <w:rsid w:val="004A02AF"/>
    <w:rsid w:val="004A679B"/>
    <w:rsid w:val="004B78F6"/>
    <w:rsid w:val="004C0FB4"/>
    <w:rsid w:val="004C1811"/>
    <w:rsid w:val="004C4047"/>
    <w:rsid w:val="004C4555"/>
    <w:rsid w:val="004D6CEA"/>
    <w:rsid w:val="004D7907"/>
    <w:rsid w:val="004E3564"/>
    <w:rsid w:val="004E51C0"/>
    <w:rsid w:val="004E64BE"/>
    <w:rsid w:val="004F4D8A"/>
    <w:rsid w:val="00503B8D"/>
    <w:rsid w:val="00503EE3"/>
    <w:rsid w:val="00505811"/>
    <w:rsid w:val="00515DE7"/>
    <w:rsid w:val="00517EB0"/>
    <w:rsid w:val="005205CB"/>
    <w:rsid w:val="005352F1"/>
    <w:rsid w:val="00540094"/>
    <w:rsid w:val="00545CFF"/>
    <w:rsid w:val="00555800"/>
    <w:rsid w:val="00556DBB"/>
    <w:rsid w:val="00560781"/>
    <w:rsid w:val="0056268F"/>
    <w:rsid w:val="00563CA9"/>
    <w:rsid w:val="005662E9"/>
    <w:rsid w:val="00572AAF"/>
    <w:rsid w:val="005801AE"/>
    <w:rsid w:val="00582868"/>
    <w:rsid w:val="00582ECC"/>
    <w:rsid w:val="005830A9"/>
    <w:rsid w:val="0058399B"/>
    <w:rsid w:val="0058692F"/>
    <w:rsid w:val="00587045"/>
    <w:rsid w:val="00587C22"/>
    <w:rsid w:val="0059436D"/>
    <w:rsid w:val="005945C0"/>
    <w:rsid w:val="00597016"/>
    <w:rsid w:val="005974B7"/>
    <w:rsid w:val="005A0D51"/>
    <w:rsid w:val="005A181B"/>
    <w:rsid w:val="005A1CB3"/>
    <w:rsid w:val="005A3073"/>
    <w:rsid w:val="005A33A5"/>
    <w:rsid w:val="005A70A0"/>
    <w:rsid w:val="005B0612"/>
    <w:rsid w:val="005B13F0"/>
    <w:rsid w:val="005B30F6"/>
    <w:rsid w:val="005B45BA"/>
    <w:rsid w:val="005B5689"/>
    <w:rsid w:val="005B6774"/>
    <w:rsid w:val="005C0A89"/>
    <w:rsid w:val="005C3BC4"/>
    <w:rsid w:val="005D59B1"/>
    <w:rsid w:val="005D764B"/>
    <w:rsid w:val="005E2367"/>
    <w:rsid w:val="005E5E90"/>
    <w:rsid w:val="005E654C"/>
    <w:rsid w:val="005E74C8"/>
    <w:rsid w:val="005F05F6"/>
    <w:rsid w:val="00605734"/>
    <w:rsid w:val="0061488E"/>
    <w:rsid w:val="0061574B"/>
    <w:rsid w:val="00621D50"/>
    <w:rsid w:val="00622670"/>
    <w:rsid w:val="00623044"/>
    <w:rsid w:val="00623A1A"/>
    <w:rsid w:val="00626E8D"/>
    <w:rsid w:val="00632DA8"/>
    <w:rsid w:val="00634AA6"/>
    <w:rsid w:val="00634E6E"/>
    <w:rsid w:val="00635F56"/>
    <w:rsid w:val="0064342A"/>
    <w:rsid w:val="00643A28"/>
    <w:rsid w:val="006452FA"/>
    <w:rsid w:val="0065093D"/>
    <w:rsid w:val="00653823"/>
    <w:rsid w:val="00655193"/>
    <w:rsid w:val="00655459"/>
    <w:rsid w:val="00656FB2"/>
    <w:rsid w:val="00661454"/>
    <w:rsid w:val="0066642D"/>
    <w:rsid w:val="00671927"/>
    <w:rsid w:val="00671EE8"/>
    <w:rsid w:val="00675E85"/>
    <w:rsid w:val="0067750F"/>
    <w:rsid w:val="00677F1E"/>
    <w:rsid w:val="0068401E"/>
    <w:rsid w:val="006841A4"/>
    <w:rsid w:val="00684312"/>
    <w:rsid w:val="0068643F"/>
    <w:rsid w:val="006877A1"/>
    <w:rsid w:val="00692150"/>
    <w:rsid w:val="00692F0C"/>
    <w:rsid w:val="00696E7C"/>
    <w:rsid w:val="006A0C54"/>
    <w:rsid w:val="006A7C53"/>
    <w:rsid w:val="006B309C"/>
    <w:rsid w:val="006B5E1A"/>
    <w:rsid w:val="006B727F"/>
    <w:rsid w:val="006C6D3A"/>
    <w:rsid w:val="006C7B36"/>
    <w:rsid w:val="006C7B7F"/>
    <w:rsid w:val="006D19E8"/>
    <w:rsid w:val="006D2BD0"/>
    <w:rsid w:val="006D6298"/>
    <w:rsid w:val="006E04B5"/>
    <w:rsid w:val="006E330C"/>
    <w:rsid w:val="006E3DD8"/>
    <w:rsid w:val="006E4680"/>
    <w:rsid w:val="006E793F"/>
    <w:rsid w:val="006F0154"/>
    <w:rsid w:val="006F7944"/>
    <w:rsid w:val="00704121"/>
    <w:rsid w:val="00705BB5"/>
    <w:rsid w:val="00710D40"/>
    <w:rsid w:val="0071326F"/>
    <w:rsid w:val="007153D7"/>
    <w:rsid w:val="007201EE"/>
    <w:rsid w:val="00720ED4"/>
    <w:rsid w:val="00732CBC"/>
    <w:rsid w:val="00733C80"/>
    <w:rsid w:val="0074488F"/>
    <w:rsid w:val="00745AA8"/>
    <w:rsid w:val="00747034"/>
    <w:rsid w:val="007510EC"/>
    <w:rsid w:val="0075233C"/>
    <w:rsid w:val="0075256A"/>
    <w:rsid w:val="007569DE"/>
    <w:rsid w:val="0075723C"/>
    <w:rsid w:val="00782C8F"/>
    <w:rsid w:val="00785F78"/>
    <w:rsid w:val="0078659D"/>
    <w:rsid w:val="007869EC"/>
    <w:rsid w:val="007A1E58"/>
    <w:rsid w:val="007A32C3"/>
    <w:rsid w:val="007A5C7E"/>
    <w:rsid w:val="007A6E2F"/>
    <w:rsid w:val="007B3B81"/>
    <w:rsid w:val="007B3BC5"/>
    <w:rsid w:val="007C6797"/>
    <w:rsid w:val="007D03DF"/>
    <w:rsid w:val="007D4953"/>
    <w:rsid w:val="007D50F4"/>
    <w:rsid w:val="007D7173"/>
    <w:rsid w:val="007E1216"/>
    <w:rsid w:val="007E4CD4"/>
    <w:rsid w:val="007F0E8E"/>
    <w:rsid w:val="008079DD"/>
    <w:rsid w:val="0081130F"/>
    <w:rsid w:val="00811411"/>
    <w:rsid w:val="00824430"/>
    <w:rsid w:val="00825B1F"/>
    <w:rsid w:val="00827D55"/>
    <w:rsid w:val="0083123B"/>
    <w:rsid w:val="00840EDD"/>
    <w:rsid w:val="0084255F"/>
    <w:rsid w:val="00854FB3"/>
    <w:rsid w:val="00857E09"/>
    <w:rsid w:val="00860F13"/>
    <w:rsid w:val="00861F8B"/>
    <w:rsid w:val="0086561F"/>
    <w:rsid w:val="00865FE1"/>
    <w:rsid w:val="008748C7"/>
    <w:rsid w:val="0087521A"/>
    <w:rsid w:val="0087613B"/>
    <w:rsid w:val="008808C0"/>
    <w:rsid w:val="00887388"/>
    <w:rsid w:val="008877E7"/>
    <w:rsid w:val="00890BDE"/>
    <w:rsid w:val="008962E7"/>
    <w:rsid w:val="00896E79"/>
    <w:rsid w:val="008A1118"/>
    <w:rsid w:val="008A281F"/>
    <w:rsid w:val="008A4AF6"/>
    <w:rsid w:val="008A4FF8"/>
    <w:rsid w:val="008A5ED1"/>
    <w:rsid w:val="008A7FD1"/>
    <w:rsid w:val="008B042E"/>
    <w:rsid w:val="008B211E"/>
    <w:rsid w:val="008B6D48"/>
    <w:rsid w:val="008C7660"/>
    <w:rsid w:val="008C79A7"/>
    <w:rsid w:val="008D555F"/>
    <w:rsid w:val="008D625D"/>
    <w:rsid w:val="008D650E"/>
    <w:rsid w:val="008E6A41"/>
    <w:rsid w:val="00903990"/>
    <w:rsid w:val="00904950"/>
    <w:rsid w:val="00915E5E"/>
    <w:rsid w:val="009166B8"/>
    <w:rsid w:val="00922DB7"/>
    <w:rsid w:val="0092684A"/>
    <w:rsid w:val="00930F57"/>
    <w:rsid w:val="00937FAB"/>
    <w:rsid w:val="00940816"/>
    <w:rsid w:val="0094094D"/>
    <w:rsid w:val="00942AB8"/>
    <w:rsid w:val="00945CAF"/>
    <w:rsid w:val="00947448"/>
    <w:rsid w:val="00952B38"/>
    <w:rsid w:val="00952C99"/>
    <w:rsid w:val="00956A1B"/>
    <w:rsid w:val="00965333"/>
    <w:rsid w:val="00966EF2"/>
    <w:rsid w:val="009672C4"/>
    <w:rsid w:val="009712EF"/>
    <w:rsid w:val="009727BF"/>
    <w:rsid w:val="00973321"/>
    <w:rsid w:val="00974F8A"/>
    <w:rsid w:val="00975C2E"/>
    <w:rsid w:val="00977270"/>
    <w:rsid w:val="009824F2"/>
    <w:rsid w:val="00983080"/>
    <w:rsid w:val="00986AA3"/>
    <w:rsid w:val="00993B24"/>
    <w:rsid w:val="0099611F"/>
    <w:rsid w:val="009A083F"/>
    <w:rsid w:val="009A135C"/>
    <w:rsid w:val="009A67E7"/>
    <w:rsid w:val="009C603A"/>
    <w:rsid w:val="009C74CD"/>
    <w:rsid w:val="009D048F"/>
    <w:rsid w:val="009D1A62"/>
    <w:rsid w:val="009D401F"/>
    <w:rsid w:val="009D68FA"/>
    <w:rsid w:val="009E32CF"/>
    <w:rsid w:val="009E4FC2"/>
    <w:rsid w:val="009E5871"/>
    <w:rsid w:val="009F44AE"/>
    <w:rsid w:val="009F6092"/>
    <w:rsid w:val="00A02529"/>
    <w:rsid w:val="00A02EF2"/>
    <w:rsid w:val="00A04D5E"/>
    <w:rsid w:val="00A10DDF"/>
    <w:rsid w:val="00A11172"/>
    <w:rsid w:val="00A12E55"/>
    <w:rsid w:val="00A229AA"/>
    <w:rsid w:val="00A242E4"/>
    <w:rsid w:val="00A24437"/>
    <w:rsid w:val="00A24CA0"/>
    <w:rsid w:val="00A3362A"/>
    <w:rsid w:val="00A3370A"/>
    <w:rsid w:val="00A37B70"/>
    <w:rsid w:val="00A4056D"/>
    <w:rsid w:val="00A40AC7"/>
    <w:rsid w:val="00A435C7"/>
    <w:rsid w:val="00A569B2"/>
    <w:rsid w:val="00A611A4"/>
    <w:rsid w:val="00A6695B"/>
    <w:rsid w:val="00A71C32"/>
    <w:rsid w:val="00A72703"/>
    <w:rsid w:val="00A727F6"/>
    <w:rsid w:val="00A72E71"/>
    <w:rsid w:val="00A76432"/>
    <w:rsid w:val="00A84FC6"/>
    <w:rsid w:val="00A8528E"/>
    <w:rsid w:val="00A93C55"/>
    <w:rsid w:val="00A94A49"/>
    <w:rsid w:val="00A95452"/>
    <w:rsid w:val="00AA1815"/>
    <w:rsid w:val="00AA1D3E"/>
    <w:rsid w:val="00AA39F9"/>
    <w:rsid w:val="00AB0931"/>
    <w:rsid w:val="00AB5C9B"/>
    <w:rsid w:val="00AC0276"/>
    <w:rsid w:val="00AC0312"/>
    <w:rsid w:val="00AC0449"/>
    <w:rsid w:val="00AC3BB4"/>
    <w:rsid w:val="00AD2497"/>
    <w:rsid w:val="00AD31D0"/>
    <w:rsid w:val="00AD5EB4"/>
    <w:rsid w:val="00AE63E2"/>
    <w:rsid w:val="00AF04C9"/>
    <w:rsid w:val="00AF26B6"/>
    <w:rsid w:val="00AF2979"/>
    <w:rsid w:val="00AF3F8F"/>
    <w:rsid w:val="00B0375C"/>
    <w:rsid w:val="00B052CB"/>
    <w:rsid w:val="00B156C3"/>
    <w:rsid w:val="00B15F67"/>
    <w:rsid w:val="00B1624F"/>
    <w:rsid w:val="00B224C5"/>
    <w:rsid w:val="00B302D5"/>
    <w:rsid w:val="00B325CD"/>
    <w:rsid w:val="00B342C6"/>
    <w:rsid w:val="00B41059"/>
    <w:rsid w:val="00B4768D"/>
    <w:rsid w:val="00B518E5"/>
    <w:rsid w:val="00B51E1F"/>
    <w:rsid w:val="00B52B52"/>
    <w:rsid w:val="00B60222"/>
    <w:rsid w:val="00B62CFB"/>
    <w:rsid w:val="00B662F5"/>
    <w:rsid w:val="00B7000C"/>
    <w:rsid w:val="00B71F4D"/>
    <w:rsid w:val="00B760D5"/>
    <w:rsid w:val="00B83B2C"/>
    <w:rsid w:val="00B87710"/>
    <w:rsid w:val="00B91C63"/>
    <w:rsid w:val="00B94740"/>
    <w:rsid w:val="00B97F75"/>
    <w:rsid w:val="00BA1CAE"/>
    <w:rsid w:val="00BA33BB"/>
    <w:rsid w:val="00BA4830"/>
    <w:rsid w:val="00BA6E22"/>
    <w:rsid w:val="00BB362C"/>
    <w:rsid w:val="00BB7858"/>
    <w:rsid w:val="00BC0A03"/>
    <w:rsid w:val="00BD4139"/>
    <w:rsid w:val="00BE059A"/>
    <w:rsid w:val="00BE1981"/>
    <w:rsid w:val="00BE56E9"/>
    <w:rsid w:val="00BE63CF"/>
    <w:rsid w:val="00BE7014"/>
    <w:rsid w:val="00BF25C7"/>
    <w:rsid w:val="00C009B7"/>
    <w:rsid w:val="00C04E32"/>
    <w:rsid w:val="00C15A3F"/>
    <w:rsid w:val="00C20630"/>
    <w:rsid w:val="00C22F7A"/>
    <w:rsid w:val="00C233ED"/>
    <w:rsid w:val="00C2666F"/>
    <w:rsid w:val="00C32020"/>
    <w:rsid w:val="00C3408C"/>
    <w:rsid w:val="00C351CC"/>
    <w:rsid w:val="00C35435"/>
    <w:rsid w:val="00C432FD"/>
    <w:rsid w:val="00C43CDF"/>
    <w:rsid w:val="00C471C7"/>
    <w:rsid w:val="00C512B2"/>
    <w:rsid w:val="00C5270B"/>
    <w:rsid w:val="00C52D5D"/>
    <w:rsid w:val="00C54346"/>
    <w:rsid w:val="00C61313"/>
    <w:rsid w:val="00C62B69"/>
    <w:rsid w:val="00C644B7"/>
    <w:rsid w:val="00C64564"/>
    <w:rsid w:val="00C6700E"/>
    <w:rsid w:val="00C73C87"/>
    <w:rsid w:val="00C74B6F"/>
    <w:rsid w:val="00C82783"/>
    <w:rsid w:val="00C87EF3"/>
    <w:rsid w:val="00C9015F"/>
    <w:rsid w:val="00C912F9"/>
    <w:rsid w:val="00C9241B"/>
    <w:rsid w:val="00C97569"/>
    <w:rsid w:val="00CA199D"/>
    <w:rsid w:val="00CA4D9C"/>
    <w:rsid w:val="00CA5B3F"/>
    <w:rsid w:val="00CB05A7"/>
    <w:rsid w:val="00CB06A4"/>
    <w:rsid w:val="00CB325B"/>
    <w:rsid w:val="00CB56F0"/>
    <w:rsid w:val="00CB64FF"/>
    <w:rsid w:val="00CB7078"/>
    <w:rsid w:val="00CC014B"/>
    <w:rsid w:val="00CC21D8"/>
    <w:rsid w:val="00CC3369"/>
    <w:rsid w:val="00CC5343"/>
    <w:rsid w:val="00CC667B"/>
    <w:rsid w:val="00CC78DE"/>
    <w:rsid w:val="00CD0F93"/>
    <w:rsid w:val="00CD13B8"/>
    <w:rsid w:val="00CD6D6E"/>
    <w:rsid w:val="00CD6F23"/>
    <w:rsid w:val="00CF57AC"/>
    <w:rsid w:val="00CF640B"/>
    <w:rsid w:val="00D027AF"/>
    <w:rsid w:val="00D06652"/>
    <w:rsid w:val="00D07FA6"/>
    <w:rsid w:val="00D17C53"/>
    <w:rsid w:val="00D17D57"/>
    <w:rsid w:val="00D227FF"/>
    <w:rsid w:val="00D2341D"/>
    <w:rsid w:val="00D25E0E"/>
    <w:rsid w:val="00D302EB"/>
    <w:rsid w:val="00D31679"/>
    <w:rsid w:val="00D320C8"/>
    <w:rsid w:val="00D3672F"/>
    <w:rsid w:val="00D40ABA"/>
    <w:rsid w:val="00D40FE2"/>
    <w:rsid w:val="00D440FA"/>
    <w:rsid w:val="00D44BCF"/>
    <w:rsid w:val="00D46E73"/>
    <w:rsid w:val="00D5548D"/>
    <w:rsid w:val="00D57171"/>
    <w:rsid w:val="00D60E68"/>
    <w:rsid w:val="00D60F81"/>
    <w:rsid w:val="00D63951"/>
    <w:rsid w:val="00D63BF2"/>
    <w:rsid w:val="00D67348"/>
    <w:rsid w:val="00D75FEC"/>
    <w:rsid w:val="00D76B98"/>
    <w:rsid w:val="00D837AB"/>
    <w:rsid w:val="00D86F2C"/>
    <w:rsid w:val="00DA36F6"/>
    <w:rsid w:val="00DC1611"/>
    <w:rsid w:val="00DC279D"/>
    <w:rsid w:val="00DF0774"/>
    <w:rsid w:val="00DF1036"/>
    <w:rsid w:val="00E033B2"/>
    <w:rsid w:val="00E05451"/>
    <w:rsid w:val="00E05651"/>
    <w:rsid w:val="00E11BA5"/>
    <w:rsid w:val="00E134A0"/>
    <w:rsid w:val="00E15927"/>
    <w:rsid w:val="00E20425"/>
    <w:rsid w:val="00E25DCB"/>
    <w:rsid w:val="00E26FD6"/>
    <w:rsid w:val="00E4156E"/>
    <w:rsid w:val="00E453F2"/>
    <w:rsid w:val="00E460AD"/>
    <w:rsid w:val="00E55FE1"/>
    <w:rsid w:val="00E61925"/>
    <w:rsid w:val="00E65C0E"/>
    <w:rsid w:val="00E66AB2"/>
    <w:rsid w:val="00E730FC"/>
    <w:rsid w:val="00E7425D"/>
    <w:rsid w:val="00E746F0"/>
    <w:rsid w:val="00E82A15"/>
    <w:rsid w:val="00E87589"/>
    <w:rsid w:val="00E938FF"/>
    <w:rsid w:val="00EA0B8D"/>
    <w:rsid w:val="00EA34DC"/>
    <w:rsid w:val="00EA5017"/>
    <w:rsid w:val="00EA6BED"/>
    <w:rsid w:val="00EB14F0"/>
    <w:rsid w:val="00EB3844"/>
    <w:rsid w:val="00EB4C3C"/>
    <w:rsid w:val="00EB5A9F"/>
    <w:rsid w:val="00EC5C8D"/>
    <w:rsid w:val="00EC7BDF"/>
    <w:rsid w:val="00ED106C"/>
    <w:rsid w:val="00ED2D34"/>
    <w:rsid w:val="00ED4805"/>
    <w:rsid w:val="00ED6C51"/>
    <w:rsid w:val="00EF4258"/>
    <w:rsid w:val="00F02237"/>
    <w:rsid w:val="00F034C4"/>
    <w:rsid w:val="00F22423"/>
    <w:rsid w:val="00F236A7"/>
    <w:rsid w:val="00F24C72"/>
    <w:rsid w:val="00F31D22"/>
    <w:rsid w:val="00F348B2"/>
    <w:rsid w:val="00F34BF0"/>
    <w:rsid w:val="00F350B5"/>
    <w:rsid w:val="00F4095A"/>
    <w:rsid w:val="00F45845"/>
    <w:rsid w:val="00F50189"/>
    <w:rsid w:val="00F508FC"/>
    <w:rsid w:val="00F54044"/>
    <w:rsid w:val="00F576E7"/>
    <w:rsid w:val="00F60DDC"/>
    <w:rsid w:val="00F73B20"/>
    <w:rsid w:val="00F763FC"/>
    <w:rsid w:val="00F772C1"/>
    <w:rsid w:val="00F8026D"/>
    <w:rsid w:val="00F8245F"/>
    <w:rsid w:val="00F854E1"/>
    <w:rsid w:val="00F91629"/>
    <w:rsid w:val="00F91E2A"/>
    <w:rsid w:val="00FA153F"/>
    <w:rsid w:val="00FA1D78"/>
    <w:rsid w:val="00FA1F7E"/>
    <w:rsid w:val="00FA280F"/>
    <w:rsid w:val="00FB03B5"/>
    <w:rsid w:val="00FB2186"/>
    <w:rsid w:val="00FB23B5"/>
    <w:rsid w:val="00FB7327"/>
    <w:rsid w:val="00FC144B"/>
    <w:rsid w:val="00FD0133"/>
    <w:rsid w:val="00FD29EF"/>
    <w:rsid w:val="00FD6206"/>
    <w:rsid w:val="00FF32C3"/>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4"/>
    </w:rPr>
  </w:style>
  <w:style w:type="paragraph" w:styleId="Titre1">
    <w:name w:val="heading 1"/>
    <w:basedOn w:val="Normal"/>
    <w:next w:val="corpsdedcision"/>
    <w:qFormat/>
    <w:rsid w:val="0034740A"/>
    <w:pPr>
      <w:keepNext/>
      <w:spacing w:before="240" w:after="240"/>
      <w:outlineLvl w:val="0"/>
    </w:pPr>
    <w:rPr>
      <w:rFonts w:cs="Arial"/>
      <w:bCs/>
      <w:caps/>
      <w:kern w:val="32"/>
      <w:szCs w:val="32"/>
      <w:u w:val="single"/>
      <w:lang w:eastAsia="fr-FR"/>
    </w:rPr>
  </w:style>
  <w:style w:type="paragraph" w:styleId="Titre2">
    <w:name w:val="heading 2"/>
    <w:basedOn w:val="Normal"/>
    <w:next w:val="corpsdedcision"/>
    <w:qFormat/>
    <w:rsid w:val="0034740A"/>
    <w:pPr>
      <w:keepNext/>
      <w:spacing w:before="240" w:after="240"/>
      <w:outlineLvl w:val="1"/>
    </w:pPr>
    <w:rPr>
      <w:rFonts w:cs="Arial"/>
      <w:bCs/>
      <w:iCs/>
      <w:caps/>
      <w:szCs w:val="28"/>
      <w:lang w:eastAsia="fr-FR"/>
    </w:rPr>
  </w:style>
  <w:style w:type="paragraph" w:styleId="Titre3">
    <w:name w:val="heading 3"/>
    <w:basedOn w:val="Normal"/>
    <w:next w:val="corpsdedcision"/>
    <w:qFormat/>
    <w:rsid w:val="0034740A"/>
    <w:pPr>
      <w:keepNext/>
      <w:spacing w:before="240" w:after="240"/>
      <w:outlineLvl w:val="2"/>
    </w:pPr>
    <w:rPr>
      <w:rFonts w:cs="Arial"/>
      <w:bCs/>
      <w:szCs w:val="26"/>
      <w:u w:val="single"/>
      <w:lang w:eastAsia="fr-FR"/>
    </w:rPr>
  </w:style>
  <w:style w:type="paragraph" w:styleId="Titre4">
    <w:name w:val="heading 4"/>
    <w:basedOn w:val="Normal"/>
    <w:next w:val="corpsdedcision"/>
    <w:qFormat/>
    <w:rsid w:val="0034740A"/>
    <w:pPr>
      <w:keepNext/>
      <w:spacing w:before="240" w:after="240"/>
      <w:outlineLvl w:val="3"/>
    </w:pPr>
    <w:rPr>
      <w:bCs/>
      <w:szCs w:val="28"/>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semiHidden/>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pPr>
      <w:numPr>
        <w:numId w:val="1"/>
      </w:numPr>
      <w:tabs>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basedOn w:val="Normal"/>
    <w:link w:val="NotedebasdepageCar"/>
    <w:semiHidden/>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basedOn w:val="Policepardfaut"/>
    <w:link w:val="Notedebasdepage"/>
    <w:semiHidden/>
    <w:locked/>
    <w:rsid w:val="00BC0A03"/>
    <w:rPr>
      <w:rFonts w:ascii="Arial" w:hAnsi="Arial"/>
      <w:sz w:val="24"/>
      <w:lang w:val="fr-CA" w:eastAsia="fr-CA" w:bidi="ar-SA"/>
    </w:rPr>
  </w:style>
  <w:style w:type="character" w:customStyle="1" w:styleId="label-section1">
    <w:name w:val="label-section1"/>
    <w:basedOn w:val="Policepardfaut"/>
    <w:rsid w:val="00653823"/>
    <w:rPr>
      <w:rFonts w:ascii="Arial" w:hAnsi="Arial" w:cs="Arial"/>
      <w:b/>
      <w:bCs/>
      <w:sz w:val="24"/>
      <w:szCs w:val="24"/>
    </w:rPr>
  </w:style>
  <w:style w:type="paragraph" w:customStyle="1" w:styleId="Citationenretrait">
    <w:name w:val="Citation en retrait"/>
    <w:basedOn w:val="Normal"/>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rsid w:val="00147A49"/>
    <w:pPr>
      <w:spacing w:before="0" w:after="0"/>
      <w:ind w:left="1440" w:right="1440"/>
    </w:pPr>
    <w:rPr>
      <w:sz w:val="20"/>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exte-courant1">
    <w:name w:val="texte-courant1"/>
    <w:basedOn w:val="Policepardfaut"/>
    <w:rsid w:val="00653823"/>
    <w:rPr>
      <w:rFonts w:cs="Times New Roman"/>
    </w:rPr>
  </w:style>
  <w:style w:type="character" w:styleId="Lienhypertexte">
    <w:name w:val="Hyperlink"/>
    <w:basedOn w:val="Policepardfaut"/>
    <w:rsid w:val="00653823"/>
    <w:rPr>
      <w:rFonts w:cs="Times New Roman"/>
      <w:color w:val="375D9D"/>
      <w:u w:val="none"/>
      <w:effect w:val="none"/>
      <w:shd w:val="clear" w:color="auto" w:fill="auto"/>
    </w:rPr>
  </w:style>
  <w:style w:type="character" w:styleId="Lienhypertextesuivivisit">
    <w:name w:val="FollowedHyperlink"/>
    <w:basedOn w:val="Policepardfaut"/>
    <w:rsid w:val="00653823"/>
    <w:rPr>
      <w:color w:val="800080"/>
      <w:u w:val="single"/>
    </w:rPr>
  </w:style>
  <w:style w:type="character" w:customStyle="1" w:styleId="label-z">
    <w:name w:val="label-z"/>
    <w:basedOn w:val="Policepardfaut"/>
    <w:rsid w:val="00940816"/>
    <w:rPr>
      <w:rFonts w:cs="Times New Roman"/>
    </w:rPr>
  </w:style>
  <w:style w:type="character" w:customStyle="1" w:styleId="widthfixforlabel1">
    <w:name w:val="widthfixforlabel1"/>
    <w:basedOn w:val="Policepardfaut"/>
    <w:rsid w:val="00940816"/>
    <w:rPr>
      <w:rFonts w:cs="Times New Roman"/>
    </w:rPr>
  </w:style>
  <w:style w:type="paragraph" w:styleId="Textedebulles">
    <w:name w:val="Balloon Text"/>
    <w:basedOn w:val="Normal"/>
    <w:link w:val="TextedebullesCar"/>
    <w:rsid w:val="004667D0"/>
    <w:rPr>
      <w:rFonts w:ascii="Segoe UI" w:hAnsi="Segoe UI" w:cs="Segoe UI"/>
      <w:sz w:val="18"/>
      <w:szCs w:val="18"/>
    </w:rPr>
  </w:style>
  <w:style w:type="character" w:customStyle="1" w:styleId="TextedebullesCar">
    <w:name w:val="Texte de bulles Car"/>
    <w:basedOn w:val="Policepardfaut"/>
    <w:link w:val="Textedebulles"/>
    <w:rsid w:val="004667D0"/>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4"/>
    </w:rPr>
  </w:style>
  <w:style w:type="paragraph" w:styleId="Titre1">
    <w:name w:val="heading 1"/>
    <w:basedOn w:val="Normal"/>
    <w:next w:val="corpsdedcision"/>
    <w:qFormat/>
    <w:rsid w:val="0034740A"/>
    <w:pPr>
      <w:keepNext/>
      <w:spacing w:before="240" w:after="240"/>
      <w:outlineLvl w:val="0"/>
    </w:pPr>
    <w:rPr>
      <w:rFonts w:cs="Arial"/>
      <w:bCs/>
      <w:caps/>
      <w:kern w:val="32"/>
      <w:szCs w:val="32"/>
      <w:u w:val="single"/>
      <w:lang w:eastAsia="fr-FR"/>
    </w:rPr>
  </w:style>
  <w:style w:type="paragraph" w:styleId="Titre2">
    <w:name w:val="heading 2"/>
    <w:basedOn w:val="Normal"/>
    <w:next w:val="corpsdedcision"/>
    <w:qFormat/>
    <w:rsid w:val="0034740A"/>
    <w:pPr>
      <w:keepNext/>
      <w:spacing w:before="240" w:after="240"/>
      <w:outlineLvl w:val="1"/>
    </w:pPr>
    <w:rPr>
      <w:rFonts w:cs="Arial"/>
      <w:bCs/>
      <w:iCs/>
      <w:caps/>
      <w:szCs w:val="28"/>
      <w:lang w:eastAsia="fr-FR"/>
    </w:rPr>
  </w:style>
  <w:style w:type="paragraph" w:styleId="Titre3">
    <w:name w:val="heading 3"/>
    <w:basedOn w:val="Normal"/>
    <w:next w:val="corpsdedcision"/>
    <w:qFormat/>
    <w:rsid w:val="0034740A"/>
    <w:pPr>
      <w:keepNext/>
      <w:spacing w:before="240" w:after="240"/>
      <w:outlineLvl w:val="2"/>
    </w:pPr>
    <w:rPr>
      <w:rFonts w:cs="Arial"/>
      <w:bCs/>
      <w:szCs w:val="26"/>
      <w:u w:val="single"/>
      <w:lang w:eastAsia="fr-FR"/>
    </w:rPr>
  </w:style>
  <w:style w:type="paragraph" w:styleId="Titre4">
    <w:name w:val="heading 4"/>
    <w:basedOn w:val="Normal"/>
    <w:next w:val="corpsdedcision"/>
    <w:qFormat/>
    <w:rsid w:val="0034740A"/>
    <w:pPr>
      <w:keepNext/>
      <w:spacing w:before="240" w:after="240"/>
      <w:outlineLvl w:val="3"/>
    </w:pPr>
    <w:rPr>
      <w:bCs/>
      <w:szCs w:val="28"/>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semiHidden/>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pPr>
      <w:numPr>
        <w:numId w:val="1"/>
      </w:numPr>
      <w:tabs>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basedOn w:val="Normal"/>
    <w:link w:val="NotedebasdepageCar"/>
    <w:semiHidden/>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basedOn w:val="Policepardfaut"/>
    <w:link w:val="Notedebasdepage"/>
    <w:semiHidden/>
    <w:locked/>
    <w:rsid w:val="00BC0A03"/>
    <w:rPr>
      <w:rFonts w:ascii="Arial" w:hAnsi="Arial"/>
      <w:sz w:val="24"/>
      <w:lang w:val="fr-CA" w:eastAsia="fr-CA" w:bidi="ar-SA"/>
    </w:rPr>
  </w:style>
  <w:style w:type="character" w:customStyle="1" w:styleId="label-section1">
    <w:name w:val="label-section1"/>
    <w:basedOn w:val="Policepardfaut"/>
    <w:rsid w:val="00653823"/>
    <w:rPr>
      <w:rFonts w:ascii="Arial" w:hAnsi="Arial" w:cs="Arial"/>
      <w:b/>
      <w:bCs/>
      <w:sz w:val="24"/>
      <w:szCs w:val="24"/>
    </w:rPr>
  </w:style>
  <w:style w:type="paragraph" w:customStyle="1" w:styleId="Citationenretrait">
    <w:name w:val="Citation en retrait"/>
    <w:basedOn w:val="Normal"/>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rsid w:val="00147A49"/>
    <w:pPr>
      <w:spacing w:before="0" w:after="0"/>
      <w:ind w:left="1440" w:right="1440"/>
    </w:pPr>
    <w:rPr>
      <w:sz w:val="20"/>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exte-courant1">
    <w:name w:val="texte-courant1"/>
    <w:basedOn w:val="Policepardfaut"/>
    <w:rsid w:val="00653823"/>
    <w:rPr>
      <w:rFonts w:cs="Times New Roman"/>
    </w:rPr>
  </w:style>
  <w:style w:type="character" w:styleId="Lienhypertexte">
    <w:name w:val="Hyperlink"/>
    <w:basedOn w:val="Policepardfaut"/>
    <w:rsid w:val="00653823"/>
    <w:rPr>
      <w:rFonts w:cs="Times New Roman"/>
      <w:color w:val="375D9D"/>
      <w:u w:val="none"/>
      <w:effect w:val="none"/>
      <w:shd w:val="clear" w:color="auto" w:fill="auto"/>
    </w:rPr>
  </w:style>
  <w:style w:type="character" w:styleId="Lienhypertextesuivivisit">
    <w:name w:val="FollowedHyperlink"/>
    <w:basedOn w:val="Policepardfaut"/>
    <w:rsid w:val="00653823"/>
    <w:rPr>
      <w:color w:val="800080"/>
      <w:u w:val="single"/>
    </w:rPr>
  </w:style>
  <w:style w:type="character" w:customStyle="1" w:styleId="label-z">
    <w:name w:val="label-z"/>
    <w:basedOn w:val="Policepardfaut"/>
    <w:rsid w:val="00940816"/>
    <w:rPr>
      <w:rFonts w:cs="Times New Roman"/>
    </w:rPr>
  </w:style>
  <w:style w:type="character" w:customStyle="1" w:styleId="widthfixforlabel1">
    <w:name w:val="widthfixforlabel1"/>
    <w:basedOn w:val="Policepardfaut"/>
    <w:rsid w:val="00940816"/>
    <w:rPr>
      <w:rFonts w:cs="Times New Roman"/>
    </w:rPr>
  </w:style>
  <w:style w:type="paragraph" w:styleId="Textedebulles">
    <w:name w:val="Balloon Text"/>
    <w:basedOn w:val="Normal"/>
    <w:link w:val="TextedebullesCar"/>
    <w:rsid w:val="004667D0"/>
    <w:rPr>
      <w:rFonts w:ascii="Segoe UI" w:hAnsi="Segoe UI" w:cs="Segoe UI"/>
      <w:sz w:val="18"/>
      <w:szCs w:val="18"/>
    </w:rPr>
  </w:style>
  <w:style w:type="character" w:customStyle="1" w:styleId="TextedebullesCar">
    <w:name w:val="Texte de bulles Car"/>
    <w:basedOn w:val="Policepardfaut"/>
    <w:link w:val="Textedebulles"/>
    <w:rsid w:val="004667D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5230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4072</Words>
  <Characters>22397</Characters>
  <Application>Microsoft Office Word</Application>
  <DocSecurity>0</DocSecurity>
  <Lines>186</Lines>
  <Paragraphs>52</Paragraphs>
  <ScaleCrop>false</ScaleCrop>
  <Company/>
  <LinksUpToDate>false</LinksUpToDate>
  <CharactersWithSpaces>26417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2019-10-15T13:10:00Z</dcterms:created>
  <dcterms:modified xsi:type="dcterms:W3CDTF">2019-10-15T13:10:00Z</dcterms:modified>
</cp:coreProperties>
</file>