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trPr>
          <w:cantSplit/>
        </w:trPr>
        <w:tc>
          <w:tcPr>
            <w:tcW w:w="4795" w:type="dxa"/>
          </w:tcPr>
          <w:p w:rsidR="008A7FD1" w:rsidRPr="00D34307" w:rsidRDefault="00D34307" w:rsidP="00D34307">
            <w:pPr>
              <w:pStyle w:val="zSoquijdatRepertorie"/>
              <w:rPr>
                <w:rFonts w:cs="Arial"/>
              </w:rPr>
            </w:pPr>
            <w:bookmarkStart w:id="0" w:name="_GoBack"/>
            <w:bookmarkEnd w:id="0"/>
            <w:r>
              <w:rPr>
                <w:rFonts w:cs="Arial"/>
              </w:rPr>
              <w:t>7923082 Canada Ltd. et Carvalho</w:t>
            </w:r>
          </w:p>
        </w:tc>
        <w:tc>
          <w:tcPr>
            <w:tcW w:w="2477" w:type="dxa"/>
          </w:tcPr>
          <w:p w:rsidR="008A7FD1" w:rsidRPr="00BE26AE" w:rsidRDefault="00BE26AE" w:rsidP="00BE26AE">
            <w:pPr>
              <w:pStyle w:val="zSoquijdatRefNeutre"/>
              <w:rPr>
                <w:rFonts w:cs="Arial"/>
              </w:rPr>
            </w:pPr>
            <w:r w:rsidRPr="00BE26AE">
              <w:rPr>
                <w:rFonts w:cs="Arial"/>
              </w:rPr>
              <w:t>2021 QCTAT 207</w:t>
            </w:r>
          </w:p>
        </w:tc>
      </w:tr>
    </w:tbl>
    <w:p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rsidTr="002A374B">
        <w:trPr>
          <w:cantSplit/>
        </w:trPr>
        <w:tc>
          <w:tcPr>
            <w:tcW w:w="9568" w:type="dxa"/>
            <w:gridSpan w:val="4"/>
          </w:tcPr>
          <w:p w:rsidR="00C74B6F" w:rsidRPr="00BE1981" w:rsidRDefault="00C74B6F">
            <w:pPr>
              <w:rPr>
                <w:szCs w:val="24"/>
              </w:rPr>
            </w:pPr>
          </w:p>
        </w:tc>
      </w:tr>
      <w:tr w:rsidR="00C74B6F" w:rsidTr="002A374B">
        <w:trPr>
          <w:cantSplit/>
        </w:trPr>
        <w:tc>
          <w:tcPr>
            <w:tcW w:w="9568" w:type="dxa"/>
            <w:gridSpan w:val="4"/>
            <w:vAlign w:val="center"/>
          </w:tcPr>
          <w:p w:rsidR="00C74B6F" w:rsidRPr="000E1320" w:rsidRDefault="000E1320">
            <w:pPr>
              <w:jc w:val="center"/>
              <w:rPr>
                <w:sz w:val="36"/>
                <w:szCs w:val="36"/>
              </w:rPr>
            </w:pPr>
            <w:r w:rsidRPr="000E1320">
              <w:rPr>
                <w:b/>
                <w:sz w:val="36"/>
                <w:szCs w:val="36"/>
              </w:rPr>
              <w:t>TRIBUNAL ADMINISTRATIF DU TRAVAIL</w:t>
            </w:r>
          </w:p>
        </w:tc>
      </w:tr>
      <w:tr w:rsidR="00C74B6F" w:rsidTr="002A374B">
        <w:trPr>
          <w:cantSplit/>
        </w:trPr>
        <w:tc>
          <w:tcPr>
            <w:tcW w:w="9568" w:type="dxa"/>
            <w:gridSpan w:val="4"/>
          </w:tcPr>
          <w:p w:rsidR="00C74B6F" w:rsidRPr="00BE7014" w:rsidRDefault="006F0154" w:rsidP="009A67E7">
            <w:pPr>
              <w:pStyle w:val="zSoquijdatDivision"/>
            </w:pPr>
            <w:r w:rsidRPr="00BE7014">
              <w:t>(</w:t>
            </w:r>
            <w:r w:rsidR="00D0145A" w:rsidRPr="00441ADA">
              <w:t>Division de la santé et de la sécurité du travail</w:t>
            </w:r>
            <w:r w:rsidRPr="00BE7014">
              <w:t>)</w:t>
            </w:r>
          </w:p>
        </w:tc>
      </w:tr>
      <w:tr w:rsidR="00C74B6F" w:rsidTr="002A374B">
        <w:trPr>
          <w:cantSplit/>
        </w:trPr>
        <w:tc>
          <w:tcPr>
            <w:tcW w:w="9568" w:type="dxa"/>
            <w:gridSpan w:val="4"/>
          </w:tcPr>
          <w:p w:rsidR="002B2FC3" w:rsidRDefault="002B2FC3" w:rsidP="002B2FC3"/>
        </w:tc>
      </w:tr>
      <w:tr w:rsidR="00A84FC6" w:rsidTr="002A374B">
        <w:trPr>
          <w:cantSplit/>
        </w:trPr>
        <w:tc>
          <w:tcPr>
            <w:tcW w:w="9568" w:type="dxa"/>
            <w:gridSpan w:val="4"/>
          </w:tcPr>
          <w:p w:rsidR="00A84FC6" w:rsidRDefault="00A84FC6" w:rsidP="002B2FC3"/>
        </w:tc>
      </w:tr>
      <w:tr w:rsidR="00C74B6F" w:rsidTr="005E654C">
        <w:tc>
          <w:tcPr>
            <w:tcW w:w="3614" w:type="dxa"/>
          </w:tcPr>
          <w:p w:rsidR="00C74B6F" w:rsidRDefault="0084255F">
            <w:bookmarkStart w:id="1" w:name="region" w:colFirst="1" w:colLast="1"/>
            <w:r>
              <w:t>Région :</w:t>
            </w:r>
          </w:p>
        </w:tc>
        <w:tc>
          <w:tcPr>
            <w:tcW w:w="5954" w:type="dxa"/>
            <w:gridSpan w:val="3"/>
          </w:tcPr>
          <w:p w:rsidR="00C74B6F" w:rsidRDefault="00D0145A" w:rsidP="00F4095A">
            <w:pPr>
              <w:pStyle w:val="zSoquijdatGreffe"/>
            </w:pPr>
            <w:r>
              <w:t>Montréal</w:t>
            </w:r>
          </w:p>
        </w:tc>
      </w:tr>
      <w:bookmarkEnd w:id="1"/>
      <w:tr w:rsidR="00C74B6F" w:rsidTr="002A374B">
        <w:trPr>
          <w:cantSplit/>
        </w:trPr>
        <w:tc>
          <w:tcPr>
            <w:tcW w:w="9568" w:type="dxa"/>
            <w:gridSpan w:val="4"/>
          </w:tcPr>
          <w:p w:rsidR="00C74B6F" w:rsidRDefault="00C74B6F"/>
        </w:tc>
      </w:tr>
      <w:tr w:rsidR="00C74B6F" w:rsidTr="005E654C">
        <w:tc>
          <w:tcPr>
            <w:tcW w:w="3614" w:type="dxa"/>
          </w:tcPr>
          <w:p w:rsidR="00C74B6F" w:rsidRDefault="0084255F">
            <w:bookmarkStart w:id="2" w:name="ref_dossier" w:colFirst="1" w:colLast="1"/>
            <w:r>
              <w:t>Dossier</w:t>
            </w:r>
            <w:bookmarkStart w:id="3" w:name="dossiers"/>
            <w:bookmarkEnd w:id="3"/>
            <w:r>
              <w:t> :</w:t>
            </w:r>
          </w:p>
        </w:tc>
        <w:tc>
          <w:tcPr>
            <w:tcW w:w="5954" w:type="dxa"/>
            <w:gridSpan w:val="3"/>
          </w:tcPr>
          <w:p w:rsidR="00C74B6F" w:rsidRDefault="003D4791" w:rsidP="00F4095A">
            <w:pPr>
              <w:pStyle w:val="zSoquijdatNoDossier"/>
            </w:pPr>
            <w:r>
              <w:t>725041</w:t>
            </w:r>
            <w:r w:rsidR="00D0145A">
              <w:t>-71-2001</w:t>
            </w:r>
          </w:p>
        </w:tc>
      </w:tr>
      <w:bookmarkEnd w:id="2"/>
      <w:tr w:rsidR="00C74B6F" w:rsidTr="002A374B">
        <w:trPr>
          <w:cantSplit/>
        </w:trPr>
        <w:tc>
          <w:tcPr>
            <w:tcW w:w="9568" w:type="dxa"/>
            <w:gridSpan w:val="4"/>
          </w:tcPr>
          <w:p w:rsidR="00C74B6F" w:rsidRDefault="00D44BCF">
            <w:r>
              <w:fldChar w:fldCharType="begin"/>
            </w:r>
            <w:r>
              <w:instrText xml:space="preserve"> AUTOTEXTLIST  \* Upper  \* MERGEFORMAT </w:instrText>
            </w:r>
            <w:r>
              <w:fldChar w:fldCharType="end"/>
            </w:r>
          </w:p>
        </w:tc>
      </w:tr>
      <w:tr w:rsidR="00C74B6F" w:rsidTr="005E654C">
        <w:tc>
          <w:tcPr>
            <w:tcW w:w="3614" w:type="dxa"/>
          </w:tcPr>
          <w:p w:rsidR="00C74B6F" w:rsidRDefault="008C79A7" w:rsidP="0045114F">
            <w:pPr>
              <w:ind w:right="46"/>
            </w:pPr>
            <w:r>
              <w:t xml:space="preserve">Dossier </w:t>
            </w:r>
            <w:r w:rsidR="00D0145A" w:rsidRPr="00D0145A">
              <w:rPr>
                <w:szCs w:val="24"/>
              </w:rPr>
              <w:t>CNESST</w:t>
            </w:r>
            <w:r w:rsidRPr="008C79A7">
              <w:rPr>
                <w:szCs w:val="24"/>
              </w:rPr>
              <w:t xml:space="preserve"> :</w:t>
            </w:r>
          </w:p>
        </w:tc>
        <w:tc>
          <w:tcPr>
            <w:tcW w:w="5954" w:type="dxa"/>
            <w:gridSpan w:val="3"/>
          </w:tcPr>
          <w:p w:rsidR="00C74B6F" w:rsidRDefault="00D0145A" w:rsidP="004D6CEA">
            <w:pPr>
              <w:pStyle w:val="zSoquijdatNCSST"/>
            </w:pPr>
            <w:r>
              <w:t>506725241</w:t>
            </w:r>
          </w:p>
        </w:tc>
      </w:tr>
      <w:tr w:rsidR="00C74B6F" w:rsidTr="002A374B">
        <w:trPr>
          <w:cantSplit/>
        </w:trPr>
        <w:tc>
          <w:tcPr>
            <w:tcW w:w="9568" w:type="dxa"/>
            <w:gridSpan w:val="4"/>
          </w:tcPr>
          <w:p w:rsidR="00C74B6F" w:rsidRDefault="00C74B6F"/>
        </w:tc>
      </w:tr>
      <w:tr w:rsidR="00C74B6F" w:rsidTr="002A374B">
        <w:trPr>
          <w:cantSplit/>
        </w:trPr>
        <w:tc>
          <w:tcPr>
            <w:tcW w:w="9568" w:type="dxa"/>
            <w:gridSpan w:val="4"/>
          </w:tcPr>
          <w:p w:rsidR="00C74B6F" w:rsidRDefault="00C74B6F"/>
        </w:tc>
      </w:tr>
      <w:tr w:rsidR="006E3DD8" w:rsidTr="005E654C">
        <w:trPr>
          <w:cantSplit/>
        </w:trPr>
        <w:tc>
          <w:tcPr>
            <w:tcW w:w="3614" w:type="dxa"/>
          </w:tcPr>
          <w:p w:rsidR="006E3DD8" w:rsidRDefault="00D0145A" w:rsidP="006E3DD8">
            <w:pPr>
              <w:tabs>
                <w:tab w:val="left" w:pos="2672"/>
              </w:tabs>
            </w:pPr>
            <w:r>
              <w:t>Montréal</w:t>
            </w:r>
            <w:r w:rsidR="00C04E32">
              <w:t>,</w:t>
            </w:r>
          </w:p>
        </w:tc>
        <w:tc>
          <w:tcPr>
            <w:tcW w:w="5954" w:type="dxa"/>
            <w:gridSpan w:val="3"/>
          </w:tcPr>
          <w:p w:rsidR="006E3DD8" w:rsidRDefault="00C04E32" w:rsidP="00D0145A">
            <w:pPr>
              <w:pStyle w:val="zSoquijdatDateJugement"/>
            </w:pPr>
            <w:r>
              <w:t xml:space="preserve">le </w:t>
            </w:r>
            <w:r w:rsidR="00D0145A">
              <w:t>14 janvier 2021</w:t>
            </w:r>
          </w:p>
        </w:tc>
      </w:tr>
      <w:tr w:rsidR="00942AB8" w:rsidTr="002A374B">
        <w:trPr>
          <w:cantSplit/>
        </w:trPr>
        <w:tc>
          <w:tcPr>
            <w:tcW w:w="9568" w:type="dxa"/>
            <w:gridSpan w:val="4"/>
          </w:tcPr>
          <w:p w:rsidR="00942AB8" w:rsidRDefault="00942AB8" w:rsidP="00FA153F">
            <w:r>
              <w:t>______________________________________________________________________</w:t>
            </w:r>
          </w:p>
        </w:tc>
      </w:tr>
      <w:tr w:rsidR="00942AB8" w:rsidTr="002A374B">
        <w:trPr>
          <w:cantSplit/>
          <w:trHeight w:val="148"/>
        </w:trPr>
        <w:tc>
          <w:tcPr>
            <w:tcW w:w="9568" w:type="dxa"/>
            <w:gridSpan w:val="4"/>
          </w:tcPr>
          <w:p w:rsidR="00942AB8" w:rsidRDefault="00942AB8" w:rsidP="00FA153F"/>
        </w:tc>
      </w:tr>
      <w:tr w:rsidR="0035375B" w:rsidTr="00A12E55">
        <w:trPr>
          <w:cantSplit/>
          <w:trHeight w:val="148"/>
        </w:trPr>
        <w:tc>
          <w:tcPr>
            <w:tcW w:w="5457" w:type="dxa"/>
            <w:gridSpan w:val="3"/>
          </w:tcPr>
          <w:p w:rsidR="0035375B" w:rsidRPr="00942AB8" w:rsidRDefault="0035375B" w:rsidP="00D0145A">
            <w:pPr>
              <w:rPr>
                <w:b/>
                <w:bCs/>
              </w:rPr>
            </w:pPr>
            <w:bookmarkStart w:id="4" w:name="ref_commissaire" w:colFirst="1" w:colLast="1"/>
            <w:r w:rsidRPr="00942AB8">
              <w:rPr>
                <w:b/>
                <w:bCs/>
              </w:rPr>
              <w:t>DEVANT L</w:t>
            </w:r>
            <w:r w:rsidR="00D0145A">
              <w:rPr>
                <w:b/>
                <w:bCs/>
              </w:rPr>
              <w:t>A</w:t>
            </w:r>
            <w:r w:rsidRPr="00942AB8">
              <w:rPr>
                <w:b/>
                <w:bCs/>
              </w:rPr>
              <w:t xml:space="preserve"> JUGE ADMINISTRATI</w:t>
            </w:r>
            <w:r w:rsidR="00D0145A">
              <w:rPr>
                <w:b/>
                <w:bCs/>
              </w:rPr>
              <w:t>VE</w:t>
            </w:r>
            <w:r w:rsidRPr="00942AB8">
              <w:rPr>
                <w:b/>
                <w:bCs/>
              </w:rPr>
              <w:t> :</w:t>
            </w:r>
          </w:p>
        </w:tc>
        <w:tc>
          <w:tcPr>
            <w:tcW w:w="4111" w:type="dxa"/>
          </w:tcPr>
          <w:p w:rsidR="0035375B" w:rsidRPr="00942AB8" w:rsidRDefault="00D0145A" w:rsidP="005B5689">
            <w:pPr>
              <w:pStyle w:val="zSoquijdatJuge"/>
              <w:rPr>
                <w:bCs/>
              </w:rPr>
            </w:pPr>
            <w:r>
              <w:t>Anne Vaillancourt</w:t>
            </w:r>
          </w:p>
        </w:tc>
      </w:tr>
      <w:bookmarkEnd w:id="4"/>
      <w:tr w:rsidR="00942AB8" w:rsidTr="002A374B">
        <w:trPr>
          <w:cantSplit/>
          <w:trHeight w:val="148"/>
        </w:trPr>
        <w:tc>
          <w:tcPr>
            <w:tcW w:w="9568" w:type="dxa"/>
            <w:gridSpan w:val="4"/>
          </w:tcPr>
          <w:p w:rsidR="00942AB8" w:rsidRDefault="00942AB8" w:rsidP="00FA153F">
            <w:r>
              <w:t>______________________________________________________________________</w:t>
            </w:r>
          </w:p>
        </w:tc>
      </w:tr>
      <w:tr w:rsidR="00942AB8" w:rsidTr="002A374B">
        <w:tc>
          <w:tcPr>
            <w:tcW w:w="9568" w:type="dxa"/>
            <w:gridSpan w:val="4"/>
          </w:tcPr>
          <w:p w:rsidR="00942AB8" w:rsidRDefault="00942AB8"/>
        </w:tc>
      </w:tr>
      <w:tr w:rsidR="00942AB8" w:rsidTr="00D40ABA">
        <w:tc>
          <w:tcPr>
            <w:tcW w:w="4748" w:type="dxa"/>
            <w:gridSpan w:val="2"/>
          </w:tcPr>
          <w:p w:rsidR="00942AB8" w:rsidRDefault="00942AB8">
            <w:bookmarkStart w:id="5" w:name="bloc_parties_gauche"/>
            <w:bookmarkEnd w:id="5"/>
          </w:p>
        </w:tc>
        <w:tc>
          <w:tcPr>
            <w:tcW w:w="4820" w:type="dxa"/>
            <w:gridSpan w:val="2"/>
          </w:tcPr>
          <w:p w:rsidR="00942AB8" w:rsidRDefault="00942AB8"/>
        </w:tc>
      </w:tr>
      <w:tr w:rsidR="00942AB8" w:rsidTr="00D40ABA">
        <w:tc>
          <w:tcPr>
            <w:tcW w:w="4748" w:type="dxa"/>
            <w:gridSpan w:val="2"/>
          </w:tcPr>
          <w:p w:rsidR="00942AB8" w:rsidRDefault="00D0145A">
            <w:pPr>
              <w:pStyle w:val="zSoquijdatNomPartieDem"/>
              <w:rPr>
                <w:b/>
              </w:rPr>
            </w:pPr>
            <w:r>
              <w:rPr>
                <w:b/>
              </w:rPr>
              <w:t>7923082 Canada ltd</w:t>
            </w:r>
          </w:p>
        </w:tc>
        <w:tc>
          <w:tcPr>
            <w:tcW w:w="4820" w:type="dxa"/>
            <w:gridSpan w:val="2"/>
          </w:tcPr>
          <w:p w:rsidR="00942AB8" w:rsidRDefault="00942AB8"/>
        </w:tc>
      </w:tr>
      <w:tr w:rsidR="00942AB8" w:rsidTr="00D40ABA">
        <w:tc>
          <w:tcPr>
            <w:tcW w:w="4748" w:type="dxa"/>
            <w:gridSpan w:val="2"/>
          </w:tcPr>
          <w:p w:rsidR="00942AB8" w:rsidRDefault="00D0145A">
            <w:pPr>
              <w:pStyle w:val="zSoquijdatQtePartieDem"/>
              <w:ind w:left="708"/>
            </w:pPr>
            <w:r>
              <w:t>Partie demanderesse</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D0145A" w:rsidP="00D06652">
            <w:pPr>
              <w:pStyle w:val="zSoquijlblLienParties"/>
            </w:pPr>
            <w:r>
              <w:t>et</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D0145A">
            <w:pPr>
              <w:pStyle w:val="zSoquijdatNomPartieDef"/>
              <w:rPr>
                <w:b/>
              </w:rPr>
            </w:pPr>
            <w:r>
              <w:rPr>
                <w:b/>
              </w:rPr>
              <w:t>Marc Carvalho</w:t>
            </w:r>
          </w:p>
        </w:tc>
        <w:tc>
          <w:tcPr>
            <w:tcW w:w="4820" w:type="dxa"/>
            <w:gridSpan w:val="2"/>
          </w:tcPr>
          <w:p w:rsidR="00942AB8" w:rsidRDefault="00942AB8"/>
        </w:tc>
      </w:tr>
      <w:tr w:rsidR="00942AB8" w:rsidTr="00D40ABA">
        <w:tc>
          <w:tcPr>
            <w:tcW w:w="4748" w:type="dxa"/>
            <w:gridSpan w:val="2"/>
          </w:tcPr>
          <w:p w:rsidR="00942AB8" w:rsidRDefault="00D0145A">
            <w:pPr>
              <w:pStyle w:val="zSoquijdatQtePartieDef"/>
              <w:ind w:left="708"/>
            </w:pPr>
            <w:r>
              <w:t>Partie mise en cause</w:t>
            </w:r>
          </w:p>
        </w:tc>
        <w:tc>
          <w:tcPr>
            <w:tcW w:w="4820" w:type="dxa"/>
            <w:gridSpan w:val="2"/>
          </w:tcPr>
          <w:p w:rsidR="00942AB8" w:rsidRDefault="00942AB8"/>
        </w:tc>
      </w:tr>
      <w:tr w:rsidR="0065093D" w:rsidTr="00D40ABA">
        <w:tc>
          <w:tcPr>
            <w:tcW w:w="4748" w:type="dxa"/>
            <w:gridSpan w:val="2"/>
          </w:tcPr>
          <w:p w:rsidR="0065093D" w:rsidRDefault="0065093D"/>
        </w:tc>
        <w:tc>
          <w:tcPr>
            <w:tcW w:w="4820" w:type="dxa"/>
            <w:gridSpan w:val="2"/>
          </w:tcPr>
          <w:p w:rsidR="0065093D" w:rsidRDefault="0065093D"/>
        </w:tc>
      </w:tr>
      <w:tr w:rsidR="00942AB8" w:rsidTr="00D40ABA">
        <w:tc>
          <w:tcPr>
            <w:tcW w:w="4748" w:type="dxa"/>
            <w:gridSpan w:val="2"/>
          </w:tcPr>
          <w:p w:rsidR="00942AB8" w:rsidRDefault="00942AB8"/>
        </w:tc>
        <w:tc>
          <w:tcPr>
            <w:tcW w:w="4820" w:type="dxa"/>
            <w:gridSpan w:val="2"/>
          </w:tcPr>
          <w:p w:rsidR="00942AB8" w:rsidRDefault="00942AB8"/>
        </w:tc>
      </w:tr>
    </w:tbl>
    <w:p w:rsidR="00C74B6F" w:rsidRDefault="00C74B6F">
      <w:r>
        <w:t>______________________________________________________________________</w:t>
      </w:r>
    </w:p>
    <w:p w:rsidR="00C74B6F" w:rsidRDefault="00C74B6F"/>
    <w:p w:rsidR="00C74B6F" w:rsidRPr="005B0612" w:rsidRDefault="00C74B6F" w:rsidP="008B042E">
      <w:pPr>
        <w:jc w:val="center"/>
        <w:rPr>
          <w:b/>
          <w:bCs/>
        </w:rPr>
      </w:pPr>
      <w:bookmarkStart w:id="6" w:name="decision"/>
      <w:r w:rsidRPr="005B0612">
        <w:rPr>
          <w:b/>
          <w:bCs/>
        </w:rPr>
        <w:t>DÉCISION</w:t>
      </w:r>
      <w:bookmarkEnd w:id="6"/>
    </w:p>
    <w:p w:rsidR="00C74B6F" w:rsidRDefault="00C74B6F">
      <w:pPr>
        <w:jc w:val="center"/>
      </w:pPr>
      <w:r>
        <w:t>______________________________________________________________________</w:t>
      </w:r>
    </w:p>
    <w:p w:rsidR="00C74B6F" w:rsidRDefault="00C74B6F"/>
    <w:p w:rsidR="00C74B6F" w:rsidRDefault="00C74B6F"/>
    <w:p w:rsidR="009601BF" w:rsidRPr="009601BF" w:rsidRDefault="009601BF" w:rsidP="009601BF">
      <w:pPr>
        <w:pStyle w:val="corpsdedcision"/>
        <w:numPr>
          <w:ilvl w:val="0"/>
          <w:numId w:val="0"/>
        </w:numPr>
        <w:rPr>
          <w:b/>
        </w:rPr>
      </w:pPr>
      <w:r w:rsidRPr="009601BF">
        <w:rPr>
          <w:b/>
        </w:rPr>
        <w:t>APERÇU</w:t>
      </w:r>
    </w:p>
    <w:p w:rsidR="00C74B6F" w:rsidRDefault="0051753A">
      <w:pPr>
        <w:pStyle w:val="corpsdedcision"/>
      </w:pPr>
      <w:r>
        <w:t xml:space="preserve">Monsieur Marc Carvalho, le travailleur, a occupé un emploi de spécialiste en stratégie numérique chez 7923082 Canada Ltd, l’employeur, </w:t>
      </w:r>
      <w:r w:rsidR="00131E70">
        <w:t>à compter du 4 avril 2019.</w:t>
      </w:r>
    </w:p>
    <w:p w:rsidR="0051753A" w:rsidRDefault="0051753A">
      <w:pPr>
        <w:pStyle w:val="corpsdedcision"/>
      </w:pPr>
      <w:r>
        <w:t>Le 3 mai 2019, durant la pause</w:t>
      </w:r>
      <w:r w:rsidR="00131E70">
        <w:t xml:space="preserve"> de l’après-midi</w:t>
      </w:r>
      <w:r>
        <w:t>, le travailleur se blesse en jouant au tennis de table avec une collègue. La</w:t>
      </w:r>
      <w:r w:rsidR="005E5BEB">
        <w:t xml:space="preserve"> table est située dans la salle de repas ou de repos mise à la disposition des travailleurs.</w:t>
      </w:r>
    </w:p>
    <w:p w:rsidR="005E5BEB" w:rsidRDefault="005E5BEB">
      <w:pPr>
        <w:pStyle w:val="corpsdedcision"/>
      </w:pPr>
      <w:r>
        <w:t xml:space="preserve">Le diagnostic est celui de luxation de l’épaule droite. </w:t>
      </w:r>
      <w:r w:rsidRPr="00713550">
        <w:t>Il est noté à l’attestation médicale qu</w:t>
      </w:r>
      <w:r w:rsidR="00C147D1" w:rsidRPr="00713550">
        <w:t>’il s’agit d’une récidive d’une luxation de l’épaule droite.</w:t>
      </w:r>
      <w:r w:rsidR="00C147D1">
        <w:t xml:space="preserve"> </w:t>
      </w:r>
      <w:r>
        <w:t xml:space="preserve">Le travailleur confirme avoir subi une luxation </w:t>
      </w:r>
      <w:r w:rsidR="00131E70">
        <w:t xml:space="preserve">de la même épaule </w:t>
      </w:r>
      <w:r>
        <w:t>un an avant lors d’un accident de ski</w:t>
      </w:r>
      <w:r w:rsidR="00063394">
        <w:t>,</w:t>
      </w:r>
      <w:r>
        <w:t xml:space="preserve"> mais que celle-ci était entrée </w:t>
      </w:r>
      <w:r w:rsidR="00131E70">
        <w:t>dans l’ordre.</w:t>
      </w:r>
    </w:p>
    <w:p w:rsidR="005E5BEB" w:rsidRDefault="005E5BEB">
      <w:pPr>
        <w:pStyle w:val="corpsdedcision"/>
      </w:pPr>
      <w:r>
        <w:t xml:space="preserve">Le travailleur produit une réclamation à la </w:t>
      </w:r>
      <w:r w:rsidR="00063394">
        <w:t>Commission des normes, de l’équité, de la santé et de la sécurité du travail</w:t>
      </w:r>
      <w:r>
        <w:t xml:space="preserve"> (la Commission). Le 9 sep</w:t>
      </w:r>
      <w:r w:rsidR="00063394">
        <w:t>tembre 2019, la Commission rend</w:t>
      </w:r>
      <w:r>
        <w:t xml:space="preserve"> une décision refusant sa réclamation. À la suite d’une </w:t>
      </w:r>
      <w:r w:rsidR="009601BF">
        <w:t xml:space="preserve">demande de révision </w:t>
      </w:r>
      <w:r>
        <w:t>du travailleur, la Commission rend une décision à la suite d’un</w:t>
      </w:r>
      <w:r w:rsidR="00063394">
        <w:t>e révision administrative le 25 </w:t>
      </w:r>
      <w:r>
        <w:t>novembre 2019</w:t>
      </w:r>
      <w:r w:rsidR="009601BF">
        <w:t>, laquelle reconnaît qu’il a subi un accident du travail. L’employeur dépose au Tribunal un acte introductif à l’encontre de cette décision, d’où le présent litige.</w:t>
      </w:r>
    </w:p>
    <w:p w:rsidR="009601BF" w:rsidRDefault="009601BF">
      <w:pPr>
        <w:pStyle w:val="corpsdedcision"/>
      </w:pPr>
      <w:r>
        <w:t>L’employeur demande au Tribunal de reconnaître que l’accident ne s’est pas produit à l’occasion du travail. D’une part, il allègue que la blessure était déjà présente</w:t>
      </w:r>
      <w:r w:rsidR="00063394">
        <w:t>,</w:t>
      </w:r>
      <w:r>
        <w:t xml:space="preserve"> puisque le travailleur s’est déjà blessé l’épaule droite lors d’un accident de ski. De plus, il plaide qu’il ne s’agit pas d’une activité connexe au travail et qui n’a pas d’utilité avec le travail. Il s’agit d’une blessure personnelle qui s’est manifestée lors d’une activité personnelle, soit de jouer au tennis de table.</w:t>
      </w:r>
    </w:p>
    <w:p w:rsidR="00C147D1" w:rsidRPr="00C147D1" w:rsidRDefault="00C96FC2" w:rsidP="0086678D">
      <w:pPr>
        <w:pStyle w:val="corpsdedcision"/>
        <w:numPr>
          <w:ilvl w:val="0"/>
          <w:numId w:val="0"/>
        </w:numPr>
        <w:rPr>
          <w:u w:val="single"/>
        </w:rPr>
      </w:pPr>
      <w:r>
        <w:t>Le Tribunal conclut à partir de l’analyse de la preuve que l’accident n’est pas relié au travail ni aux conditions de celui-ci. Mis à part le mouvement effectué par le travailleur en jouant au tennis de table</w:t>
      </w:r>
      <w:r w:rsidRPr="00713550">
        <w:t xml:space="preserve">, </w:t>
      </w:r>
      <w:r w:rsidR="00C147D1" w:rsidRPr="00713550">
        <w:t>il</w:t>
      </w:r>
      <w:r w:rsidRPr="00713550">
        <w:t xml:space="preserve"> n’est pas survenu d’événement particulier à l’origine de ce nouvel épisode de luxation</w:t>
      </w:r>
      <w:r>
        <w:t xml:space="preserve">. Or, le diagnostic posé est celui de luxation récidivante de l’épaule droite. Dans les circonstances, le Tribunal est d’avis que l’accident est relié davantage à des facteurs intrinsèques au travailleur dont l’existence d’une luxation antérieure, </w:t>
      </w:r>
      <w:r w:rsidR="00C147D1" w:rsidRPr="00713550">
        <w:t xml:space="preserve">plutôt </w:t>
      </w:r>
      <w:r w:rsidRPr="00713550">
        <w:t>qu’</w:t>
      </w:r>
      <w:r w:rsidR="00C147D1" w:rsidRPr="00713550">
        <w:t>à son travail ou aux conditions de celui-ci.</w:t>
      </w:r>
      <w:r w:rsidR="00C147D1" w:rsidRPr="00C147D1">
        <w:rPr>
          <w:u w:val="single"/>
        </w:rPr>
        <w:t xml:space="preserve"> </w:t>
      </w:r>
    </w:p>
    <w:p w:rsidR="009601BF" w:rsidRPr="00C147D1" w:rsidRDefault="009601BF" w:rsidP="0086678D">
      <w:pPr>
        <w:pStyle w:val="corpsdedcision"/>
        <w:numPr>
          <w:ilvl w:val="0"/>
          <w:numId w:val="0"/>
        </w:numPr>
        <w:rPr>
          <w:b/>
        </w:rPr>
      </w:pPr>
      <w:r w:rsidRPr="00C147D1">
        <w:rPr>
          <w:b/>
        </w:rPr>
        <w:t>ANALYSE</w:t>
      </w:r>
    </w:p>
    <w:p w:rsidR="009601BF" w:rsidRDefault="009601BF" w:rsidP="009601BF">
      <w:pPr>
        <w:pStyle w:val="corpsdedcision"/>
      </w:pPr>
      <w:r>
        <w:t xml:space="preserve">Le Tribunal doit décider si le travailleur a subi une </w:t>
      </w:r>
      <w:r w:rsidRPr="00902ECE">
        <w:t>lésion professionnelle</w:t>
      </w:r>
      <w:r>
        <w:t xml:space="preserve"> le 3 mai 2019.</w:t>
      </w:r>
    </w:p>
    <w:p w:rsidR="009601BF" w:rsidRDefault="00131E70" w:rsidP="009601BF">
      <w:pPr>
        <w:pStyle w:val="corpsdedcision"/>
      </w:pPr>
      <w:r>
        <w:t xml:space="preserve">Selon l’article 2 de la </w:t>
      </w:r>
      <w:r w:rsidR="00063394" w:rsidRPr="00C57EEB">
        <w:rPr>
          <w:i/>
          <w:iCs/>
        </w:rPr>
        <w:t>Loi sur les accidents du travail et les maladies professionnelles</w:t>
      </w:r>
      <w:r w:rsidR="00063394">
        <w:rPr>
          <w:rStyle w:val="Appelnotedebasdep"/>
        </w:rPr>
        <w:footnoteReference w:id="1"/>
      </w:r>
      <w:r w:rsidR="00063394">
        <w:rPr>
          <w:iCs/>
        </w:rPr>
        <w:t xml:space="preserve"> (la Loi), </w:t>
      </w:r>
      <w:r>
        <w:t xml:space="preserve">la notion de </w:t>
      </w:r>
      <w:r w:rsidRPr="00902ECE">
        <w:t>lésion professionnelle</w:t>
      </w:r>
      <w:r>
        <w:t xml:space="preserve"> est définie comme étant une blessure ou une maladie qui survient par le fait </w:t>
      </w:r>
      <w:r w:rsidR="00024693">
        <w:t xml:space="preserve">ou à l’occasion </w:t>
      </w:r>
      <w:r>
        <w:t>d’un accident du travail ou d’une maladie professionnelle.</w:t>
      </w:r>
    </w:p>
    <w:p w:rsidR="00024693" w:rsidRDefault="00131E70" w:rsidP="00BF73C9">
      <w:pPr>
        <w:pStyle w:val="corpsdedcision"/>
      </w:pPr>
      <w:r>
        <w:t xml:space="preserve">En l’espèce, le travailleur invoque un </w:t>
      </w:r>
      <w:r w:rsidR="00C96FC2">
        <w:t xml:space="preserve">mouvement </w:t>
      </w:r>
      <w:r>
        <w:t>qu’il a effectué lors d’une partie de tennis de table comme étant à l’origine de sa lésion plutôt que la survenance graduelle de symptômes. La réclamation doit donc être analysée sous l’angle d’un accident du travail plut</w:t>
      </w:r>
      <w:r w:rsidR="00024693">
        <w:t xml:space="preserve">ôt que d’une maladie professionnelle. </w:t>
      </w:r>
    </w:p>
    <w:p w:rsidR="00024693" w:rsidRDefault="00024693" w:rsidP="00BF73C9">
      <w:pPr>
        <w:pStyle w:val="corpsdedcision"/>
      </w:pPr>
      <w:r>
        <w:t xml:space="preserve">La notion </w:t>
      </w:r>
      <w:r w:rsidRPr="00063394">
        <w:t>d’accident du travail</w:t>
      </w:r>
      <w:r>
        <w:t xml:space="preserve"> est définie à l’article 2 de la Loi comme étant un événement imprévu et soudain, survenu par le fait ou à l’occasion du travail et qui entraîne une lésion. </w:t>
      </w:r>
    </w:p>
    <w:p w:rsidR="00024693" w:rsidRDefault="00024693" w:rsidP="00BF73C9">
      <w:pPr>
        <w:pStyle w:val="corpsdedcision"/>
      </w:pPr>
      <w:r>
        <w:t xml:space="preserve">Pour que le Tribunal reconnaisse que le travailleur a subi un accident du travail, ce dernier doit démontrer trois éléments, soit qu’il s’est produit un événement imprévu et soudain, par le fait ou à l’occasion du travail et qui a causé une lésion. </w:t>
      </w:r>
      <w:r w:rsidR="00B44BAC">
        <w:t>Le fardeau de la preuve appartient au travailleur, et ce, selon la prépondérance de la preuve.</w:t>
      </w:r>
    </w:p>
    <w:p w:rsidR="00024693" w:rsidRDefault="00024693" w:rsidP="009601BF">
      <w:pPr>
        <w:pStyle w:val="corpsdedcision"/>
      </w:pPr>
      <w:r>
        <w:t xml:space="preserve">Afin de faciliter la preuve du travailleur, la présomption énoncée à l’article 28 de la Loi permet de présumer qu’il s’est produit une </w:t>
      </w:r>
      <w:r w:rsidRPr="00902ECE">
        <w:t>lésion professionnelle</w:t>
      </w:r>
      <w:r>
        <w:t xml:space="preserve">, lorsqu’une blessure survient alors que le travailleur est à son travail et sur les lieux du travail. </w:t>
      </w:r>
    </w:p>
    <w:p w:rsidR="00B44BAC" w:rsidRDefault="00024693" w:rsidP="00B44BAC">
      <w:pPr>
        <w:pStyle w:val="corpsdedcision"/>
      </w:pPr>
      <w:r>
        <w:t>En l’espèce, le travailleur ne peut bénéficier de la présomption de l’article 28 de la Loi</w:t>
      </w:r>
      <w:r w:rsidR="00063394">
        <w:t>,</w:t>
      </w:r>
      <w:r>
        <w:t xml:space="preserve"> puisqu’il n’était pas au travail lorsqu’est survenue sa blessure, mais plutôt à sa pause et en train de jouer une partie de tennis de table.</w:t>
      </w:r>
    </w:p>
    <w:p w:rsidR="00024693" w:rsidRDefault="008F1434" w:rsidP="009601BF">
      <w:pPr>
        <w:pStyle w:val="corpsdedcision"/>
      </w:pPr>
      <w:r>
        <w:t xml:space="preserve">En considérant l’ensemble des circonstances du présent cas, le Tribunal conclut que la blessure subie par le travailleur ne </w:t>
      </w:r>
      <w:r w:rsidR="00B44BAC">
        <w:t>résulte pas d’un accident du travail, et ce, par la conjonction des trois critères dont il devait faire la démonstration.</w:t>
      </w:r>
      <w:r>
        <w:t xml:space="preserve"> </w:t>
      </w:r>
    </w:p>
    <w:p w:rsidR="00BB208C" w:rsidRDefault="00DC551D" w:rsidP="009601BF">
      <w:pPr>
        <w:pStyle w:val="corpsdedcision"/>
      </w:pPr>
      <w:r>
        <w:t xml:space="preserve">Le Tribunal retient que les faits allégués par le travailleur sont démontrés par </w:t>
      </w:r>
      <w:r w:rsidR="00C96FC2">
        <w:t xml:space="preserve">son </w:t>
      </w:r>
      <w:r>
        <w:t xml:space="preserve">témoignage sincère et crédible, lequel est fiable. </w:t>
      </w:r>
      <w:r w:rsidR="00BB208C">
        <w:t xml:space="preserve">Les faits sont aussi corroborés par le témoignage de madame Elsa </w:t>
      </w:r>
      <w:r w:rsidR="00C147D1" w:rsidRPr="00713550">
        <w:t xml:space="preserve">Shober </w:t>
      </w:r>
      <w:r w:rsidR="00BB208C">
        <w:t>qui était présente lors de l’événement et qui a accompagné le travailleur au centre hospitalier.</w:t>
      </w:r>
    </w:p>
    <w:p w:rsidR="00833307" w:rsidRDefault="00DC551D" w:rsidP="009601BF">
      <w:pPr>
        <w:pStyle w:val="corpsdedcision"/>
      </w:pPr>
      <w:r>
        <w:t>De même, les témoignages de monsieur Kevin Perry, qui occupait alors un poste de vice-président aux opérations chez l’employeur</w:t>
      </w:r>
      <w:r w:rsidR="00063394">
        <w:t>,</w:t>
      </w:r>
      <w:r>
        <w:t xml:space="preserve"> et celui de monsieur Julio Gazanini</w:t>
      </w:r>
      <w:r w:rsidR="00063394">
        <w:t>,</w:t>
      </w:r>
      <w:r>
        <w:t xml:space="preserve"> responsable des ressources humaines, sont aussi fiables</w:t>
      </w:r>
      <w:r w:rsidR="00063394">
        <w:t>,</w:t>
      </w:r>
      <w:r>
        <w:t xml:space="preserve"> mais ne contredisent pas la version des faits du travailleur.</w:t>
      </w:r>
    </w:p>
    <w:p w:rsidR="00DC551D" w:rsidRDefault="00DC551D" w:rsidP="009601BF">
      <w:pPr>
        <w:pStyle w:val="corpsdedcision"/>
      </w:pPr>
      <w:r>
        <w:t>Lorsque le travailleur est entré au travail le jour de l’événement</w:t>
      </w:r>
      <w:r w:rsidR="00063394">
        <w:t>,</w:t>
      </w:r>
      <w:r>
        <w:t xml:space="preserve"> le 3 mai 2019, il n’éprouvait pas de douleur particulière à l’épaule droite.</w:t>
      </w:r>
    </w:p>
    <w:p w:rsidR="00DC551D" w:rsidRDefault="00DC551D" w:rsidP="00BB208C">
      <w:pPr>
        <w:pStyle w:val="corpsdedcision"/>
      </w:pPr>
      <w:r>
        <w:t>Il admet cependant avoir subi une première luxation de l’épaule droite environ un an avant lors d’une chute en ski. Cette première blessure était rétablie selon les dires du travailleur</w:t>
      </w:r>
      <w:r w:rsidR="00063394">
        <w:t>,</w:t>
      </w:r>
      <w:r>
        <w:t xml:space="preserve"> puisqu’il ne ressentait plus </w:t>
      </w:r>
      <w:r w:rsidR="00BB208C">
        <w:t>de douleur et il n’avait pas de restrictions fonctionnelles particulières. Toutefois, selon le travailleur</w:t>
      </w:r>
      <w:r w:rsidR="00C96FC2">
        <w:t>,</w:t>
      </w:r>
      <w:r w:rsidR="00BB208C">
        <w:t xml:space="preserve"> après une seconde récidive de ce type de blessure, une intervention chirurgicale peut devenir nécessaire.</w:t>
      </w:r>
      <w:r w:rsidR="00C96FC2">
        <w:t xml:space="preserve"> Mais tel n’était pas la situation dans laquelle il se trouvait le 3 mai 2019.</w:t>
      </w:r>
    </w:p>
    <w:p w:rsidR="00BB208C" w:rsidRDefault="00BB208C" w:rsidP="00BB208C">
      <w:pPr>
        <w:pStyle w:val="corpsdedcision"/>
      </w:pPr>
      <w:r>
        <w:t xml:space="preserve">Le 3 mai 2019, le travailleur joue au tennis de table durant sa pause de 15 minutes de l’après-midi avec sa collègue madame </w:t>
      </w:r>
      <w:r w:rsidR="00C147D1" w:rsidRPr="00713550">
        <w:t>Sho</w:t>
      </w:r>
      <w:r w:rsidRPr="00713550">
        <w:t>ber</w:t>
      </w:r>
      <w:r>
        <w:t xml:space="preserve">. </w:t>
      </w:r>
    </w:p>
    <w:p w:rsidR="00BB208C" w:rsidRDefault="00BB208C" w:rsidP="00BB208C">
      <w:pPr>
        <w:pStyle w:val="corpsdedcision"/>
      </w:pPr>
      <w:r>
        <w:t>Alors</w:t>
      </w:r>
      <w:r w:rsidR="00C96FC2">
        <w:t xml:space="preserve"> qu’il effectue un mouvement </w:t>
      </w:r>
      <w:r>
        <w:t>de son épaule droite, soit un mouvement combiné de flexion antérieure, d’abduction et de rotation externe, il se luxe de nouveau l’épaule droite.</w:t>
      </w:r>
      <w:r w:rsidR="00BB2590">
        <w:t xml:space="preserve"> </w:t>
      </w:r>
      <w:r w:rsidR="003D199C">
        <w:t>Dans une</w:t>
      </w:r>
      <w:r w:rsidR="00BB2590">
        <w:t xml:space="preserve"> attestation médicale </w:t>
      </w:r>
      <w:r w:rsidR="003D199C">
        <w:t>remplie</w:t>
      </w:r>
      <w:r w:rsidR="00BB2590">
        <w:t xml:space="preserve"> </w:t>
      </w:r>
      <w:r w:rsidR="003D199C">
        <w:t xml:space="preserve">le 3 mai 2019, </w:t>
      </w:r>
      <w:r w:rsidR="00BB2590">
        <w:t>le docteur Newman retient le diagnostic de luxation de l’épaule droite et ajoute qu’il s’agit d’une récidive. Ultérieurement, un diagnostic de luxation récidivante de l’épaule droite est aussi posé.</w:t>
      </w:r>
    </w:p>
    <w:p w:rsidR="00BB2590" w:rsidRDefault="00BB2590" w:rsidP="00BB208C">
      <w:pPr>
        <w:pStyle w:val="corpsdedcision"/>
      </w:pPr>
      <w:r>
        <w:t xml:space="preserve">Le travailleur n’allègue aucune circonstance ou événement particulier qui se serait produit autre que le mouvement qu’il a effectué. Il n’allègue aucun fait en lien avec les conditions du jeu ou de l’aménagement des lieux. </w:t>
      </w:r>
    </w:p>
    <w:p w:rsidR="00BB2590" w:rsidRDefault="00BB2590" w:rsidP="00BB208C">
      <w:pPr>
        <w:pStyle w:val="corpsdedcision"/>
      </w:pPr>
      <w:r>
        <w:t>La jurisprudence reconnaît une interprétation élargie de la notion d’événement imprévu et soudain</w:t>
      </w:r>
      <w:r w:rsidR="003D199C">
        <w:t>,</w:t>
      </w:r>
      <w:r>
        <w:t xml:space="preserve"> mais laquelle s’applique aux mouvements effectués durant les tâches de travail. </w:t>
      </w:r>
    </w:p>
    <w:p w:rsidR="00BB2590" w:rsidRPr="00713550" w:rsidRDefault="00BB2590" w:rsidP="00142E60">
      <w:pPr>
        <w:pStyle w:val="corpsdedcision"/>
      </w:pPr>
      <w:r w:rsidRPr="00713550">
        <w:t xml:space="preserve">La particularité de ce dossier est que le </w:t>
      </w:r>
      <w:r w:rsidR="00C147D1" w:rsidRPr="00713550">
        <w:t xml:space="preserve">mouvement </w:t>
      </w:r>
      <w:r w:rsidRPr="00713550">
        <w:t xml:space="preserve">effectué par le travailleur </w:t>
      </w:r>
      <w:r w:rsidR="00C147D1" w:rsidRPr="00713550">
        <w:t xml:space="preserve">à l’origine de l’apparition </w:t>
      </w:r>
      <w:r w:rsidRPr="00713550">
        <w:t xml:space="preserve">d’une vive douleur, diagnostiquée dans les heures qui ont suivi comme une luxation récidivante de l’épaule droite, n’est pas </w:t>
      </w:r>
      <w:r w:rsidR="00677622" w:rsidRPr="00713550">
        <w:t>survenu lorsque le travailleur accomplis</w:t>
      </w:r>
      <w:r w:rsidR="003D199C" w:rsidRPr="00713550">
        <w:t>sait les tâches de son travail.</w:t>
      </w:r>
    </w:p>
    <w:p w:rsidR="00677622" w:rsidRDefault="00677622" w:rsidP="00142E60">
      <w:pPr>
        <w:pStyle w:val="corpsdedcision"/>
      </w:pPr>
      <w:r>
        <w:t>Ce constat amène le Tribunal à l’analyse des présentes circonstances pour déterminer si l’accident est survenu à l’occasion du travail.</w:t>
      </w:r>
    </w:p>
    <w:p w:rsidR="00677622" w:rsidRDefault="00677622" w:rsidP="00677622">
      <w:pPr>
        <w:pStyle w:val="corpsdedcision"/>
      </w:pPr>
      <w:r>
        <w:t xml:space="preserve">Les paramètres généralement analysés par la jurisprudence pour déterminer si un événement s’est produit à l’occasion du travail sont issus de l’affaire </w:t>
      </w:r>
      <w:r w:rsidRPr="00F33ACC">
        <w:rPr>
          <w:i/>
        </w:rPr>
        <w:t>Plomberie et Chauffage Plombec inc</w:t>
      </w:r>
      <w:r w:rsidRPr="00F33ACC">
        <w:t xml:space="preserve">. et </w:t>
      </w:r>
      <w:r w:rsidRPr="00F33ACC">
        <w:rPr>
          <w:i/>
        </w:rPr>
        <w:t>Deslongchamps</w:t>
      </w:r>
      <w:r w:rsidRPr="00286BFA">
        <w:rPr>
          <w:rStyle w:val="Appelnotedebasdep"/>
        </w:rPr>
        <w:footnoteReference w:id="2"/>
      </w:r>
      <w:r w:rsidRPr="00286BFA">
        <w:t>,</w:t>
      </w:r>
      <w:r>
        <w:rPr>
          <w:rFonts w:cs="Arial"/>
          <w:sz w:val="20"/>
        </w:rPr>
        <w:t xml:space="preserve"> </w:t>
      </w:r>
      <w:r>
        <w:t xml:space="preserve">et ce, dans le but d’évaluer plus particulièrement la </w:t>
      </w:r>
      <w:r w:rsidR="00F45235">
        <w:t xml:space="preserve">relation entre l’activité à l’intérieur </w:t>
      </w:r>
      <w:r>
        <w:t>de laquelle un travailleur se blesse et son travail. Ces paramètres, qui ne doivent pas être pris isolément, sont le lieu et le moment de l’événement, la rémunération de l’activité exercée lors de sa survenance, l’existence ou le degré d’autorité ou de subordination de l’employeur, la finalité de l’activité exercée au moment de l’événement qu’elle soit incidente, accessoire ou facultative aux conditions de travail, le caractère de connexité ou d’utilité relative de l’activité en regard de l’accomplissement du travail.</w:t>
      </w:r>
    </w:p>
    <w:p w:rsidR="00677622" w:rsidRDefault="00F45235" w:rsidP="00142E60">
      <w:pPr>
        <w:pStyle w:val="corpsdedcision"/>
      </w:pPr>
      <w:r>
        <w:t xml:space="preserve">La </w:t>
      </w:r>
      <w:r w:rsidR="00677622">
        <w:t>jurispr</w:t>
      </w:r>
      <w:r>
        <w:t>udence reconnaît qu’aucun de ces paramètres n’est prépondérant et il n’est pas nécessaire de tous les retrouver pour conclure qu’un accident est survenu à l’occasion du travail.</w:t>
      </w:r>
    </w:p>
    <w:p w:rsidR="00F45235" w:rsidRDefault="00F45235" w:rsidP="00142E60">
      <w:pPr>
        <w:pStyle w:val="corpsdedcision"/>
      </w:pPr>
      <w:r>
        <w:t>Le Tribunal constate que selon les circonstances</w:t>
      </w:r>
      <w:r w:rsidR="00B940EE">
        <w:t>,</w:t>
      </w:r>
      <w:r>
        <w:t xml:space="preserve"> des situations similaires à celles du présent cas ont été considérées dans certaines décisions du Tribunal comme</w:t>
      </w:r>
      <w:r w:rsidR="00C02B12">
        <w:t xml:space="preserve"> étant à l’occasion du travail </w:t>
      </w:r>
      <w:r>
        <w:t xml:space="preserve">alors que d’autres décisions sont arrivées à </w:t>
      </w:r>
      <w:r w:rsidR="00ED46E1">
        <w:t xml:space="preserve">la </w:t>
      </w:r>
      <w:r>
        <w:t>conclusion contraire.</w:t>
      </w:r>
    </w:p>
    <w:p w:rsidR="00F45235" w:rsidRDefault="00F45235" w:rsidP="00142E60">
      <w:pPr>
        <w:pStyle w:val="corpsdedcision"/>
      </w:pPr>
      <w:r>
        <w:t xml:space="preserve">Par exemple, dans l’affaire </w:t>
      </w:r>
      <w:r w:rsidRPr="00ED46E1">
        <w:rPr>
          <w:i/>
        </w:rPr>
        <w:t>Parker</w:t>
      </w:r>
      <w:r>
        <w:t xml:space="preserve"> et </w:t>
      </w:r>
      <w:r w:rsidRPr="00ED46E1">
        <w:rPr>
          <w:i/>
        </w:rPr>
        <w:t>Société de transport de la communauté urbaine de Montréal</w:t>
      </w:r>
      <w:r w:rsidR="00ED46E1" w:rsidRPr="00C02B12">
        <w:rPr>
          <w:rStyle w:val="Appelnotedebasdep"/>
        </w:rPr>
        <w:footnoteReference w:id="3"/>
      </w:r>
      <w:r w:rsidR="00C02B12">
        <w:t xml:space="preserve">, </w:t>
      </w:r>
      <w:r w:rsidR="00ED46E1">
        <w:t xml:space="preserve">la </w:t>
      </w:r>
      <w:r w:rsidR="00ED46E1" w:rsidRPr="00902ECE">
        <w:t>Commission des lésions professionnelles</w:t>
      </w:r>
      <w:r w:rsidR="00ED46E1">
        <w:t xml:space="preserve"> avait considéré comme étant survenu</w:t>
      </w:r>
      <w:r w:rsidR="00C02B12">
        <w:t>e</w:t>
      </w:r>
      <w:r w:rsidR="00ED46E1">
        <w:t xml:space="preserve"> à l’occasion du travail une blessure durant une partie de ping-pong dans la salle de repos durant une période de battement</w:t>
      </w:r>
      <w:r w:rsidR="00ED46E1">
        <w:rPr>
          <w:rStyle w:val="Appelnotedebasdep"/>
        </w:rPr>
        <w:footnoteReference w:id="4"/>
      </w:r>
      <w:r w:rsidR="00C02B12">
        <w:t>.</w:t>
      </w:r>
      <w:r w:rsidR="00ED46E1">
        <w:t xml:space="preserve"> Il en est de même dans l’affaire </w:t>
      </w:r>
      <w:r w:rsidR="00ED46E1" w:rsidRPr="00ED46E1">
        <w:rPr>
          <w:i/>
        </w:rPr>
        <w:t xml:space="preserve">Pelletier </w:t>
      </w:r>
      <w:r w:rsidR="00ED46E1">
        <w:t xml:space="preserve">et </w:t>
      </w:r>
      <w:r w:rsidR="00ED46E1" w:rsidRPr="00ED46E1">
        <w:rPr>
          <w:i/>
        </w:rPr>
        <w:t>Compagnie Rafraîchissements Coca-Cola Canada</w:t>
      </w:r>
      <w:r w:rsidR="00ED46E1" w:rsidRPr="00C02B12">
        <w:rPr>
          <w:rStyle w:val="Appelnotedebasdep"/>
        </w:rPr>
        <w:footnoteReference w:id="5"/>
      </w:r>
      <w:r w:rsidR="00ED46E1">
        <w:rPr>
          <w:i/>
        </w:rPr>
        <w:t xml:space="preserve">, </w:t>
      </w:r>
      <w:r w:rsidR="00ED46E1">
        <w:t xml:space="preserve">où le Tribunal a considéré comme étant </w:t>
      </w:r>
      <w:r w:rsidR="00ED46E1" w:rsidRPr="00713550">
        <w:t>survenu</w:t>
      </w:r>
      <w:r w:rsidR="00ED46E1">
        <w:t xml:space="preserve"> à l’occasion du travail un </w:t>
      </w:r>
      <w:r w:rsidR="00ED46E1" w:rsidRPr="00713550">
        <w:t>accident en jouant</w:t>
      </w:r>
      <w:r w:rsidR="00ED46E1">
        <w:t xml:space="preserve"> au basketball lors d’une pause alors que le panier avait été installé par l’employeur.</w:t>
      </w:r>
    </w:p>
    <w:p w:rsidR="00ED46E1" w:rsidRDefault="00ED46E1" w:rsidP="00142E60">
      <w:pPr>
        <w:pStyle w:val="corpsdedcision"/>
      </w:pPr>
      <w:r>
        <w:t xml:space="preserve">Au contraire, dans l’affaire </w:t>
      </w:r>
      <w:r w:rsidRPr="00ED46E1">
        <w:rPr>
          <w:i/>
        </w:rPr>
        <w:t xml:space="preserve">Dupras </w:t>
      </w:r>
      <w:r>
        <w:t xml:space="preserve">et </w:t>
      </w:r>
      <w:r w:rsidRPr="00ED46E1">
        <w:rPr>
          <w:i/>
        </w:rPr>
        <w:t>Communauté urbaine de Montréal</w:t>
      </w:r>
      <w:r w:rsidRPr="00C02B12">
        <w:rPr>
          <w:rStyle w:val="Appelnotedebasdep"/>
        </w:rPr>
        <w:footnoteReference w:id="6"/>
      </w:r>
      <w:r w:rsidR="00C02B12" w:rsidRPr="00C02B12">
        <w:t>,</w:t>
      </w:r>
      <w:r>
        <w:t xml:space="preserve"> la Commission d’appel en matière de lésions professionnelles avait refusé de considérer à l’occasion du travail une blessure survenue en jouant au ping-pong </w:t>
      </w:r>
      <w:r w:rsidR="00D73E63">
        <w:t xml:space="preserve">dans la salle des officiers en attendant la fin du quart de travail. Au même effet, cette fois dans une période de battement, la </w:t>
      </w:r>
      <w:r w:rsidR="00D73E63" w:rsidRPr="00902ECE">
        <w:t>Commission des lésions professionnelles</w:t>
      </w:r>
      <w:r w:rsidR="00737A04">
        <w:t>,</w:t>
      </w:r>
      <w:r w:rsidR="00D73E63">
        <w:t xml:space="preserve"> dans l’affaire </w:t>
      </w:r>
      <w:r w:rsidR="00D73E63" w:rsidRPr="00D73E63">
        <w:rPr>
          <w:i/>
        </w:rPr>
        <w:t>Bonicalzi</w:t>
      </w:r>
      <w:r w:rsidR="00D73E63">
        <w:t xml:space="preserve"> et </w:t>
      </w:r>
      <w:r w:rsidR="00D73E63" w:rsidRPr="00D73E63">
        <w:rPr>
          <w:i/>
        </w:rPr>
        <w:t>Société de transport de Montréal</w:t>
      </w:r>
      <w:r w:rsidR="00C02B12" w:rsidRPr="00C02B12">
        <w:rPr>
          <w:rStyle w:val="Appelnotedebasdep"/>
        </w:rPr>
        <w:footnoteReference w:id="7"/>
      </w:r>
      <w:r w:rsidR="00737A04">
        <w:rPr>
          <w:i/>
        </w:rPr>
        <w:t>,</w:t>
      </w:r>
      <w:r w:rsidR="00D73E63">
        <w:t xml:space="preserve"> a refusé de reconnaître à l’occasion du travail une blessure survenue en jouant au ping-pong dans la salle aménagée par l’employeur.</w:t>
      </w:r>
      <w:r w:rsidR="00737A04">
        <w:t xml:space="preserve"> De même, dans l’affaire </w:t>
      </w:r>
      <w:r w:rsidR="00737A04" w:rsidRPr="00737A04">
        <w:rPr>
          <w:i/>
        </w:rPr>
        <w:t>Compagnie de rafraîchissements Coca-Cola Canada</w:t>
      </w:r>
      <w:r w:rsidR="00737A04">
        <w:t xml:space="preserve"> et </w:t>
      </w:r>
      <w:r w:rsidR="00737A04" w:rsidRPr="00737A04">
        <w:rPr>
          <w:i/>
        </w:rPr>
        <w:t>Ricard</w:t>
      </w:r>
      <w:r w:rsidR="00737A04">
        <w:rPr>
          <w:rStyle w:val="Appelnotedebasdep"/>
        </w:rPr>
        <w:footnoteReference w:id="8"/>
      </w:r>
      <w:r w:rsidR="00C02B12" w:rsidRPr="00C02B12">
        <w:t>,</w:t>
      </w:r>
      <w:r w:rsidR="00737A04">
        <w:t xml:space="preserve"> le Tribunal a considéré comme étant non survenu</w:t>
      </w:r>
      <w:r w:rsidR="00C02B12">
        <w:t>e</w:t>
      </w:r>
      <w:r w:rsidR="00737A04">
        <w:t xml:space="preserve"> à l’occasion du travail</w:t>
      </w:r>
      <w:r w:rsidR="00C02B12">
        <w:t>,</w:t>
      </w:r>
      <w:r w:rsidR="00737A04">
        <w:t xml:space="preserve"> une blessure en jouant au basketball lors d’une pause. </w:t>
      </w:r>
    </w:p>
    <w:p w:rsidR="00D30AAC" w:rsidRDefault="00B940EE" w:rsidP="00142E60">
      <w:pPr>
        <w:pStyle w:val="corpsdedcision"/>
      </w:pPr>
      <w:r>
        <w:t xml:space="preserve">Ici, la preuve révèle que l’accident est survenu sur les lieux de travail durant la pause, alors que le travailleur n’avait pas terminé son quart de travail et qu’il devait retourner </w:t>
      </w:r>
      <w:r w:rsidR="00D30AAC">
        <w:t>au travail</w:t>
      </w:r>
      <w:r>
        <w:t xml:space="preserve">, n’eût été l’accident. </w:t>
      </w:r>
    </w:p>
    <w:p w:rsidR="00737A04" w:rsidRDefault="00B940EE" w:rsidP="00142E60">
      <w:pPr>
        <w:pStyle w:val="corpsdedcision"/>
      </w:pPr>
      <w:r>
        <w:t xml:space="preserve">Il est prévu que le travailleur accomplisse 8 heures de travail par jour entre </w:t>
      </w:r>
      <w:r w:rsidR="00C02B12">
        <w:t>8 h et 17 </w:t>
      </w:r>
      <w:r>
        <w:t>h. Une période de pause repas est prise à midi pour une durée d’une heure. Les travailleurs prennent généralement une pause de 15 minutes le matin et l’après-midi.</w:t>
      </w:r>
    </w:p>
    <w:p w:rsidR="00B940EE" w:rsidRDefault="00B940EE" w:rsidP="00142E60">
      <w:pPr>
        <w:pStyle w:val="corpsdedcision"/>
      </w:pPr>
      <w:r>
        <w:t xml:space="preserve">La table de tennis de table est </w:t>
      </w:r>
      <w:r w:rsidR="00D30AAC">
        <w:t>fournie</w:t>
      </w:r>
      <w:r>
        <w:t xml:space="preserve"> par l’employeur et est située dans la salle de repas. Elle est mise à la disponibilité des travailleurs qui l’utilisent durant les pauses. Les travailleurs sont libres de prendre leur pause à l’endroit de leur choix et ne doivent pas être disponible</w:t>
      </w:r>
      <w:r w:rsidR="00C02B12">
        <w:t>s</w:t>
      </w:r>
      <w:r>
        <w:t xml:space="preserve"> durant ce temps. Ils peuvent donc sortir des lieux et prendre leur pause à l’extérieur.</w:t>
      </w:r>
    </w:p>
    <w:p w:rsidR="001E120A" w:rsidRDefault="001E120A" w:rsidP="00142E60">
      <w:pPr>
        <w:pStyle w:val="corpsdedcision"/>
      </w:pPr>
      <w:r>
        <w:t>La jurisprudence reconnaît que la pause peut être considérée</w:t>
      </w:r>
      <w:r w:rsidR="00C02B12">
        <w:t>,</w:t>
      </w:r>
      <w:r>
        <w:t xml:space="preserve"> selon le contexte de chaque dossier</w:t>
      </w:r>
      <w:r w:rsidR="00C02B12">
        <w:t>,</w:t>
      </w:r>
      <w:r>
        <w:t xml:space="preserve"> comme étant utile à l’employeur</w:t>
      </w:r>
      <w:r w:rsidR="00C02B12">
        <w:t>,</w:t>
      </w:r>
      <w:r>
        <w:t xml:space="preserve"> puisqu’elle est prévue et fait partie généralement des conditions de travail. Dans un tel contexte</w:t>
      </w:r>
      <w:r w:rsidR="00C02B12">
        <w:t>,</w:t>
      </w:r>
      <w:r>
        <w:t xml:space="preserve"> on lui reconnaît une utilité et une certaine connexité avec le travail.</w:t>
      </w:r>
    </w:p>
    <w:p w:rsidR="00B940EE" w:rsidRDefault="001E120A" w:rsidP="00142E60">
      <w:pPr>
        <w:pStyle w:val="corpsdedcision"/>
      </w:pPr>
      <w:r>
        <w:t>Cependant, cela ne signifie pas que toutes les activités qui se déroulent durant la pause font partie de la sphère professionnelle. Un travailleur peut faire le choix de vaquer à une occupation personnelle durant sa pause. Dans un tel cas, on pourrait considérer qu’il a quitté la sphère professionnelle pour entrer dans une sphère personnelle, laquelle n’a plus de lien avec le travail.</w:t>
      </w:r>
      <w:r w:rsidR="008E7D69">
        <w:t xml:space="preserve"> </w:t>
      </w:r>
    </w:p>
    <w:p w:rsidR="008E7D69" w:rsidRDefault="008E7D69" w:rsidP="00142E60">
      <w:pPr>
        <w:pStyle w:val="corpsdedcision"/>
      </w:pPr>
      <w:r>
        <w:t xml:space="preserve">Les critères énumérés par la jurisprudence pour aider le Tribunal à déterminer si un accident est </w:t>
      </w:r>
      <w:r w:rsidR="00C02B12">
        <w:t>survenu à l’occasion du travail</w:t>
      </w:r>
      <w:r>
        <w:t xml:space="preserve"> doivent conduire à la conclusion qu’il existe un lien entre l’accident survenu et le travail.</w:t>
      </w:r>
    </w:p>
    <w:p w:rsidR="001E120A" w:rsidRDefault="001E120A" w:rsidP="00142E60">
      <w:pPr>
        <w:pStyle w:val="corpsdedcision"/>
      </w:pPr>
      <w:r>
        <w:t>Lorsqu’un employeur met à la disposition des travailleurs un équipement de loisir et qu’un travailleur se blesse en utilisant un tel matériel, cela pourrait être considéré comme étant relié aux conditions de travail, toujours selon le contexte particulier de chaque dossier.</w:t>
      </w:r>
    </w:p>
    <w:p w:rsidR="001E120A" w:rsidRPr="008C49A1" w:rsidRDefault="001E120A" w:rsidP="00142E60">
      <w:pPr>
        <w:pStyle w:val="corpsdedcision"/>
      </w:pPr>
      <w:r>
        <w:t xml:space="preserve">En l’espèce, </w:t>
      </w:r>
      <w:r w:rsidR="008E7D69" w:rsidRPr="008C49A1">
        <w:t>on pourrait considérer que</w:t>
      </w:r>
      <w:r w:rsidRPr="008C49A1">
        <w:t xml:space="preserve"> </w:t>
      </w:r>
      <w:r w:rsidR="00375C1E" w:rsidRPr="008C49A1">
        <w:t xml:space="preserve">le fait que </w:t>
      </w:r>
      <w:r w:rsidRPr="008C49A1">
        <w:t>l’employeur a</w:t>
      </w:r>
      <w:r w:rsidR="00375C1E" w:rsidRPr="008C49A1">
        <w:t>it</w:t>
      </w:r>
      <w:r w:rsidRPr="008C49A1">
        <w:t xml:space="preserve"> mis à la disposition des travailleurs un tel équipement et permet</w:t>
      </w:r>
      <w:r w:rsidR="00375C1E" w:rsidRPr="008C49A1">
        <w:t>te</w:t>
      </w:r>
      <w:r w:rsidRPr="008C49A1">
        <w:t xml:space="preserve"> aux travailleurs d’en f</w:t>
      </w:r>
      <w:r w:rsidR="008E7D69" w:rsidRPr="008C49A1">
        <w:t>aire usage, milite en faveur de la reconnaissance d’un lien avec les conditions de travail.</w:t>
      </w:r>
    </w:p>
    <w:p w:rsidR="001E120A" w:rsidRDefault="001E120A" w:rsidP="00142E60">
      <w:pPr>
        <w:pStyle w:val="corpsdedcision"/>
      </w:pPr>
      <w:r>
        <w:t xml:space="preserve">Cependant, ce qui </w:t>
      </w:r>
      <w:r w:rsidR="00375C1E" w:rsidRPr="008C49A1">
        <w:t>pose</w:t>
      </w:r>
      <w:r>
        <w:t xml:space="preserve"> problème dans le présent cas est aussi la cause de l’accident</w:t>
      </w:r>
      <w:r w:rsidR="00C02B12">
        <w:t>,</w:t>
      </w:r>
      <w:r>
        <w:t xml:space="preserve"> puisque la luxation dans le cas du travailleur constitue une récidive d’un épisode antérieur de luxation de la même épaule. Les attestations médicales font référence à une luxation récidivante</w:t>
      </w:r>
      <w:r w:rsidR="00A01F47">
        <w:t xml:space="preserve"> de l’épaule droite</w:t>
      </w:r>
      <w:r>
        <w:t xml:space="preserve">. </w:t>
      </w:r>
    </w:p>
    <w:p w:rsidR="001E120A" w:rsidRDefault="001E120A" w:rsidP="00142E60">
      <w:pPr>
        <w:pStyle w:val="corpsdedcision"/>
      </w:pPr>
      <w:r>
        <w:t>La cause de l’accident apparaît ici plutôt reliée à l’épisode antérieur qui a rendu l’épaule du travailleur plus fragile à la survenance de ce type de blessure</w:t>
      </w:r>
      <w:r w:rsidR="00A01F47">
        <w:t>, tel qu’il appert du diagnostic posé</w:t>
      </w:r>
      <w:r>
        <w:t xml:space="preserve">. </w:t>
      </w:r>
    </w:p>
    <w:p w:rsidR="00B940EE" w:rsidRDefault="001E120A" w:rsidP="00142E60">
      <w:pPr>
        <w:pStyle w:val="corpsdedcision"/>
      </w:pPr>
      <w:r>
        <w:t xml:space="preserve">Ce constat apparaît d’autant plus vrai qu’il n’est rien survenu de particulier </w:t>
      </w:r>
      <w:r w:rsidR="00A01F47">
        <w:t>outre le mouvement combiné d’abduction, de flexion et de rotation externe effectué par le travailleur. Il n’est rien survenu de particulier en lien avec l’installation de la table.</w:t>
      </w:r>
      <w:r w:rsidR="008E7D69">
        <w:t xml:space="preserve"> Le mouvement en lui-même n’est pas effectué alors que le travailleur est à son travail.</w:t>
      </w:r>
      <w:r w:rsidR="00375C1E">
        <w:t xml:space="preserve"> </w:t>
      </w:r>
      <w:r w:rsidR="00375C1E" w:rsidRPr="008C49A1">
        <w:t>Si le travailleur n’avait pas subi un premier épisode de luxation, ce simple mouvement aurait-il pu provoquer la blessure? Le Tribunal conclut que la relation n’a pas été ici démontrée</w:t>
      </w:r>
      <w:r w:rsidR="00375C1E">
        <w:t>.</w:t>
      </w:r>
    </w:p>
    <w:p w:rsidR="00B813FC" w:rsidRDefault="00B813FC" w:rsidP="00142E60">
      <w:pPr>
        <w:pStyle w:val="corpsdedcision"/>
      </w:pPr>
      <w:r>
        <w:t xml:space="preserve">Ce mouvement aurait pu survenir dans n’importe quel autre contexte et n’est pas relié au travail ni avec les conditions de travail. </w:t>
      </w:r>
      <w:r w:rsidRPr="008C49A1">
        <w:t xml:space="preserve">La blessure </w:t>
      </w:r>
      <w:r w:rsidR="00375C1E" w:rsidRPr="008C49A1">
        <w:t xml:space="preserve">est probablement plus </w:t>
      </w:r>
      <w:r w:rsidRPr="008C49A1">
        <w:t>imputable à des facteurs intrinsèques au travailleur</w:t>
      </w:r>
      <w:r w:rsidR="00375C1E" w:rsidRPr="008C49A1">
        <w:t>.</w:t>
      </w:r>
      <w:r>
        <w:t xml:space="preserve"> </w:t>
      </w:r>
    </w:p>
    <w:p w:rsidR="00A01F47" w:rsidRPr="009601BF" w:rsidRDefault="00B813FC" w:rsidP="00142E60">
      <w:pPr>
        <w:pStyle w:val="corpsdedcision"/>
      </w:pPr>
      <w:r>
        <w:t>Pour l’ensemble de ces motifs, le Tribunal conclut que le travailleur n’a pas subi un accident du travail le 3 mai 2019.</w:t>
      </w:r>
    </w:p>
    <w:p w:rsidR="00C74B6F" w:rsidRDefault="00C74B6F">
      <w:pPr>
        <w:pStyle w:val="Dispositif"/>
      </w:pPr>
    </w:p>
    <w:p w:rsidR="00C74B6F" w:rsidRDefault="00C74B6F">
      <w:pPr>
        <w:pStyle w:val="Dispositif"/>
      </w:pPr>
      <w:r>
        <w:rPr>
          <w:b/>
        </w:rPr>
        <w:t>P</w:t>
      </w:r>
      <w:r w:rsidR="00D07FA6">
        <w:rPr>
          <w:b/>
        </w:rPr>
        <w:t>AR CES MOTIFS, LE TRIBUNAL ADMINISTRATIF DU TRAVAIL</w:t>
      </w:r>
      <w:r>
        <w:rPr>
          <w:b/>
        </w:rPr>
        <w:t> :</w:t>
      </w:r>
    </w:p>
    <w:p w:rsidR="00C74B6F" w:rsidRDefault="00CD3D41">
      <w:pPr>
        <w:pStyle w:val="Dispositif"/>
      </w:pPr>
      <w:r>
        <w:rPr>
          <w:b/>
        </w:rPr>
        <w:t>ACCUEILLE</w:t>
      </w:r>
      <w:r>
        <w:t xml:space="preserve"> l’acte introductif présenté par 792</w:t>
      </w:r>
      <w:r w:rsidR="005F1526">
        <w:t>3</w:t>
      </w:r>
      <w:r>
        <w:t>082 Canada Ltd, l’employeur;</w:t>
      </w:r>
    </w:p>
    <w:p w:rsidR="00CD3D41" w:rsidRDefault="00CD3D41">
      <w:pPr>
        <w:pStyle w:val="Dispositif"/>
      </w:pPr>
      <w:r>
        <w:rPr>
          <w:b/>
        </w:rPr>
        <w:t>INFIRME</w:t>
      </w:r>
      <w:r>
        <w:t xml:space="preserve"> la décision rendue le 25 novembre 2019 par la </w:t>
      </w:r>
      <w:r w:rsidR="005F1526">
        <w:t>Commission des normes, de l’équité, de la santé et de la sécurité du travail</w:t>
      </w:r>
      <w:r>
        <w:t xml:space="preserve"> à la suite d’une </w:t>
      </w:r>
      <w:r w:rsidRPr="00902ECE">
        <w:t>révision administrative</w:t>
      </w:r>
      <w:r>
        <w:t xml:space="preserve"> ;</w:t>
      </w:r>
    </w:p>
    <w:p w:rsidR="00CD3D41" w:rsidRDefault="00CD3D41">
      <w:pPr>
        <w:pStyle w:val="Dispositif"/>
      </w:pPr>
      <w:r>
        <w:rPr>
          <w:b/>
        </w:rPr>
        <w:t>DÉCLARE</w:t>
      </w:r>
      <w:r>
        <w:t xml:space="preserve"> que </w:t>
      </w:r>
      <w:r w:rsidR="005F1526">
        <w:t xml:space="preserve">monsieur Marc Carvalho, </w:t>
      </w:r>
      <w:r>
        <w:t>le travailleur</w:t>
      </w:r>
      <w:r w:rsidR="005F1526">
        <w:t>,</w:t>
      </w:r>
      <w:r>
        <w:t xml:space="preserve"> n’a pas subi de </w:t>
      </w:r>
      <w:r w:rsidRPr="00902ECE">
        <w:t>lésion professionnelle</w:t>
      </w:r>
      <w:r w:rsidR="005F1526">
        <w:t xml:space="preserve"> le 3 mai 2019.</w:t>
      </w:r>
    </w:p>
    <w:p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tc>
          <w:tcPr>
            <w:tcW w:w="4795" w:type="dxa"/>
          </w:tcPr>
          <w:p w:rsidR="00C74B6F" w:rsidRDefault="00C74B6F"/>
        </w:tc>
        <w:tc>
          <w:tcPr>
            <w:tcW w:w="4795" w:type="dxa"/>
          </w:tcPr>
          <w:p w:rsidR="00C74B6F" w:rsidRDefault="00C74B6F">
            <w:bookmarkStart w:id="7" w:name="signature"/>
            <w:bookmarkEnd w:id="7"/>
            <w:r>
              <w:t>__________________________________</w:t>
            </w:r>
          </w:p>
        </w:tc>
      </w:tr>
      <w:tr w:rsidR="00C74B6F">
        <w:tc>
          <w:tcPr>
            <w:tcW w:w="4795" w:type="dxa"/>
          </w:tcPr>
          <w:p w:rsidR="00C74B6F" w:rsidRDefault="00C74B6F"/>
        </w:tc>
        <w:tc>
          <w:tcPr>
            <w:tcW w:w="4795" w:type="dxa"/>
          </w:tcPr>
          <w:p w:rsidR="00C74B6F" w:rsidRDefault="00D0145A">
            <w:r>
              <w:t>Anne Vaillancourt</w:t>
            </w:r>
          </w:p>
        </w:tc>
      </w:tr>
      <w:tr w:rsidR="00C74B6F">
        <w:trPr>
          <w:cantSplit/>
        </w:trPr>
        <w:tc>
          <w:tcPr>
            <w:tcW w:w="9590" w:type="dxa"/>
            <w:gridSpan w:val="2"/>
          </w:tcPr>
          <w:p w:rsidR="00C74B6F" w:rsidRDefault="00C74B6F"/>
        </w:tc>
      </w:tr>
      <w:tr w:rsidR="00C74B6F">
        <w:trPr>
          <w:cantSplit/>
        </w:trPr>
        <w:tc>
          <w:tcPr>
            <w:tcW w:w="9590" w:type="dxa"/>
            <w:gridSpan w:val="2"/>
          </w:tcPr>
          <w:p w:rsidR="00C74B6F" w:rsidRPr="00C912F9" w:rsidRDefault="00C74B6F" w:rsidP="00EC5C8D">
            <w:pPr>
              <w:tabs>
                <w:tab w:val="left" w:pos="1592"/>
              </w:tabs>
            </w:pPr>
          </w:p>
        </w:tc>
      </w:tr>
      <w:tr w:rsidR="00C74B6F">
        <w:trPr>
          <w:cantSplit/>
        </w:trPr>
        <w:tc>
          <w:tcPr>
            <w:tcW w:w="9590" w:type="dxa"/>
            <w:gridSpan w:val="2"/>
          </w:tcPr>
          <w:p w:rsidR="00C74B6F" w:rsidRDefault="00C74B6F"/>
        </w:tc>
      </w:tr>
      <w:tr w:rsidR="00861F8B">
        <w:trPr>
          <w:cantSplit/>
        </w:trPr>
        <w:tc>
          <w:tcPr>
            <w:tcW w:w="9590" w:type="dxa"/>
            <w:gridSpan w:val="2"/>
          </w:tcPr>
          <w:p w:rsidR="00861F8B" w:rsidRDefault="00D0145A">
            <w:r>
              <w:rPr>
                <w:lang w:val="en-CA"/>
              </w:rPr>
              <w:t>M. Marc Carvalho</w:t>
            </w:r>
          </w:p>
        </w:tc>
      </w:tr>
      <w:tr w:rsidR="00861F8B">
        <w:trPr>
          <w:cantSplit/>
        </w:trPr>
        <w:tc>
          <w:tcPr>
            <w:tcW w:w="9590" w:type="dxa"/>
            <w:gridSpan w:val="2"/>
          </w:tcPr>
          <w:p w:rsidR="00861F8B" w:rsidRDefault="00E25DCB" w:rsidP="00D0145A">
            <w:r>
              <w:fldChar w:fldCharType="begin"/>
            </w:r>
            <w:r>
              <w:instrText xml:space="preserve"> MACROBUTTON  AbaisserNiveauListe </w:instrText>
            </w:r>
            <w:r>
              <w:fldChar w:fldCharType="end"/>
            </w:r>
            <w:r w:rsidR="00D0145A">
              <w:t>Pour lui-même</w:t>
            </w:r>
          </w:p>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D0145A">
            <w:pPr>
              <w:pStyle w:val="zSoquijdatNomProcureurDem"/>
            </w:pPr>
            <w:r>
              <w:t>M. Jean-Philippe Caron</w:t>
            </w:r>
          </w:p>
        </w:tc>
      </w:tr>
      <w:tr w:rsidR="00C74B6F">
        <w:trPr>
          <w:cantSplit/>
        </w:trPr>
        <w:tc>
          <w:tcPr>
            <w:tcW w:w="9590" w:type="dxa"/>
            <w:gridSpan w:val="2"/>
          </w:tcPr>
          <w:p w:rsidR="00C74B6F" w:rsidRDefault="00D0145A">
            <w:pPr>
              <w:pStyle w:val="zSoquijdatCabinetProcureurDem"/>
            </w:pPr>
            <w:r>
              <w:t>CALEX LÉGAL INC.</w:t>
            </w:r>
          </w:p>
        </w:tc>
      </w:tr>
      <w:tr w:rsidR="00C74B6F">
        <w:trPr>
          <w:cantSplit/>
        </w:trPr>
        <w:tc>
          <w:tcPr>
            <w:tcW w:w="9590" w:type="dxa"/>
            <w:gridSpan w:val="2"/>
          </w:tcPr>
          <w:p w:rsidR="00C74B6F" w:rsidRDefault="00CB05A7">
            <w:pPr>
              <w:pStyle w:val="zSoquijlblProcureurDem"/>
            </w:pPr>
            <w:r>
              <w:t>Pour la partie demanderesse</w:t>
            </w:r>
          </w:p>
        </w:tc>
      </w:tr>
      <w:tr w:rsidR="00C74B6F">
        <w:trPr>
          <w:cantSplit/>
        </w:trPr>
        <w:tc>
          <w:tcPr>
            <w:tcW w:w="9590" w:type="dxa"/>
            <w:gridSpan w:val="2"/>
          </w:tcPr>
          <w:p w:rsidR="00C74B6F" w:rsidRDefault="00C74B6F"/>
        </w:tc>
      </w:tr>
      <w:tr w:rsidR="00C15A3F">
        <w:trPr>
          <w:cantSplit/>
        </w:trPr>
        <w:tc>
          <w:tcPr>
            <w:tcW w:w="9590" w:type="dxa"/>
            <w:gridSpan w:val="2"/>
          </w:tcPr>
          <w:p w:rsidR="00C15A3F" w:rsidRDefault="00C15A3F" w:rsidP="00D0145A">
            <w:pPr>
              <w:pStyle w:val="zSoquijdatDateAudience"/>
            </w:pPr>
            <w:r>
              <w:t xml:space="preserve">Date de </w:t>
            </w:r>
            <w:r w:rsidR="00D0145A">
              <w:t>l’</w:t>
            </w:r>
            <w:r>
              <w:t>audience :</w:t>
            </w:r>
            <w:r w:rsidR="00597016">
              <w:tab/>
            </w:r>
            <w:r w:rsidR="00D0145A">
              <w:tab/>
              <w:t>10 décembre 2020</w:t>
            </w:r>
          </w:p>
        </w:tc>
      </w:tr>
    </w:tbl>
    <w:p w:rsidR="009A135C" w:rsidRDefault="009A135C" w:rsidP="009A135C">
      <w:pPr>
        <w:pStyle w:val="articlesdelaLSST"/>
        <w:ind w:left="0"/>
      </w:pPr>
    </w:p>
    <w:sectPr w:rsidR="009A135C">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1C55" w:rsidRDefault="00501C55">
      <w:r>
        <w:separator/>
      </w:r>
    </w:p>
  </w:endnote>
  <w:endnote w:type="continuationSeparator" w:id="0">
    <w:p w:rsidR="00501C55" w:rsidRDefault="00501C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1C55" w:rsidRDefault="00501C55">
      <w:r>
        <w:separator/>
      </w:r>
    </w:p>
  </w:footnote>
  <w:footnote w:type="continuationSeparator" w:id="0">
    <w:p w:rsidR="00501C55" w:rsidRDefault="00501C55">
      <w:r>
        <w:continuationSeparator/>
      </w:r>
    </w:p>
  </w:footnote>
  <w:footnote w:id="1">
    <w:p w:rsidR="00063394" w:rsidRDefault="00063394" w:rsidP="007B0BD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2">
    <w:p w:rsidR="00677622" w:rsidRPr="00286BFA" w:rsidRDefault="00677622" w:rsidP="0067762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86BFA">
        <w:rPr>
          <w:rFonts w:cs="Arial"/>
          <w:sz w:val="20"/>
        </w:rPr>
        <w:t>C.A.L.P. 51232-64-9305, 17 janvier 1995.</w:t>
      </w:r>
    </w:p>
  </w:footnote>
  <w:footnote w:id="3">
    <w:p w:rsidR="00ED46E1" w:rsidRPr="00ED46E1" w:rsidRDefault="00ED46E1" w:rsidP="00ED46E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C.L.P</w:t>
      </w:r>
      <w:r w:rsidR="00C02B12">
        <w:rPr>
          <w:rFonts w:cs="Arial"/>
          <w:sz w:val="20"/>
        </w:rPr>
        <w:t>. 139392-62C-0005, 6 juin 2001.</w:t>
      </w:r>
    </w:p>
  </w:footnote>
  <w:footnote w:id="4">
    <w:p w:rsidR="00ED46E1" w:rsidRPr="00ED46E1" w:rsidRDefault="00ED46E1" w:rsidP="00ED46E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02B12">
        <w:rPr>
          <w:rFonts w:cs="Arial"/>
          <w:sz w:val="20"/>
        </w:rPr>
        <w:t>Voir</w:t>
      </w:r>
      <w:r>
        <w:rPr>
          <w:rFonts w:cs="Arial"/>
          <w:sz w:val="20"/>
        </w:rPr>
        <w:t xml:space="preserve"> aussi </w:t>
      </w:r>
      <w:r w:rsidRPr="00ED46E1">
        <w:rPr>
          <w:rFonts w:cs="Arial"/>
          <w:i/>
          <w:sz w:val="20"/>
        </w:rPr>
        <w:t xml:space="preserve">Brodeur </w:t>
      </w:r>
      <w:r>
        <w:rPr>
          <w:rFonts w:cs="Arial"/>
          <w:sz w:val="20"/>
        </w:rPr>
        <w:t xml:space="preserve">et </w:t>
      </w:r>
      <w:r w:rsidRPr="00ED46E1">
        <w:rPr>
          <w:rFonts w:cs="Arial"/>
          <w:i/>
          <w:sz w:val="20"/>
        </w:rPr>
        <w:t>Buanderie centrale de Montréal</w:t>
      </w:r>
      <w:r w:rsidR="00C02B12">
        <w:rPr>
          <w:rFonts w:cs="Arial"/>
          <w:sz w:val="20"/>
        </w:rPr>
        <w:t xml:space="preserve">, </w:t>
      </w:r>
      <w:r>
        <w:rPr>
          <w:rFonts w:cs="Arial"/>
          <w:sz w:val="20"/>
        </w:rPr>
        <w:t>C.L.P.</w:t>
      </w:r>
      <w:r w:rsidR="00C02B12">
        <w:rPr>
          <w:rFonts w:cs="Arial"/>
          <w:sz w:val="20"/>
        </w:rPr>
        <w:t xml:space="preserve"> 153142-72-0012 19 octobre 2001.</w:t>
      </w:r>
    </w:p>
  </w:footnote>
  <w:footnote w:id="5">
    <w:p w:rsidR="00ED46E1" w:rsidRPr="00ED46E1" w:rsidRDefault="00ED46E1" w:rsidP="00ED46E1">
      <w:pPr>
        <w:pStyle w:val="Notedebasdepage"/>
        <w:tabs>
          <w:tab w:val="left" w:pos="720"/>
        </w:tabs>
        <w:ind w:left="720" w:hanging="720"/>
        <w:jc w:val="both"/>
        <w:rPr>
          <w:rFonts w:cs="Arial"/>
          <w:sz w:val="20"/>
        </w:rPr>
      </w:pPr>
      <w:r>
        <w:rPr>
          <w:rStyle w:val="Appelnotedebasdep"/>
        </w:rPr>
        <w:footnoteRef/>
      </w:r>
      <w:r>
        <w:t xml:space="preserve"> </w:t>
      </w:r>
      <w:r w:rsidR="00C02B12">
        <w:rPr>
          <w:rFonts w:cs="Arial"/>
          <w:sz w:val="20"/>
        </w:rPr>
        <w:tab/>
        <w:t>2015 QCCLP 244.</w:t>
      </w:r>
    </w:p>
  </w:footnote>
  <w:footnote w:id="6">
    <w:p w:rsidR="00ED46E1" w:rsidRPr="00ED46E1" w:rsidRDefault="00ED46E1" w:rsidP="00ED46E1">
      <w:pPr>
        <w:pStyle w:val="Notedebasdepage"/>
        <w:tabs>
          <w:tab w:val="left" w:pos="720"/>
        </w:tabs>
        <w:ind w:left="720" w:hanging="720"/>
        <w:jc w:val="both"/>
        <w:rPr>
          <w:rFonts w:cs="Arial"/>
          <w:sz w:val="20"/>
        </w:rPr>
      </w:pPr>
      <w:r>
        <w:rPr>
          <w:rStyle w:val="Appelnotedebasdep"/>
        </w:rPr>
        <w:footnoteRef/>
      </w:r>
      <w:r>
        <w:t xml:space="preserve"> </w:t>
      </w:r>
      <w:r w:rsidR="00C02B12">
        <w:rPr>
          <w:rFonts w:cs="Arial"/>
          <w:sz w:val="20"/>
        </w:rPr>
        <w:tab/>
        <w:t>[1986]</w:t>
      </w:r>
      <w:r>
        <w:rPr>
          <w:rFonts w:cs="Arial"/>
          <w:sz w:val="20"/>
        </w:rPr>
        <w:t xml:space="preserve"> C</w:t>
      </w:r>
      <w:r w:rsidR="00C02B12">
        <w:rPr>
          <w:rFonts w:cs="Arial"/>
          <w:sz w:val="20"/>
        </w:rPr>
        <w:t>.</w:t>
      </w:r>
      <w:r>
        <w:rPr>
          <w:rFonts w:cs="Arial"/>
          <w:sz w:val="20"/>
        </w:rPr>
        <w:t>A</w:t>
      </w:r>
      <w:r w:rsidR="00C02B12">
        <w:rPr>
          <w:rFonts w:cs="Arial"/>
          <w:sz w:val="20"/>
        </w:rPr>
        <w:t>.</w:t>
      </w:r>
      <w:r>
        <w:rPr>
          <w:rFonts w:cs="Arial"/>
          <w:sz w:val="20"/>
        </w:rPr>
        <w:t>L</w:t>
      </w:r>
      <w:r w:rsidR="00C02B12">
        <w:rPr>
          <w:rFonts w:cs="Arial"/>
          <w:sz w:val="20"/>
        </w:rPr>
        <w:t>.</w:t>
      </w:r>
      <w:r>
        <w:rPr>
          <w:rFonts w:cs="Arial"/>
          <w:sz w:val="20"/>
        </w:rPr>
        <w:t>P</w:t>
      </w:r>
      <w:r w:rsidR="00C02B12">
        <w:rPr>
          <w:rFonts w:cs="Arial"/>
          <w:sz w:val="20"/>
        </w:rPr>
        <w:t>.</w:t>
      </w:r>
      <w:r>
        <w:rPr>
          <w:rFonts w:cs="Arial"/>
          <w:sz w:val="20"/>
        </w:rPr>
        <w:t xml:space="preserve"> 216</w:t>
      </w:r>
      <w:r w:rsidR="00C02B12">
        <w:rPr>
          <w:rFonts w:cs="Arial"/>
          <w:sz w:val="20"/>
        </w:rPr>
        <w:t>.</w:t>
      </w:r>
    </w:p>
  </w:footnote>
  <w:footnote w:id="7">
    <w:p w:rsidR="00C02B12" w:rsidRPr="00C02B12" w:rsidRDefault="00C02B12" w:rsidP="00C02B1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713550">
        <w:rPr>
          <w:rFonts w:cs="Arial"/>
          <w:sz w:val="20"/>
        </w:rPr>
        <w:t>2013 QCCLP 5734.</w:t>
      </w:r>
    </w:p>
  </w:footnote>
  <w:footnote w:id="8">
    <w:p w:rsidR="00737A04" w:rsidRPr="00737A04" w:rsidRDefault="00737A04" w:rsidP="00737A04">
      <w:pPr>
        <w:pStyle w:val="Notedebasdepage"/>
        <w:tabs>
          <w:tab w:val="left" w:pos="720"/>
        </w:tabs>
        <w:ind w:left="720" w:hanging="720"/>
        <w:jc w:val="both"/>
        <w:rPr>
          <w:rFonts w:cs="Arial"/>
          <w:sz w:val="20"/>
        </w:rPr>
      </w:pPr>
      <w:r>
        <w:rPr>
          <w:rStyle w:val="Appelnotedebasdep"/>
        </w:rPr>
        <w:footnoteRef/>
      </w:r>
      <w:r>
        <w:t xml:space="preserve"> </w:t>
      </w:r>
      <w:r w:rsidR="00C02B12">
        <w:rPr>
          <w:rFonts w:cs="Arial"/>
          <w:sz w:val="20"/>
        </w:rPr>
        <w:tab/>
        <w:t>2016 QCTAT 2845, r</w:t>
      </w:r>
      <w:r>
        <w:rPr>
          <w:rFonts w:cs="Arial"/>
          <w:sz w:val="20"/>
        </w:rPr>
        <w:t>é</w:t>
      </w:r>
      <w:r w:rsidR="00C02B12">
        <w:rPr>
          <w:rFonts w:cs="Arial"/>
          <w:sz w:val="20"/>
        </w:rPr>
        <w:t>vision rejetée 2017 QCTAT 1721.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A02529" w:rsidTr="00063394">
      <w:tc>
        <w:tcPr>
          <w:tcW w:w="8730" w:type="dxa"/>
        </w:tcPr>
        <w:p w:rsidR="00A02529" w:rsidRDefault="00A02529">
          <w:pPr>
            <w:pStyle w:val="En-tte"/>
            <w:ind w:left="-90"/>
          </w:pPr>
        </w:p>
      </w:tc>
      <w:tc>
        <w:tcPr>
          <w:tcW w:w="860" w:type="dxa"/>
        </w:tcPr>
        <w:p w:rsidR="00A02529" w:rsidRDefault="00A02529">
          <w:pPr>
            <w:pStyle w:val="En-tte"/>
            <w:ind w:left="-90"/>
          </w:pPr>
        </w:p>
      </w:tc>
    </w:tr>
    <w:tr w:rsidR="00063394" w:rsidTr="00063394">
      <w:tc>
        <w:tcPr>
          <w:tcW w:w="8730" w:type="dxa"/>
        </w:tcPr>
        <w:p w:rsidR="00063394" w:rsidRDefault="00063394" w:rsidP="00063394">
          <w:pPr>
            <w:pStyle w:val="zSoquijdatNoDossier"/>
          </w:pPr>
          <w:r>
            <w:t>725041-71-2001</w:t>
          </w:r>
        </w:p>
      </w:tc>
      <w:tc>
        <w:tcPr>
          <w:tcW w:w="860" w:type="dxa"/>
        </w:tcPr>
        <w:p w:rsidR="00063394" w:rsidRDefault="00063394" w:rsidP="00063394">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4E1865">
            <w:rPr>
              <w:rStyle w:val="Numrodepage"/>
              <w:noProof/>
            </w:rPr>
            <w:t>2</w:t>
          </w:r>
          <w:r>
            <w:rPr>
              <w:rStyle w:val="Numrodepage"/>
            </w:rPr>
            <w:fldChar w:fldCharType="end"/>
          </w:r>
        </w:p>
      </w:tc>
    </w:tr>
    <w:tr w:rsidR="00063394" w:rsidTr="00063394">
      <w:tc>
        <w:tcPr>
          <w:tcW w:w="8730" w:type="dxa"/>
        </w:tcPr>
        <w:p w:rsidR="00063394" w:rsidRDefault="00063394" w:rsidP="00063394"/>
      </w:tc>
      <w:tc>
        <w:tcPr>
          <w:tcW w:w="860" w:type="dxa"/>
        </w:tcPr>
        <w:p w:rsidR="00063394" w:rsidRDefault="00063394" w:rsidP="00063394">
          <w:pPr>
            <w:pStyle w:val="En-tte"/>
            <w:ind w:left="-90"/>
            <w:jc w:val="right"/>
          </w:pPr>
        </w:p>
      </w:tc>
    </w:tr>
  </w:tbl>
  <w:p w:rsidR="00A02529" w:rsidRDefault="00A02529">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3">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4">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3"/>
  </w:num>
  <w:num w:numId="2">
    <w:abstractNumId w:val="2"/>
  </w:num>
  <w:num w:numId="3">
    <w:abstractNumId w:val="1"/>
  </w:num>
  <w:num w:numId="4">
    <w:abstractNumId w:val="0"/>
  </w:num>
  <w:num w:numId="5">
    <w:abstractNumId w:val="4"/>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791"/>
    <w:rsid w:val="000034B0"/>
    <w:rsid w:val="000041A1"/>
    <w:rsid w:val="00021B30"/>
    <w:rsid w:val="00021E4C"/>
    <w:rsid w:val="00022556"/>
    <w:rsid w:val="00024693"/>
    <w:rsid w:val="000366EC"/>
    <w:rsid w:val="00043E4D"/>
    <w:rsid w:val="00056393"/>
    <w:rsid w:val="00063394"/>
    <w:rsid w:val="0007225E"/>
    <w:rsid w:val="00076D81"/>
    <w:rsid w:val="0008378A"/>
    <w:rsid w:val="0008784D"/>
    <w:rsid w:val="00090018"/>
    <w:rsid w:val="00090306"/>
    <w:rsid w:val="00093ACD"/>
    <w:rsid w:val="00095814"/>
    <w:rsid w:val="00097D81"/>
    <w:rsid w:val="000A4AD0"/>
    <w:rsid w:val="000A77C5"/>
    <w:rsid w:val="000A7D8F"/>
    <w:rsid w:val="000B7F1B"/>
    <w:rsid w:val="000D3948"/>
    <w:rsid w:val="000D4F76"/>
    <w:rsid w:val="000E0C28"/>
    <w:rsid w:val="000E1320"/>
    <w:rsid w:val="000E56A6"/>
    <w:rsid w:val="000F3423"/>
    <w:rsid w:val="001050B4"/>
    <w:rsid w:val="0012224D"/>
    <w:rsid w:val="001225BC"/>
    <w:rsid w:val="00122A9E"/>
    <w:rsid w:val="0012326A"/>
    <w:rsid w:val="00131E70"/>
    <w:rsid w:val="001407FC"/>
    <w:rsid w:val="00147A49"/>
    <w:rsid w:val="00147B8B"/>
    <w:rsid w:val="0015125A"/>
    <w:rsid w:val="00152464"/>
    <w:rsid w:val="0015539F"/>
    <w:rsid w:val="00160597"/>
    <w:rsid w:val="001664C8"/>
    <w:rsid w:val="00167AD0"/>
    <w:rsid w:val="00173184"/>
    <w:rsid w:val="00175079"/>
    <w:rsid w:val="00183515"/>
    <w:rsid w:val="001A03BE"/>
    <w:rsid w:val="001A067E"/>
    <w:rsid w:val="001A0A17"/>
    <w:rsid w:val="001A2900"/>
    <w:rsid w:val="001A4081"/>
    <w:rsid w:val="001A65F1"/>
    <w:rsid w:val="001B2B40"/>
    <w:rsid w:val="001B3E9D"/>
    <w:rsid w:val="001B4A40"/>
    <w:rsid w:val="001C2B0B"/>
    <w:rsid w:val="001E120A"/>
    <w:rsid w:val="00227040"/>
    <w:rsid w:val="00230CFC"/>
    <w:rsid w:val="00231C1D"/>
    <w:rsid w:val="00241CED"/>
    <w:rsid w:val="00242FB4"/>
    <w:rsid w:val="00245605"/>
    <w:rsid w:val="002563F0"/>
    <w:rsid w:val="0026003F"/>
    <w:rsid w:val="00266064"/>
    <w:rsid w:val="00267C8D"/>
    <w:rsid w:val="002701DD"/>
    <w:rsid w:val="002769B5"/>
    <w:rsid w:val="00276B59"/>
    <w:rsid w:val="00281319"/>
    <w:rsid w:val="00286149"/>
    <w:rsid w:val="0028668D"/>
    <w:rsid w:val="00290289"/>
    <w:rsid w:val="00296645"/>
    <w:rsid w:val="00296A4B"/>
    <w:rsid w:val="00297284"/>
    <w:rsid w:val="002A0077"/>
    <w:rsid w:val="002A374B"/>
    <w:rsid w:val="002A73E9"/>
    <w:rsid w:val="002B2FC3"/>
    <w:rsid w:val="002B35F0"/>
    <w:rsid w:val="002B58AF"/>
    <w:rsid w:val="002C3748"/>
    <w:rsid w:val="002C5E89"/>
    <w:rsid w:val="002D71A9"/>
    <w:rsid w:val="002F7507"/>
    <w:rsid w:val="00302FB4"/>
    <w:rsid w:val="00305273"/>
    <w:rsid w:val="003057FC"/>
    <w:rsid w:val="00307C85"/>
    <w:rsid w:val="00312983"/>
    <w:rsid w:val="003248CB"/>
    <w:rsid w:val="00331EA7"/>
    <w:rsid w:val="003332B8"/>
    <w:rsid w:val="00344465"/>
    <w:rsid w:val="0034740A"/>
    <w:rsid w:val="0035375B"/>
    <w:rsid w:val="003664E9"/>
    <w:rsid w:val="00366D1E"/>
    <w:rsid w:val="00373EE5"/>
    <w:rsid w:val="00375C1E"/>
    <w:rsid w:val="003817E7"/>
    <w:rsid w:val="00382E55"/>
    <w:rsid w:val="003961B2"/>
    <w:rsid w:val="003A41AD"/>
    <w:rsid w:val="003B152B"/>
    <w:rsid w:val="003B1734"/>
    <w:rsid w:val="003B1735"/>
    <w:rsid w:val="003B6CBF"/>
    <w:rsid w:val="003C47A7"/>
    <w:rsid w:val="003D0826"/>
    <w:rsid w:val="003D199C"/>
    <w:rsid w:val="003D3C93"/>
    <w:rsid w:val="003D4791"/>
    <w:rsid w:val="003E00D5"/>
    <w:rsid w:val="003E02BA"/>
    <w:rsid w:val="003F7F38"/>
    <w:rsid w:val="0040399B"/>
    <w:rsid w:val="00406F0C"/>
    <w:rsid w:val="00412585"/>
    <w:rsid w:val="0041363B"/>
    <w:rsid w:val="00415D5D"/>
    <w:rsid w:val="0042650F"/>
    <w:rsid w:val="00431E0B"/>
    <w:rsid w:val="004337FE"/>
    <w:rsid w:val="00433E98"/>
    <w:rsid w:val="00435738"/>
    <w:rsid w:val="00437137"/>
    <w:rsid w:val="004403B8"/>
    <w:rsid w:val="00441ADA"/>
    <w:rsid w:val="0044371C"/>
    <w:rsid w:val="0044627E"/>
    <w:rsid w:val="0045114F"/>
    <w:rsid w:val="004529D3"/>
    <w:rsid w:val="00453F31"/>
    <w:rsid w:val="00456B0C"/>
    <w:rsid w:val="0046538B"/>
    <w:rsid w:val="00471C92"/>
    <w:rsid w:val="004739AC"/>
    <w:rsid w:val="00475FEF"/>
    <w:rsid w:val="0047776F"/>
    <w:rsid w:val="004870EA"/>
    <w:rsid w:val="00487F13"/>
    <w:rsid w:val="00496193"/>
    <w:rsid w:val="004A02AF"/>
    <w:rsid w:val="004A3335"/>
    <w:rsid w:val="004A679B"/>
    <w:rsid w:val="004C0FB4"/>
    <w:rsid w:val="004C1811"/>
    <w:rsid w:val="004C4555"/>
    <w:rsid w:val="004D6CEA"/>
    <w:rsid w:val="004E1865"/>
    <w:rsid w:val="004E3564"/>
    <w:rsid w:val="004E51C0"/>
    <w:rsid w:val="004E64BE"/>
    <w:rsid w:val="004E7CBC"/>
    <w:rsid w:val="00501C55"/>
    <w:rsid w:val="00503B8D"/>
    <w:rsid w:val="00503EE3"/>
    <w:rsid w:val="00505811"/>
    <w:rsid w:val="00515DE7"/>
    <w:rsid w:val="0051753A"/>
    <w:rsid w:val="00517EB0"/>
    <w:rsid w:val="005205CB"/>
    <w:rsid w:val="005352F1"/>
    <w:rsid w:val="00540094"/>
    <w:rsid w:val="00545CFF"/>
    <w:rsid w:val="00555800"/>
    <w:rsid w:val="00556DBB"/>
    <w:rsid w:val="00557CBA"/>
    <w:rsid w:val="00560781"/>
    <w:rsid w:val="0056268F"/>
    <w:rsid w:val="005662E9"/>
    <w:rsid w:val="00572AAF"/>
    <w:rsid w:val="005801AE"/>
    <w:rsid w:val="00582868"/>
    <w:rsid w:val="00582ECC"/>
    <w:rsid w:val="0058399B"/>
    <w:rsid w:val="0058692F"/>
    <w:rsid w:val="00587045"/>
    <w:rsid w:val="00587C22"/>
    <w:rsid w:val="0059436D"/>
    <w:rsid w:val="005945C0"/>
    <w:rsid w:val="00597016"/>
    <w:rsid w:val="005974B7"/>
    <w:rsid w:val="005A0D51"/>
    <w:rsid w:val="005A181B"/>
    <w:rsid w:val="005A1CB3"/>
    <w:rsid w:val="005A3073"/>
    <w:rsid w:val="005A33A5"/>
    <w:rsid w:val="005A70A0"/>
    <w:rsid w:val="005B0612"/>
    <w:rsid w:val="005B13F0"/>
    <w:rsid w:val="005B30F6"/>
    <w:rsid w:val="005B45BA"/>
    <w:rsid w:val="005B5689"/>
    <w:rsid w:val="005B6774"/>
    <w:rsid w:val="005C0A89"/>
    <w:rsid w:val="005C3BC4"/>
    <w:rsid w:val="005D59B1"/>
    <w:rsid w:val="005D764B"/>
    <w:rsid w:val="005E2367"/>
    <w:rsid w:val="005E5BEB"/>
    <w:rsid w:val="005E5E90"/>
    <w:rsid w:val="005E654C"/>
    <w:rsid w:val="005F05F6"/>
    <w:rsid w:val="005F1526"/>
    <w:rsid w:val="00605734"/>
    <w:rsid w:val="0061488E"/>
    <w:rsid w:val="0061574B"/>
    <w:rsid w:val="00622670"/>
    <w:rsid w:val="00623A1A"/>
    <w:rsid w:val="00626E8D"/>
    <w:rsid w:val="00632DA8"/>
    <w:rsid w:val="00634E6E"/>
    <w:rsid w:val="0064342A"/>
    <w:rsid w:val="00643A28"/>
    <w:rsid w:val="006452FA"/>
    <w:rsid w:val="00647E59"/>
    <w:rsid w:val="0065093D"/>
    <w:rsid w:val="00655193"/>
    <w:rsid w:val="00655459"/>
    <w:rsid w:val="00656FB2"/>
    <w:rsid w:val="00661454"/>
    <w:rsid w:val="0066642D"/>
    <w:rsid w:val="00675E85"/>
    <w:rsid w:val="0067750F"/>
    <w:rsid w:val="00677622"/>
    <w:rsid w:val="0068401E"/>
    <w:rsid w:val="006841A4"/>
    <w:rsid w:val="0068643F"/>
    <w:rsid w:val="006877A1"/>
    <w:rsid w:val="00692150"/>
    <w:rsid w:val="00692F0C"/>
    <w:rsid w:val="00696E7C"/>
    <w:rsid w:val="006A0C54"/>
    <w:rsid w:val="006A7C53"/>
    <w:rsid w:val="006B309C"/>
    <w:rsid w:val="006B727F"/>
    <w:rsid w:val="006C6D3A"/>
    <w:rsid w:val="006C7B36"/>
    <w:rsid w:val="006C7B7F"/>
    <w:rsid w:val="006D19E8"/>
    <w:rsid w:val="006E04B5"/>
    <w:rsid w:val="006E330C"/>
    <w:rsid w:val="006E3DD8"/>
    <w:rsid w:val="006E793F"/>
    <w:rsid w:val="006F0154"/>
    <w:rsid w:val="006F7944"/>
    <w:rsid w:val="00704121"/>
    <w:rsid w:val="00705BB5"/>
    <w:rsid w:val="0071326F"/>
    <w:rsid w:val="00713550"/>
    <w:rsid w:val="007153D7"/>
    <w:rsid w:val="00720ED4"/>
    <w:rsid w:val="00737A04"/>
    <w:rsid w:val="0074488F"/>
    <w:rsid w:val="00745AA8"/>
    <w:rsid w:val="007510EC"/>
    <w:rsid w:val="0075233C"/>
    <w:rsid w:val="0075256A"/>
    <w:rsid w:val="007569DE"/>
    <w:rsid w:val="0075723C"/>
    <w:rsid w:val="00782C8F"/>
    <w:rsid w:val="00785F78"/>
    <w:rsid w:val="0078659D"/>
    <w:rsid w:val="007869EC"/>
    <w:rsid w:val="00787040"/>
    <w:rsid w:val="007A1E58"/>
    <w:rsid w:val="007A5C7E"/>
    <w:rsid w:val="007A6E2F"/>
    <w:rsid w:val="007B3BC5"/>
    <w:rsid w:val="007D03DF"/>
    <w:rsid w:val="007D4953"/>
    <w:rsid w:val="007D50F4"/>
    <w:rsid w:val="007D7173"/>
    <w:rsid w:val="007E1216"/>
    <w:rsid w:val="007E4CD4"/>
    <w:rsid w:val="007F0E8E"/>
    <w:rsid w:val="008079DD"/>
    <w:rsid w:val="0081130F"/>
    <w:rsid w:val="00824430"/>
    <w:rsid w:val="00825B1F"/>
    <w:rsid w:val="00827D55"/>
    <w:rsid w:val="00833307"/>
    <w:rsid w:val="008345D3"/>
    <w:rsid w:val="00840EDD"/>
    <w:rsid w:val="0084255F"/>
    <w:rsid w:val="00854FB3"/>
    <w:rsid w:val="00860F13"/>
    <w:rsid w:val="00861F8B"/>
    <w:rsid w:val="0086561F"/>
    <w:rsid w:val="00865FE1"/>
    <w:rsid w:val="008748C7"/>
    <w:rsid w:val="0087521A"/>
    <w:rsid w:val="008808C0"/>
    <w:rsid w:val="00890BDE"/>
    <w:rsid w:val="008962E7"/>
    <w:rsid w:val="008A1118"/>
    <w:rsid w:val="008A281F"/>
    <w:rsid w:val="008A48D2"/>
    <w:rsid w:val="008A4AF6"/>
    <w:rsid w:val="008A4FF8"/>
    <w:rsid w:val="008A5ED1"/>
    <w:rsid w:val="008A7FD1"/>
    <w:rsid w:val="008B042E"/>
    <w:rsid w:val="008B211E"/>
    <w:rsid w:val="008B6D48"/>
    <w:rsid w:val="008C49A1"/>
    <w:rsid w:val="008C7660"/>
    <w:rsid w:val="008C79A7"/>
    <w:rsid w:val="008D555F"/>
    <w:rsid w:val="008D625D"/>
    <w:rsid w:val="008D650E"/>
    <w:rsid w:val="008E6A41"/>
    <w:rsid w:val="008E7D69"/>
    <w:rsid w:val="008F1434"/>
    <w:rsid w:val="00903990"/>
    <w:rsid w:val="00904950"/>
    <w:rsid w:val="00915E5E"/>
    <w:rsid w:val="009166B8"/>
    <w:rsid w:val="00922DB7"/>
    <w:rsid w:val="0092684A"/>
    <w:rsid w:val="00936CB8"/>
    <w:rsid w:val="00937FAB"/>
    <w:rsid w:val="0094094D"/>
    <w:rsid w:val="00942AB8"/>
    <w:rsid w:val="00945CAF"/>
    <w:rsid w:val="00947448"/>
    <w:rsid w:val="00952B38"/>
    <w:rsid w:val="00952C99"/>
    <w:rsid w:val="009601BF"/>
    <w:rsid w:val="00965333"/>
    <w:rsid w:val="009712EF"/>
    <w:rsid w:val="009727BF"/>
    <w:rsid w:val="00973321"/>
    <w:rsid w:val="00975C2E"/>
    <w:rsid w:val="00977270"/>
    <w:rsid w:val="009824F2"/>
    <w:rsid w:val="00983080"/>
    <w:rsid w:val="00986AA3"/>
    <w:rsid w:val="00993B24"/>
    <w:rsid w:val="0099611F"/>
    <w:rsid w:val="009A083F"/>
    <w:rsid w:val="009A135C"/>
    <w:rsid w:val="009A67E7"/>
    <w:rsid w:val="009C603A"/>
    <w:rsid w:val="009C6709"/>
    <w:rsid w:val="009C74CD"/>
    <w:rsid w:val="009D048F"/>
    <w:rsid w:val="009D401F"/>
    <w:rsid w:val="009D68FA"/>
    <w:rsid w:val="009E32CF"/>
    <w:rsid w:val="009E4FC2"/>
    <w:rsid w:val="009F44AE"/>
    <w:rsid w:val="00A01F47"/>
    <w:rsid w:val="00A02529"/>
    <w:rsid w:val="00A02EF2"/>
    <w:rsid w:val="00A04D5E"/>
    <w:rsid w:val="00A10DDF"/>
    <w:rsid w:val="00A11172"/>
    <w:rsid w:val="00A12E55"/>
    <w:rsid w:val="00A242E4"/>
    <w:rsid w:val="00A24437"/>
    <w:rsid w:val="00A24CA0"/>
    <w:rsid w:val="00A3362A"/>
    <w:rsid w:val="00A37B70"/>
    <w:rsid w:val="00A40AC7"/>
    <w:rsid w:val="00A435C7"/>
    <w:rsid w:val="00A569B2"/>
    <w:rsid w:val="00A611A4"/>
    <w:rsid w:val="00A6695B"/>
    <w:rsid w:val="00A72703"/>
    <w:rsid w:val="00A727F6"/>
    <w:rsid w:val="00A72E71"/>
    <w:rsid w:val="00A76432"/>
    <w:rsid w:val="00A84FC6"/>
    <w:rsid w:val="00A8528E"/>
    <w:rsid w:val="00A94A49"/>
    <w:rsid w:val="00AA1815"/>
    <w:rsid w:val="00AA1D3E"/>
    <w:rsid w:val="00AA39F9"/>
    <w:rsid w:val="00AB0931"/>
    <w:rsid w:val="00AB5C9B"/>
    <w:rsid w:val="00AC0276"/>
    <w:rsid w:val="00AC0312"/>
    <w:rsid w:val="00AC0449"/>
    <w:rsid w:val="00AD2497"/>
    <w:rsid w:val="00AD5EB4"/>
    <w:rsid w:val="00AE63E2"/>
    <w:rsid w:val="00AF04C9"/>
    <w:rsid w:val="00AF26B6"/>
    <w:rsid w:val="00AF2979"/>
    <w:rsid w:val="00B0375C"/>
    <w:rsid w:val="00B052CB"/>
    <w:rsid w:val="00B156C3"/>
    <w:rsid w:val="00B15F67"/>
    <w:rsid w:val="00B1624F"/>
    <w:rsid w:val="00B224C5"/>
    <w:rsid w:val="00B325CD"/>
    <w:rsid w:val="00B44BAC"/>
    <w:rsid w:val="00B4768D"/>
    <w:rsid w:val="00B518E5"/>
    <w:rsid w:val="00B51E1F"/>
    <w:rsid w:val="00B60222"/>
    <w:rsid w:val="00B62CFB"/>
    <w:rsid w:val="00B662F5"/>
    <w:rsid w:val="00B7000C"/>
    <w:rsid w:val="00B760D5"/>
    <w:rsid w:val="00B813FC"/>
    <w:rsid w:val="00B83B2C"/>
    <w:rsid w:val="00B940EE"/>
    <w:rsid w:val="00B94740"/>
    <w:rsid w:val="00B97F75"/>
    <w:rsid w:val="00BA1CAE"/>
    <w:rsid w:val="00BA33BB"/>
    <w:rsid w:val="00BA4830"/>
    <w:rsid w:val="00BA6E22"/>
    <w:rsid w:val="00BB208C"/>
    <w:rsid w:val="00BB2590"/>
    <w:rsid w:val="00BB362C"/>
    <w:rsid w:val="00BC0A03"/>
    <w:rsid w:val="00BD4139"/>
    <w:rsid w:val="00BE059A"/>
    <w:rsid w:val="00BE1981"/>
    <w:rsid w:val="00BE26AE"/>
    <w:rsid w:val="00BE56E9"/>
    <w:rsid w:val="00BE63CF"/>
    <w:rsid w:val="00BE7014"/>
    <w:rsid w:val="00BF25C7"/>
    <w:rsid w:val="00C009B7"/>
    <w:rsid w:val="00C02B12"/>
    <w:rsid w:val="00C04E32"/>
    <w:rsid w:val="00C147D1"/>
    <w:rsid w:val="00C15A3F"/>
    <w:rsid w:val="00C20630"/>
    <w:rsid w:val="00C22F7A"/>
    <w:rsid w:val="00C2666F"/>
    <w:rsid w:val="00C32020"/>
    <w:rsid w:val="00C3408C"/>
    <w:rsid w:val="00C351CC"/>
    <w:rsid w:val="00C35435"/>
    <w:rsid w:val="00C432FD"/>
    <w:rsid w:val="00C43CDF"/>
    <w:rsid w:val="00C512B2"/>
    <w:rsid w:val="00C62B69"/>
    <w:rsid w:val="00C644B7"/>
    <w:rsid w:val="00C64564"/>
    <w:rsid w:val="00C73C87"/>
    <w:rsid w:val="00C74B6F"/>
    <w:rsid w:val="00C87EF3"/>
    <w:rsid w:val="00C9015F"/>
    <w:rsid w:val="00C912F9"/>
    <w:rsid w:val="00C9241B"/>
    <w:rsid w:val="00C96FC2"/>
    <w:rsid w:val="00C97569"/>
    <w:rsid w:val="00CA199D"/>
    <w:rsid w:val="00CA4D9C"/>
    <w:rsid w:val="00CB05A7"/>
    <w:rsid w:val="00CB06A4"/>
    <w:rsid w:val="00CB325B"/>
    <w:rsid w:val="00CB64FF"/>
    <w:rsid w:val="00CB7078"/>
    <w:rsid w:val="00CC014B"/>
    <w:rsid w:val="00CC21D8"/>
    <w:rsid w:val="00CC3369"/>
    <w:rsid w:val="00CC5343"/>
    <w:rsid w:val="00CC78DE"/>
    <w:rsid w:val="00CD0F93"/>
    <w:rsid w:val="00CD3D41"/>
    <w:rsid w:val="00CD6D6E"/>
    <w:rsid w:val="00CD6F23"/>
    <w:rsid w:val="00CF640B"/>
    <w:rsid w:val="00D0145A"/>
    <w:rsid w:val="00D027AF"/>
    <w:rsid w:val="00D06652"/>
    <w:rsid w:val="00D07FA6"/>
    <w:rsid w:val="00D17C53"/>
    <w:rsid w:val="00D17D57"/>
    <w:rsid w:val="00D2341D"/>
    <w:rsid w:val="00D25E0E"/>
    <w:rsid w:val="00D302EB"/>
    <w:rsid w:val="00D30AAC"/>
    <w:rsid w:val="00D31679"/>
    <w:rsid w:val="00D320C8"/>
    <w:rsid w:val="00D34307"/>
    <w:rsid w:val="00D3672F"/>
    <w:rsid w:val="00D40ABA"/>
    <w:rsid w:val="00D40FE2"/>
    <w:rsid w:val="00D440FA"/>
    <w:rsid w:val="00D44BCF"/>
    <w:rsid w:val="00D46E73"/>
    <w:rsid w:val="00D5548D"/>
    <w:rsid w:val="00D60F81"/>
    <w:rsid w:val="00D63951"/>
    <w:rsid w:val="00D63BF2"/>
    <w:rsid w:val="00D67348"/>
    <w:rsid w:val="00D73E63"/>
    <w:rsid w:val="00D75FEC"/>
    <w:rsid w:val="00D76B98"/>
    <w:rsid w:val="00D86F2C"/>
    <w:rsid w:val="00DA36F6"/>
    <w:rsid w:val="00DC1611"/>
    <w:rsid w:val="00DC551D"/>
    <w:rsid w:val="00DF0774"/>
    <w:rsid w:val="00DF1036"/>
    <w:rsid w:val="00E05451"/>
    <w:rsid w:val="00E05651"/>
    <w:rsid w:val="00E11BA5"/>
    <w:rsid w:val="00E125A2"/>
    <w:rsid w:val="00E20425"/>
    <w:rsid w:val="00E25DCB"/>
    <w:rsid w:val="00E4156E"/>
    <w:rsid w:val="00E453F2"/>
    <w:rsid w:val="00E460AD"/>
    <w:rsid w:val="00E61925"/>
    <w:rsid w:val="00E65C0E"/>
    <w:rsid w:val="00E730FC"/>
    <w:rsid w:val="00E746F0"/>
    <w:rsid w:val="00E82A15"/>
    <w:rsid w:val="00E87589"/>
    <w:rsid w:val="00E938FF"/>
    <w:rsid w:val="00EA34DC"/>
    <w:rsid w:val="00EA5017"/>
    <w:rsid w:val="00EA6BED"/>
    <w:rsid w:val="00EB14F0"/>
    <w:rsid w:val="00EB3844"/>
    <w:rsid w:val="00EB5A9F"/>
    <w:rsid w:val="00EC5C8D"/>
    <w:rsid w:val="00ED106C"/>
    <w:rsid w:val="00ED2D34"/>
    <w:rsid w:val="00ED46E1"/>
    <w:rsid w:val="00ED4805"/>
    <w:rsid w:val="00ED6C51"/>
    <w:rsid w:val="00EF4258"/>
    <w:rsid w:val="00F02237"/>
    <w:rsid w:val="00F22423"/>
    <w:rsid w:val="00F24C72"/>
    <w:rsid w:val="00F31D22"/>
    <w:rsid w:val="00F348B2"/>
    <w:rsid w:val="00F34BF0"/>
    <w:rsid w:val="00F4095A"/>
    <w:rsid w:val="00F45235"/>
    <w:rsid w:val="00F45845"/>
    <w:rsid w:val="00F50189"/>
    <w:rsid w:val="00F508FC"/>
    <w:rsid w:val="00F54044"/>
    <w:rsid w:val="00F576E7"/>
    <w:rsid w:val="00F763FC"/>
    <w:rsid w:val="00F772C1"/>
    <w:rsid w:val="00F8026D"/>
    <w:rsid w:val="00F8245F"/>
    <w:rsid w:val="00F91629"/>
    <w:rsid w:val="00F91E2A"/>
    <w:rsid w:val="00F96C39"/>
    <w:rsid w:val="00FA153F"/>
    <w:rsid w:val="00FA1D78"/>
    <w:rsid w:val="00FA1F7E"/>
    <w:rsid w:val="00FA280F"/>
    <w:rsid w:val="00FB2186"/>
    <w:rsid w:val="00FD0133"/>
    <w:rsid w:val="00FD6206"/>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1,Car Car Car Car Car Car,Car Car Car Car Car1,Car Car Car Car1,Car Car Car Car Car Car Car Car Car Car,Car Car Car1"/>
    <w:basedOn w:val="Policepardfaut"/>
    <w:link w:val="Notedebasdepage"/>
    <w:locked/>
    <w:rsid w:val="00BC0A03"/>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corpsdedcisionCar">
    <w:name w:val="corps de décision Car"/>
    <w:link w:val="corpsdedcision"/>
    <w:rsid w:val="00677622"/>
    <w:rPr>
      <w:rFonts w:ascii="Arial" w:hAnsi="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1,Car Car Car Car Car Car,Car Car Car Car Car1,Car Car Car Car1,Car Car Car Car Car Car Car Car Car Car,Car Car Car1"/>
    <w:basedOn w:val="Policepardfaut"/>
    <w:link w:val="Notedebasdepage"/>
    <w:locked/>
    <w:rsid w:val="00BC0A03"/>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corpsdedcisionCar">
    <w:name w:val="corps de décision Car"/>
    <w:link w:val="corpsdedcision"/>
    <w:rsid w:val="00677622"/>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2258</Words>
  <Characters>12419</Characters>
  <Application>Microsoft Office Word</Application>
  <DocSecurity>0</DocSecurity>
  <Lines>103</Lines>
  <Paragraphs>29</Paragraphs>
  <ScaleCrop>false</ScaleCrop>
  <Company/>
  <LinksUpToDate>false</LinksUpToDate>
  <CharactersWithSpaces>14648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2021-01-20T13:43:00Z</dcterms:created>
  <dcterms:modified xsi:type="dcterms:W3CDTF">2021-01-20T13:43:00Z</dcterms:modified>
</cp:coreProperties>
</file>